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2194" w14:textId="14B61AF5" w:rsidR="00B5157A" w:rsidRDefault="008D5B2C">
      <w:r>
        <w:t>Dear Jaspreet, Alex,</w:t>
      </w:r>
    </w:p>
    <w:p w14:paraId="2D1898F6" w14:textId="70FBD172" w:rsidR="008D5B2C" w:rsidRDefault="008D5B2C">
      <w:r>
        <w:t xml:space="preserve">After examining the criteria for the basement policy, we are certain that there is no </w:t>
      </w:r>
      <w:r w:rsidR="00300B6E">
        <w:t>requirement</w:t>
      </w:r>
      <w:r>
        <w:t xml:space="preserve"> for any Basement Impact Assessment</w:t>
      </w:r>
      <w:r w:rsidR="00300B6E">
        <w:t xml:space="preserve">, as the criteria is clear and on page 4 of the forms. </w:t>
      </w:r>
    </w:p>
    <w:p w14:paraId="3A9C4BA6" w14:textId="10C7D3C8" w:rsidR="008D5B2C" w:rsidRDefault="008D5B2C">
      <w:r>
        <w:t>The swimming pool is:</w:t>
      </w:r>
    </w:p>
    <w:p w14:paraId="5D144951" w14:textId="61FF7DCE" w:rsidR="008D5B2C" w:rsidRDefault="008D5B2C" w:rsidP="008D5B2C">
      <w:pPr>
        <w:pStyle w:val="ListParagraph"/>
        <w:numPr>
          <w:ilvl w:val="0"/>
          <w:numId w:val="1"/>
        </w:numPr>
      </w:pPr>
      <w:r>
        <w:t>Not more than one storey</w:t>
      </w:r>
    </w:p>
    <w:p w14:paraId="218A41E5" w14:textId="66E2FBE6" w:rsidR="008D5B2C" w:rsidRDefault="008D5B2C" w:rsidP="008D5B2C">
      <w:pPr>
        <w:pStyle w:val="ListParagraph"/>
        <w:numPr>
          <w:ilvl w:val="0"/>
          <w:numId w:val="1"/>
        </w:numPr>
      </w:pPr>
      <w:r>
        <w:t>Not built under existing basement</w:t>
      </w:r>
    </w:p>
    <w:p w14:paraId="2CE69693" w14:textId="7F74257D" w:rsidR="008D5B2C" w:rsidRDefault="008D5B2C" w:rsidP="008D5B2C">
      <w:pPr>
        <w:pStyle w:val="ListParagraph"/>
        <w:numPr>
          <w:ilvl w:val="0"/>
          <w:numId w:val="1"/>
        </w:numPr>
      </w:pPr>
      <w:r>
        <w:t>Not exceeding 50% of the garden</w:t>
      </w:r>
    </w:p>
    <w:p w14:paraId="25CF22F3" w14:textId="51AC82D0" w:rsidR="008D5B2C" w:rsidRDefault="008D5B2C" w:rsidP="008D5B2C">
      <w:pPr>
        <w:pStyle w:val="ListParagraph"/>
        <w:numPr>
          <w:ilvl w:val="0"/>
          <w:numId w:val="1"/>
        </w:numPr>
      </w:pPr>
      <w:r>
        <w:t>Is less than 1.5x the footprint of the host building</w:t>
      </w:r>
    </w:p>
    <w:p w14:paraId="622359C6" w14:textId="5CA9125A" w:rsidR="008D5B2C" w:rsidRDefault="008D5B2C" w:rsidP="008D5B2C">
      <w:pPr>
        <w:pStyle w:val="ListParagraph"/>
        <w:numPr>
          <w:ilvl w:val="0"/>
          <w:numId w:val="1"/>
        </w:numPr>
      </w:pPr>
      <w:r>
        <w:t>Is less than 50% of the depth of the host building</w:t>
      </w:r>
    </w:p>
    <w:p w14:paraId="5D31E1A8" w14:textId="5B86D7A0" w:rsidR="008D5B2C" w:rsidRDefault="00300B6E" w:rsidP="008D5B2C">
      <w:pPr>
        <w:pStyle w:val="ListParagraph"/>
        <w:numPr>
          <w:ilvl w:val="0"/>
          <w:numId w:val="1"/>
        </w:numPr>
      </w:pPr>
      <w:r>
        <w:t>N</w:t>
      </w:r>
      <w:r w:rsidR="008D5B2C" w:rsidRPr="008D5B2C">
        <w:t>ot extend into or underneath the garden further than 50% of the depth of the garden</w:t>
      </w:r>
    </w:p>
    <w:p w14:paraId="4CA4AD4E" w14:textId="3257ADD1" w:rsidR="00CD1F98" w:rsidRPr="008D5B2C" w:rsidRDefault="00300B6E" w:rsidP="00CD1F98">
      <w:pPr>
        <w:pStyle w:val="ListParagraph"/>
        <w:numPr>
          <w:ilvl w:val="0"/>
          <w:numId w:val="1"/>
        </w:numPr>
        <w:spacing w:after="0"/>
      </w:pPr>
      <w:r>
        <w:t>I</w:t>
      </w:r>
      <w:r w:rsidR="00CD1F98">
        <w:t>s</w:t>
      </w:r>
      <w:r w:rsidR="00CD1F98" w:rsidRPr="008D5B2C">
        <w:t xml:space="preserve"> set back from neighbouring property boundaries</w:t>
      </w:r>
    </w:p>
    <w:p w14:paraId="2AE274B9" w14:textId="796262A8" w:rsidR="00CD1F98" w:rsidRDefault="00300B6E" w:rsidP="00CD1F98">
      <w:pPr>
        <w:pStyle w:val="ListParagraph"/>
        <w:numPr>
          <w:ilvl w:val="0"/>
          <w:numId w:val="1"/>
        </w:numPr>
      </w:pPr>
      <w:r>
        <w:t>N</w:t>
      </w:r>
      <w:r w:rsidR="00CD1F98">
        <w:t xml:space="preserve">o </w:t>
      </w:r>
      <w:r w:rsidR="00CD1F98" w:rsidRPr="008D5B2C">
        <w:t>loss of garden space or trees of townscape or amenity value.</w:t>
      </w:r>
    </w:p>
    <w:p w14:paraId="236117DA" w14:textId="3A3B8576" w:rsidR="008D5B2C" w:rsidRDefault="00300B6E" w:rsidP="008D5B2C">
      <w:pPr>
        <w:jc w:val="center"/>
        <w:rPr>
          <w:b/>
          <w:color w:val="76923C" w:themeColor="accent3" w:themeShade="BF"/>
          <w:sz w:val="28"/>
        </w:rPr>
      </w:pPr>
      <w:r w:rsidRPr="00300B6E">
        <w:rPr>
          <w:b/>
          <w:noProof/>
          <w:color w:val="76923C" w:themeColor="accent3" w:themeShade="BF"/>
          <w:sz w:val="28"/>
        </w:rPr>
        <w:drawing>
          <wp:inline distT="0" distB="0" distL="0" distR="0" wp14:anchorId="44E0FB24" wp14:editId="73D21BD0">
            <wp:extent cx="6645910" cy="17868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D7834" w14:textId="2BFCA99D" w:rsidR="008D5B2C" w:rsidRDefault="008D5B2C" w:rsidP="008D5B2C">
      <w:pPr>
        <w:jc w:val="center"/>
        <w:rPr>
          <w:b/>
          <w:color w:val="76923C" w:themeColor="accent3" w:themeShade="BF"/>
          <w:sz w:val="28"/>
        </w:rPr>
      </w:pPr>
      <w:r w:rsidRPr="008D5B2C">
        <w:rPr>
          <w:b/>
          <w:noProof/>
          <w:color w:val="76923C" w:themeColor="accent3" w:themeShade="BF"/>
          <w:sz w:val="28"/>
        </w:rPr>
        <w:drawing>
          <wp:inline distT="0" distB="0" distL="0" distR="0" wp14:anchorId="437DD9E4" wp14:editId="4D424AA2">
            <wp:extent cx="3600450" cy="182216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351" cy="183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E79A9" w14:textId="3B61443E" w:rsidR="008D5B2C" w:rsidRDefault="00CD1F98" w:rsidP="00300B6E">
      <w:pPr>
        <w:jc w:val="center"/>
        <w:rPr>
          <w:b/>
          <w:color w:val="76923C" w:themeColor="accent3" w:themeShade="BF"/>
          <w:sz w:val="28"/>
        </w:rPr>
      </w:pPr>
      <w:r w:rsidRPr="00CD1F98">
        <w:rPr>
          <w:b/>
          <w:noProof/>
          <w:color w:val="76923C" w:themeColor="accent3" w:themeShade="BF"/>
          <w:sz w:val="28"/>
        </w:rPr>
        <w:drawing>
          <wp:inline distT="0" distB="0" distL="0" distR="0" wp14:anchorId="4BDF235F" wp14:editId="28830F34">
            <wp:extent cx="4143375" cy="26670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70" cy="26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B2C" w:rsidSect="00CD1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175A"/>
    <w:multiLevelType w:val="hybridMultilevel"/>
    <w:tmpl w:val="075CC0C6"/>
    <w:lvl w:ilvl="0" w:tplc="BB9833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A19B9"/>
    <w:multiLevelType w:val="hybridMultilevel"/>
    <w:tmpl w:val="77BA9314"/>
    <w:lvl w:ilvl="0" w:tplc="8E642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4617E"/>
    <w:multiLevelType w:val="hybridMultilevel"/>
    <w:tmpl w:val="EB3628B8"/>
    <w:lvl w:ilvl="0" w:tplc="DBD2A358">
      <w:start w:val="44"/>
      <w:numFmt w:val="bullet"/>
      <w:lvlText w:val="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9180">
    <w:abstractNumId w:val="2"/>
  </w:num>
  <w:num w:numId="2" w16cid:durableId="1069376588">
    <w:abstractNumId w:val="0"/>
  </w:num>
  <w:num w:numId="3" w16cid:durableId="172860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C"/>
    <w:rsid w:val="0002498D"/>
    <w:rsid w:val="00300B6E"/>
    <w:rsid w:val="003D33D7"/>
    <w:rsid w:val="008D5B2C"/>
    <w:rsid w:val="00B5157A"/>
    <w:rsid w:val="00CD1F98"/>
    <w:rsid w:val="00D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C451"/>
  <w15:chartTrackingRefBased/>
  <w15:docId w15:val="{DF166519-0841-4E5E-8FC7-0AD08358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Title">
    <w:name w:val="Contents Title"/>
    <w:rsid w:val="008D5B2C"/>
    <w:pPr>
      <w:spacing w:after="120" w:line="240" w:lineRule="auto"/>
    </w:pPr>
    <w:rPr>
      <w:rFonts w:ascii="Tahoma" w:eastAsia="MS Mincho" w:hAnsi="Tahoma" w:cs="Arial"/>
      <w:b/>
      <w:bCs/>
      <w:color w:val="007A97"/>
      <w:kern w:val="32"/>
      <w:sz w:val="20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8D5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Halevi</dc:creator>
  <cp:keywords/>
  <dc:description/>
  <cp:lastModifiedBy>Doina Moss</cp:lastModifiedBy>
  <cp:revision>2</cp:revision>
  <dcterms:created xsi:type="dcterms:W3CDTF">2022-08-08T14:59:00Z</dcterms:created>
  <dcterms:modified xsi:type="dcterms:W3CDTF">2022-08-08T14:59:00Z</dcterms:modified>
</cp:coreProperties>
</file>