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37EE" w14:textId="4426C60F" w:rsidR="00D0017B" w:rsidRPr="00815F36" w:rsidRDefault="00D0017B" w:rsidP="00815F36">
      <w:pPr>
        <w:jc w:val="center"/>
        <w:rPr>
          <w:rFonts w:ascii="Arial" w:eastAsia="Times New Roman" w:hAnsi="Arial" w:cs="Arial"/>
          <w:b/>
          <w:bCs/>
          <w:iCs/>
          <w:u w:val="single"/>
        </w:rPr>
      </w:pPr>
      <w:r w:rsidRPr="00815F36">
        <w:rPr>
          <w:rFonts w:ascii="Arial" w:hAnsi="Arial" w:cs="Arial"/>
          <w:b/>
          <w:bCs/>
          <w:u w:val="single"/>
        </w:rPr>
        <w:t>Appendix 1</w:t>
      </w:r>
      <w:r w:rsidR="00815F36" w:rsidRPr="00815F36">
        <w:rPr>
          <w:rFonts w:ascii="Arial" w:hAnsi="Arial" w:cs="Arial"/>
          <w:b/>
          <w:bCs/>
          <w:u w:val="single"/>
        </w:rPr>
        <w:t xml:space="preserve"> - </w:t>
      </w:r>
      <w:r w:rsidRPr="00815F36">
        <w:rPr>
          <w:rFonts w:ascii="Arial" w:eastAsia="Times New Roman" w:hAnsi="Arial" w:cs="Arial"/>
          <w:b/>
          <w:bCs/>
          <w:iCs/>
          <w:u w:val="single"/>
        </w:rPr>
        <w:t>Outline construction methodology for</w:t>
      </w:r>
      <w:r w:rsidR="00815F36" w:rsidRPr="00815F36">
        <w:rPr>
          <w:rFonts w:ascii="Arial" w:eastAsia="Times New Roman" w:hAnsi="Arial" w:cs="Arial"/>
          <w:b/>
          <w:bCs/>
          <w:iCs/>
          <w:u w:val="single"/>
        </w:rPr>
        <w:t xml:space="preserve"> demolition </w:t>
      </w:r>
      <w:r w:rsidRPr="00815F36">
        <w:rPr>
          <w:rFonts w:ascii="Arial" w:eastAsia="Times New Roman" w:hAnsi="Arial" w:cs="Arial"/>
          <w:b/>
          <w:bCs/>
          <w:iCs/>
          <w:u w:val="single"/>
        </w:rPr>
        <w:t>phases of the works.</w:t>
      </w:r>
    </w:p>
    <w:p w14:paraId="39A5D1B7" w14:textId="77777777" w:rsidR="005055AB" w:rsidRPr="00815F36" w:rsidRDefault="005055AB" w:rsidP="005055AB">
      <w:pPr>
        <w:overflowPunct w:val="0"/>
        <w:autoSpaceDE w:val="0"/>
        <w:autoSpaceDN w:val="0"/>
        <w:adjustRightInd w:val="0"/>
        <w:spacing w:after="0" w:line="240" w:lineRule="auto"/>
        <w:jc w:val="center"/>
        <w:textAlignment w:val="baseline"/>
        <w:rPr>
          <w:rFonts w:ascii="Arial" w:hAnsi="Arial" w:cs="Arial"/>
        </w:rPr>
      </w:pPr>
    </w:p>
    <w:p w14:paraId="17675A28" w14:textId="77777777" w:rsidR="00E62824" w:rsidRPr="00815F36" w:rsidRDefault="00E62824" w:rsidP="00E62824">
      <w:pPr>
        <w:tabs>
          <w:tab w:val="left" w:pos="0"/>
        </w:tabs>
        <w:ind w:left="-360" w:right="-48"/>
        <w:jc w:val="both"/>
        <w:rPr>
          <w:rFonts w:ascii="Arial" w:hAnsi="Arial" w:cs="Arial"/>
        </w:rPr>
      </w:pPr>
      <w:r w:rsidRPr="00815F36">
        <w:rPr>
          <w:rFonts w:ascii="Arial" w:hAnsi="Arial" w:cs="Arial"/>
        </w:rPr>
        <w:t xml:space="preserve">Our management structure is based on strong leadership from directors through to the operatives with a innovate attitude to adapt when needed at any stage as the project progresses. These adaptions take place through communicating with all site teams / members daily via onsite meetings and briefings  </w:t>
      </w:r>
    </w:p>
    <w:p w14:paraId="44B96AFB" w14:textId="3C5D52CC" w:rsidR="00C035A0" w:rsidRPr="00815F36" w:rsidRDefault="00C035A0" w:rsidP="00C035A0">
      <w:pPr>
        <w:tabs>
          <w:tab w:val="left" w:pos="0"/>
        </w:tabs>
        <w:ind w:left="-360" w:right="-48"/>
        <w:jc w:val="both"/>
        <w:rPr>
          <w:rFonts w:ascii="Arial" w:hAnsi="Arial" w:cs="Arial"/>
          <w:b/>
        </w:rPr>
      </w:pPr>
      <w:r w:rsidRPr="00815F36">
        <w:rPr>
          <w:rFonts w:ascii="Arial" w:hAnsi="Arial" w:cs="Arial"/>
        </w:rPr>
        <w:t xml:space="preserve">Reliability is one of </w:t>
      </w:r>
      <w:r w:rsidR="00132196" w:rsidRPr="00815F36">
        <w:rPr>
          <w:rFonts w:ascii="Arial" w:hAnsi="Arial" w:cs="Arial"/>
        </w:rPr>
        <w:t>Hill LLP</w:t>
      </w:r>
      <w:r w:rsidRPr="00815F36">
        <w:rPr>
          <w:rFonts w:ascii="Arial" w:hAnsi="Arial" w:cs="Arial"/>
        </w:rPr>
        <w:t xml:space="preserve">  core values; we place enormous emphasis on planning, understanding the detail and providing optimal resources. – put simply, we will always do what we say we will.</w:t>
      </w:r>
    </w:p>
    <w:p w14:paraId="69C362C3" w14:textId="22AFF3E0" w:rsidR="00C035A0" w:rsidRPr="00815F36" w:rsidRDefault="00C035A0" w:rsidP="00C035A0">
      <w:pPr>
        <w:tabs>
          <w:tab w:val="left" w:pos="0"/>
        </w:tabs>
        <w:ind w:left="-360" w:right="-48"/>
        <w:jc w:val="both"/>
        <w:rPr>
          <w:rFonts w:ascii="Arial" w:hAnsi="Arial" w:cs="Arial"/>
        </w:rPr>
      </w:pPr>
      <w:r w:rsidRPr="00815F36">
        <w:rPr>
          <w:rFonts w:ascii="Arial" w:hAnsi="Arial" w:cs="Arial"/>
        </w:rPr>
        <w:t xml:space="preserve">There follows an outline method </w:t>
      </w:r>
      <w:r w:rsidR="00A95672" w:rsidRPr="00815F36">
        <w:rPr>
          <w:rFonts w:ascii="Arial" w:hAnsi="Arial" w:cs="Arial"/>
        </w:rPr>
        <w:t>brief</w:t>
      </w:r>
      <w:r w:rsidRPr="00815F36">
        <w:rPr>
          <w:rFonts w:ascii="Arial" w:hAnsi="Arial" w:cs="Arial"/>
        </w:rPr>
        <w:t xml:space="preserve"> describing the major activities and methods </w:t>
      </w:r>
      <w:r w:rsidR="00A95672" w:rsidRPr="00815F36">
        <w:rPr>
          <w:rFonts w:ascii="Arial" w:hAnsi="Arial" w:cs="Arial"/>
        </w:rPr>
        <w:t>Hill LLP</w:t>
      </w:r>
      <w:r w:rsidRPr="00815F36">
        <w:rPr>
          <w:rFonts w:ascii="Arial" w:hAnsi="Arial" w:cs="Arial"/>
        </w:rPr>
        <w:t xml:space="preserve"> proposes to use in carrying out the Works. Specific method statements for individual work elements will be produced upon contract award and prior to start on site. Further specific work method statements with specific risk assessments will be produced as the work progresses and as deemed necessary by the client.</w:t>
      </w:r>
    </w:p>
    <w:p w14:paraId="07B0C40F" w14:textId="7AF878F6" w:rsidR="00C035A0" w:rsidRPr="00815F36" w:rsidRDefault="00C035A0" w:rsidP="00C035A0">
      <w:pPr>
        <w:tabs>
          <w:tab w:val="left" w:pos="0"/>
        </w:tabs>
        <w:ind w:left="-360" w:right="-48"/>
        <w:jc w:val="both"/>
        <w:rPr>
          <w:rFonts w:ascii="Arial" w:hAnsi="Arial" w:cs="Arial"/>
        </w:rPr>
      </w:pPr>
      <w:r w:rsidRPr="00815F36">
        <w:rPr>
          <w:rFonts w:ascii="Arial" w:hAnsi="Arial" w:cs="Arial"/>
        </w:rPr>
        <w:t xml:space="preserve">The submission contains the broad outline of our intended method, management structure, and programme/sequential approach. Our approach to quality is described in </w:t>
      </w:r>
      <w:r w:rsidRPr="00815F36">
        <w:rPr>
          <w:rFonts w:ascii="Arial" w:hAnsi="Arial" w:cs="Arial"/>
          <w:u w:val="single"/>
        </w:rPr>
        <w:t xml:space="preserve">Section </w:t>
      </w:r>
      <w:r w:rsidR="00B82A50" w:rsidRPr="00815F36">
        <w:rPr>
          <w:rFonts w:ascii="Arial" w:hAnsi="Arial" w:cs="Arial"/>
          <w:u w:val="single"/>
        </w:rPr>
        <w:t>4</w:t>
      </w:r>
      <w:r w:rsidRPr="00815F36">
        <w:rPr>
          <w:rFonts w:ascii="Arial" w:hAnsi="Arial" w:cs="Arial"/>
          <w:u w:val="single"/>
        </w:rPr>
        <w:t xml:space="preserve"> Quality Assurance Information</w:t>
      </w:r>
      <w:r w:rsidRPr="00815F36">
        <w:rPr>
          <w:rFonts w:ascii="Arial" w:hAnsi="Arial" w:cs="Arial"/>
        </w:rPr>
        <w:t xml:space="preserve"> and our approach to health, safety and the environment is described in </w:t>
      </w:r>
      <w:r w:rsidRPr="00815F36">
        <w:rPr>
          <w:rFonts w:ascii="Arial" w:hAnsi="Arial" w:cs="Arial"/>
          <w:u w:val="single"/>
        </w:rPr>
        <w:t xml:space="preserve">Section </w:t>
      </w:r>
      <w:r w:rsidR="00B82A50" w:rsidRPr="00815F36">
        <w:rPr>
          <w:rFonts w:ascii="Arial" w:hAnsi="Arial" w:cs="Arial"/>
          <w:u w:val="single"/>
        </w:rPr>
        <w:t>5</w:t>
      </w:r>
      <w:r w:rsidRPr="00815F36">
        <w:rPr>
          <w:rFonts w:ascii="Arial" w:hAnsi="Arial" w:cs="Arial"/>
          <w:u w:val="single"/>
        </w:rPr>
        <w:t xml:space="preserve"> H&amp;S Policy</w:t>
      </w:r>
      <w:r w:rsidRPr="00815F36">
        <w:rPr>
          <w:rFonts w:ascii="Arial" w:hAnsi="Arial" w:cs="Arial"/>
        </w:rPr>
        <w:t>.</w:t>
      </w:r>
    </w:p>
    <w:p w14:paraId="14E8316D" w14:textId="06AA0224" w:rsidR="00F5340D" w:rsidRPr="00815F36" w:rsidRDefault="00FD7BD4" w:rsidP="00C035A0">
      <w:pPr>
        <w:tabs>
          <w:tab w:val="left" w:pos="0"/>
        </w:tabs>
        <w:ind w:left="-360" w:right="-48"/>
        <w:jc w:val="both"/>
        <w:rPr>
          <w:rFonts w:ascii="Arial" w:hAnsi="Arial" w:cs="Arial"/>
        </w:rPr>
      </w:pPr>
      <w:r w:rsidRPr="00815F36">
        <w:rPr>
          <w:rFonts w:ascii="Arial" w:hAnsi="Arial" w:cs="Arial"/>
        </w:rPr>
        <w:t>To</w:t>
      </w:r>
      <w:r w:rsidR="00C035A0" w:rsidRPr="00815F36">
        <w:rPr>
          <w:rFonts w:ascii="Arial" w:hAnsi="Arial" w:cs="Arial"/>
        </w:rPr>
        <w:t xml:space="preserve"> further improve the Company’s safety culture, </w:t>
      </w:r>
      <w:r w:rsidR="00A95672" w:rsidRPr="00815F36">
        <w:rPr>
          <w:rFonts w:ascii="Arial" w:hAnsi="Arial" w:cs="Arial"/>
        </w:rPr>
        <w:t xml:space="preserve">Hill </w:t>
      </w:r>
      <w:r w:rsidRPr="00815F36">
        <w:rPr>
          <w:rFonts w:ascii="Arial" w:hAnsi="Arial" w:cs="Arial"/>
        </w:rPr>
        <w:t>LLPs</w:t>
      </w:r>
      <w:r w:rsidR="00C035A0" w:rsidRPr="00815F36">
        <w:rPr>
          <w:rFonts w:ascii="Arial" w:hAnsi="Arial" w:cs="Arial"/>
        </w:rPr>
        <w:t xml:space="preserve"> developed a ‘Behavioural Safety </w:t>
      </w:r>
      <w:r w:rsidR="00A95672" w:rsidRPr="00815F36">
        <w:rPr>
          <w:rFonts w:ascii="Arial" w:hAnsi="Arial" w:cs="Arial"/>
        </w:rPr>
        <w:t>culture</w:t>
      </w:r>
      <w:r w:rsidR="00C035A0" w:rsidRPr="00815F36">
        <w:rPr>
          <w:rFonts w:ascii="Arial" w:hAnsi="Arial" w:cs="Arial"/>
        </w:rPr>
        <w:t xml:space="preserve">. The purpose is to encourage and foster the realisation by our personnel that it is unacceptable for them to take short cuts, cut corners or rush a job at the expense of safety to our personnel, fellow </w:t>
      </w:r>
      <w:r w:rsidRPr="00815F36">
        <w:rPr>
          <w:rFonts w:ascii="Arial" w:hAnsi="Arial" w:cs="Arial"/>
        </w:rPr>
        <w:t>contractors,</w:t>
      </w:r>
      <w:r w:rsidR="00C035A0" w:rsidRPr="00815F36">
        <w:rPr>
          <w:rFonts w:ascii="Arial" w:hAnsi="Arial" w:cs="Arial"/>
        </w:rPr>
        <w:t xml:space="preserve"> or any stakeholders.</w:t>
      </w:r>
    </w:p>
    <w:p w14:paraId="03A124E7" w14:textId="77D080C0" w:rsidR="00C035A0" w:rsidRPr="00815F36" w:rsidRDefault="00C035A0" w:rsidP="00C035A0">
      <w:pPr>
        <w:tabs>
          <w:tab w:val="left" w:pos="0"/>
        </w:tabs>
        <w:ind w:left="-360" w:right="-48"/>
        <w:jc w:val="both"/>
        <w:rPr>
          <w:rFonts w:ascii="Arial" w:hAnsi="Arial" w:cs="Arial"/>
        </w:rPr>
      </w:pPr>
      <w:r w:rsidRPr="00815F36">
        <w:rPr>
          <w:rFonts w:ascii="Arial" w:hAnsi="Arial" w:cs="Arial"/>
        </w:rPr>
        <w:t xml:space="preserve">Our staff and personnel attend various briefing sessions. These are not training sessions. Unlike a training course, there are no new facts to learn. There are no facts and figures to remember, no rules to memorise – the intention is to instil the realisation that accidents can be prevented and that there is a better way of doing things. These sessions mirror the ethos of the company that we want the work done on time, within budget, to the right specification but above all, without hurting anyone and that it is always right for the individual to speak up if unsafe practices are noticed. This message is driven from the top and supported by </w:t>
      </w:r>
      <w:r w:rsidR="00132196" w:rsidRPr="00815F36">
        <w:rPr>
          <w:rFonts w:ascii="Arial" w:hAnsi="Arial" w:cs="Arial"/>
        </w:rPr>
        <w:t>hierarchy</w:t>
      </w:r>
    </w:p>
    <w:p w14:paraId="5811756D" w14:textId="339692B9" w:rsidR="00C035A0" w:rsidRPr="00815F36" w:rsidRDefault="00C035A0" w:rsidP="00C035A0">
      <w:pPr>
        <w:tabs>
          <w:tab w:val="left" w:pos="0"/>
        </w:tabs>
        <w:ind w:left="-360" w:right="-48"/>
        <w:jc w:val="both"/>
        <w:rPr>
          <w:rFonts w:ascii="Arial" w:hAnsi="Arial" w:cs="Arial"/>
        </w:rPr>
      </w:pPr>
      <w:r w:rsidRPr="00815F36">
        <w:rPr>
          <w:rFonts w:ascii="Arial" w:hAnsi="Arial" w:cs="Arial"/>
        </w:rPr>
        <w:t xml:space="preserve">Various initiatives have been set up to reinforce our message in order that it remains at the forefront of everyone`s mind. These include Reward and Recognition nominations, where a Project Manager will nominate an operative or gang on their site that has made an additional effort in support of safety or consistently behaved in an exemplary manner in adhering to the safe system of work on site. We operate poster awareness campaigns. We believe that simple measures, along with the actions raised from </w:t>
      </w:r>
      <w:r w:rsidR="00132196" w:rsidRPr="00815F36">
        <w:rPr>
          <w:rFonts w:ascii="Arial" w:hAnsi="Arial" w:cs="Arial"/>
        </w:rPr>
        <w:t xml:space="preserve">safety </w:t>
      </w:r>
      <w:r w:rsidRPr="00815F36">
        <w:rPr>
          <w:rFonts w:ascii="Arial" w:hAnsi="Arial" w:cs="Arial"/>
        </w:rPr>
        <w:t xml:space="preserve">meetings, help to encourage a step change in our beliefs and philosophy with respect to health and safety. </w:t>
      </w:r>
    </w:p>
    <w:p w14:paraId="49D80856" w14:textId="4F034A4C" w:rsidR="00FB1C6C" w:rsidRPr="00815F36" w:rsidRDefault="00FB1C6C" w:rsidP="00FB1C6C">
      <w:pPr>
        <w:ind w:left="-360" w:right="-48"/>
        <w:jc w:val="both"/>
        <w:rPr>
          <w:rFonts w:ascii="Arial" w:hAnsi="Arial" w:cs="Arial"/>
        </w:rPr>
      </w:pPr>
      <w:r w:rsidRPr="00815F36">
        <w:rPr>
          <w:rFonts w:ascii="Arial" w:hAnsi="Arial" w:cs="Arial"/>
        </w:rPr>
        <w:t xml:space="preserve">Hill </w:t>
      </w:r>
      <w:r w:rsidR="00FD7BD4" w:rsidRPr="00815F36">
        <w:rPr>
          <w:rFonts w:ascii="Arial" w:hAnsi="Arial" w:cs="Arial"/>
        </w:rPr>
        <w:t>LLPs</w:t>
      </w:r>
      <w:r w:rsidRPr="00815F36">
        <w:rPr>
          <w:rFonts w:ascii="Arial" w:hAnsi="Arial" w:cs="Arial"/>
        </w:rPr>
        <w:t xml:space="preserve"> are actively committing as a company to the considerate constructor’s scheme, driving up standards across </w:t>
      </w:r>
      <w:r w:rsidR="00FD7BD4" w:rsidRPr="00815F36">
        <w:rPr>
          <w:rFonts w:ascii="Arial" w:hAnsi="Arial" w:cs="Arial"/>
        </w:rPr>
        <w:t>all</w:t>
      </w:r>
      <w:r w:rsidRPr="00815F36">
        <w:rPr>
          <w:rFonts w:ascii="Arial" w:hAnsi="Arial" w:cs="Arial"/>
        </w:rPr>
        <w:t xml:space="preserve"> our sites and creating a better image of the construction industry </w:t>
      </w:r>
      <w:r w:rsidR="00FD7BD4" w:rsidRPr="00815F36">
        <w:rPr>
          <w:rFonts w:ascii="Arial" w:hAnsi="Arial" w:cs="Arial"/>
        </w:rPr>
        <w:t>by.</w:t>
      </w:r>
    </w:p>
    <w:p w14:paraId="7FC4B7A9" w14:textId="70F9FBFF" w:rsidR="00FB1C6C" w:rsidRPr="00815F36" w:rsidRDefault="00995FED" w:rsidP="00FB1C6C">
      <w:pPr>
        <w:ind w:left="-360" w:right="-48"/>
        <w:jc w:val="both"/>
        <w:rPr>
          <w:rFonts w:ascii="Arial" w:hAnsi="Arial" w:cs="Arial"/>
          <w:b/>
          <w:bCs/>
        </w:rPr>
      </w:pPr>
      <w:r w:rsidRPr="00815F36">
        <w:rPr>
          <w:rFonts w:ascii="Arial" w:hAnsi="Arial" w:cs="Arial"/>
          <w:b/>
          <w:bCs/>
        </w:rPr>
        <w:t xml:space="preserve"> </w:t>
      </w:r>
    </w:p>
    <w:p w14:paraId="4C9BC371" w14:textId="0EA5A750" w:rsidR="005E1A0D" w:rsidRPr="00815F36" w:rsidRDefault="005E1A0D" w:rsidP="00FB1C6C">
      <w:pPr>
        <w:ind w:left="-360" w:right="-48"/>
        <w:jc w:val="both"/>
        <w:rPr>
          <w:rFonts w:ascii="Arial" w:hAnsi="Arial" w:cs="Arial"/>
          <w:b/>
          <w:bCs/>
        </w:rPr>
      </w:pPr>
    </w:p>
    <w:p w14:paraId="01415E12" w14:textId="7C349FB4"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lastRenderedPageBreak/>
        <w:t>Installation of protective scaffolding</w:t>
      </w:r>
      <w:r w:rsidR="009B644C">
        <w:rPr>
          <w:rFonts w:ascii="Arial" w:eastAsia="Times New Roman" w:hAnsi="Arial" w:cs="Arial"/>
          <w:iCs/>
        </w:rPr>
        <w:t xml:space="preserve"> wrapped in Monarflex</w:t>
      </w:r>
      <w:r w:rsidRPr="00815F36">
        <w:rPr>
          <w:rFonts w:ascii="Arial" w:eastAsia="Times New Roman" w:hAnsi="Arial" w:cs="Arial"/>
          <w:iCs/>
        </w:rPr>
        <w:t xml:space="preserve"> between the disused substation and the boundary fence of the site and St Michaels primary school. This will prevent any debris entering the school property.</w:t>
      </w:r>
    </w:p>
    <w:p w14:paraId="28A6057A" w14:textId="77777777" w:rsidR="005E1A0D" w:rsidRPr="00815F36" w:rsidRDefault="005E1A0D" w:rsidP="005E1A0D">
      <w:pPr>
        <w:pStyle w:val="ListParagraph"/>
        <w:spacing w:after="180" w:line="240" w:lineRule="auto"/>
        <w:jc w:val="both"/>
        <w:rPr>
          <w:rFonts w:ascii="Arial" w:eastAsia="Times New Roman" w:hAnsi="Arial" w:cs="Arial"/>
          <w:iCs/>
        </w:rPr>
      </w:pPr>
    </w:p>
    <w:p w14:paraId="783ACB15" w14:textId="042CEA06"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Disconnection certificates for water, gas and electricity must be received from Clancy Group prior to commencing demolition.</w:t>
      </w:r>
    </w:p>
    <w:p w14:paraId="77AD4667" w14:textId="77777777" w:rsidR="005E1A0D" w:rsidRPr="00815F36" w:rsidRDefault="005E1A0D" w:rsidP="005E1A0D">
      <w:pPr>
        <w:pStyle w:val="ListParagraph"/>
        <w:rPr>
          <w:rFonts w:ascii="Arial" w:eastAsia="Times New Roman" w:hAnsi="Arial" w:cs="Arial"/>
          <w:iCs/>
        </w:rPr>
      </w:pPr>
    </w:p>
    <w:p w14:paraId="4FE715E2" w14:textId="6CBA547B" w:rsidR="005E1A0D" w:rsidRPr="006B6D69" w:rsidRDefault="005E1A0D" w:rsidP="005E1A0D">
      <w:pPr>
        <w:pStyle w:val="ListParagraph"/>
        <w:numPr>
          <w:ilvl w:val="0"/>
          <w:numId w:val="33"/>
        </w:numPr>
        <w:spacing w:after="180" w:line="240" w:lineRule="auto"/>
        <w:jc w:val="both"/>
        <w:rPr>
          <w:rFonts w:ascii="Arial" w:eastAsia="Times New Roman" w:hAnsi="Arial" w:cs="Arial"/>
          <w:iCs/>
          <w:strike/>
          <w:color w:val="00B0F0"/>
        </w:rPr>
      </w:pPr>
      <w:r w:rsidRPr="006B6D69">
        <w:rPr>
          <w:rFonts w:ascii="Arial" w:eastAsia="Times New Roman" w:hAnsi="Arial" w:cs="Arial"/>
          <w:iCs/>
          <w:strike/>
          <w:color w:val="00B0F0"/>
        </w:rPr>
        <w:t>An Asbestos re-occupancy certificate must be received from the Clancy Group prior to demolition commencing.</w:t>
      </w:r>
    </w:p>
    <w:p w14:paraId="3838577E" w14:textId="77777777" w:rsidR="005E1A0D" w:rsidRPr="00815F36" w:rsidRDefault="005E1A0D" w:rsidP="005E1A0D">
      <w:pPr>
        <w:pStyle w:val="ListParagraph"/>
        <w:rPr>
          <w:rFonts w:ascii="Arial" w:eastAsia="Times New Roman" w:hAnsi="Arial" w:cs="Arial"/>
          <w:iCs/>
        </w:rPr>
      </w:pPr>
    </w:p>
    <w:p w14:paraId="332DC79C" w14:textId="135D30E6"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A visual site inspection will be carried out by Hill Demolition.</w:t>
      </w:r>
    </w:p>
    <w:p w14:paraId="4A9525F1" w14:textId="77777777" w:rsidR="005E1A0D" w:rsidRPr="00815F36" w:rsidRDefault="005E1A0D" w:rsidP="005E1A0D">
      <w:pPr>
        <w:pStyle w:val="ListParagraph"/>
        <w:rPr>
          <w:rFonts w:ascii="Arial" w:eastAsia="Times New Roman" w:hAnsi="Arial" w:cs="Arial"/>
          <w:iCs/>
        </w:rPr>
      </w:pPr>
    </w:p>
    <w:p w14:paraId="1793DD5F" w14:textId="722C55C8"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bookmarkStart w:id="0" w:name="_Hlk116627043"/>
      <w:r w:rsidRPr="00815F36">
        <w:rPr>
          <w:rFonts w:ascii="Arial" w:eastAsia="Times New Roman" w:hAnsi="Arial" w:cs="Arial"/>
          <w:iCs/>
        </w:rPr>
        <w:t>Demolition and noise monitoring will then then commence, and monitoring will only finish once the noisy works are complete.</w:t>
      </w:r>
    </w:p>
    <w:bookmarkEnd w:id="0"/>
    <w:p w14:paraId="23FBD7B7" w14:textId="77777777" w:rsidR="00D0017B" w:rsidRPr="00815F36" w:rsidRDefault="00D0017B" w:rsidP="00D0017B">
      <w:pPr>
        <w:pStyle w:val="ListParagraph"/>
        <w:rPr>
          <w:rFonts w:ascii="Arial" w:eastAsia="Times New Roman" w:hAnsi="Arial" w:cs="Arial"/>
          <w:iCs/>
        </w:rPr>
      </w:pPr>
    </w:p>
    <w:p w14:paraId="6620E15D" w14:textId="27A5CDB7" w:rsidR="00D0017B" w:rsidRPr="006B6D69" w:rsidRDefault="00D0017B" w:rsidP="00D0017B">
      <w:pPr>
        <w:pStyle w:val="ListParagraph"/>
        <w:numPr>
          <w:ilvl w:val="0"/>
          <w:numId w:val="33"/>
        </w:numPr>
        <w:rPr>
          <w:rFonts w:ascii="Arial" w:eastAsia="Times New Roman" w:hAnsi="Arial" w:cs="Arial"/>
          <w:iCs/>
          <w:color w:val="000000" w:themeColor="text1"/>
        </w:rPr>
      </w:pPr>
      <w:bookmarkStart w:id="1" w:name="_Hlk116627021"/>
      <w:bookmarkStart w:id="2" w:name="_Hlk116627068"/>
      <w:r w:rsidRPr="006B6D69">
        <w:rPr>
          <w:rFonts w:ascii="Arial" w:eastAsia="Times New Roman" w:hAnsi="Arial" w:cs="Arial"/>
          <w:iCs/>
          <w:color w:val="000000" w:themeColor="text1"/>
        </w:rPr>
        <w:t>Dust will be always suppressed during demolition works using water cannons, waters hoses and connections</w:t>
      </w:r>
      <w:bookmarkEnd w:id="1"/>
      <w:r w:rsidRPr="006B6D69">
        <w:rPr>
          <w:rFonts w:ascii="Arial" w:eastAsia="Times New Roman" w:hAnsi="Arial" w:cs="Arial"/>
          <w:iCs/>
          <w:color w:val="000000" w:themeColor="text1"/>
        </w:rPr>
        <w:t>.</w:t>
      </w:r>
    </w:p>
    <w:bookmarkEnd w:id="2"/>
    <w:p w14:paraId="33837CE6" w14:textId="77777777" w:rsidR="00FC2064" w:rsidRPr="006B6D69" w:rsidRDefault="00FC2064" w:rsidP="00FC2064">
      <w:pPr>
        <w:pStyle w:val="ListParagraph"/>
        <w:rPr>
          <w:rFonts w:ascii="Arial" w:eastAsia="Times New Roman" w:hAnsi="Arial" w:cs="Arial"/>
          <w:iCs/>
          <w:color w:val="000000" w:themeColor="text1"/>
        </w:rPr>
      </w:pPr>
    </w:p>
    <w:p w14:paraId="03E9887F" w14:textId="73E931B5" w:rsidR="00FC2064" w:rsidRPr="00815F36" w:rsidRDefault="00FC2064" w:rsidP="00215445">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Via access from scaffolding and ally towers, soft strip of the building shall be carried out.</w:t>
      </w:r>
    </w:p>
    <w:p w14:paraId="26C02EE5" w14:textId="77777777" w:rsidR="00FC2064" w:rsidRPr="00815F36" w:rsidRDefault="00FC2064" w:rsidP="00FC2064">
      <w:pPr>
        <w:pStyle w:val="ListParagraph"/>
        <w:rPr>
          <w:rFonts w:ascii="Arial" w:eastAsia="Times New Roman" w:hAnsi="Arial" w:cs="Arial"/>
          <w:iCs/>
        </w:rPr>
      </w:pPr>
    </w:p>
    <w:p w14:paraId="081B0105" w14:textId="1E88F6CE"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The first phase of demolition will be the demolition of the external brickwork transformer bays. Two 21T track machines with br</w:t>
      </w:r>
      <w:r w:rsidR="00815F36">
        <w:rPr>
          <w:rFonts w:ascii="Arial" w:eastAsia="Times New Roman" w:hAnsi="Arial" w:cs="Arial"/>
          <w:iCs/>
        </w:rPr>
        <w:t>e</w:t>
      </w:r>
      <w:r w:rsidRPr="00815F36">
        <w:rPr>
          <w:rFonts w:ascii="Arial" w:eastAsia="Times New Roman" w:hAnsi="Arial" w:cs="Arial"/>
          <w:iCs/>
        </w:rPr>
        <w:t>aker attachment shall be used to break up the walls.</w:t>
      </w:r>
    </w:p>
    <w:p w14:paraId="177FE808" w14:textId="77777777" w:rsidR="00815F36" w:rsidRDefault="00815F36" w:rsidP="00815F36">
      <w:pPr>
        <w:pStyle w:val="ListParagraph"/>
        <w:spacing w:after="180" w:line="240" w:lineRule="auto"/>
        <w:jc w:val="both"/>
        <w:rPr>
          <w:rFonts w:ascii="Arial" w:eastAsia="Times New Roman" w:hAnsi="Arial" w:cs="Arial"/>
          <w:iCs/>
        </w:rPr>
      </w:pPr>
    </w:p>
    <w:p w14:paraId="79E97FD2" w14:textId="257AE838" w:rsidR="005E1A0D" w:rsidRPr="00815F36" w:rsidRDefault="00815F36" w:rsidP="005E1A0D">
      <w:pPr>
        <w:pStyle w:val="ListParagraph"/>
        <w:numPr>
          <w:ilvl w:val="0"/>
          <w:numId w:val="33"/>
        </w:numPr>
        <w:spacing w:after="180" w:line="240" w:lineRule="auto"/>
        <w:jc w:val="both"/>
        <w:rPr>
          <w:rFonts w:ascii="Arial" w:eastAsia="Times New Roman" w:hAnsi="Arial" w:cs="Arial"/>
          <w:iCs/>
        </w:rPr>
      </w:pPr>
      <w:r>
        <w:rPr>
          <w:rFonts w:ascii="Arial" w:eastAsia="Times New Roman" w:hAnsi="Arial" w:cs="Arial"/>
          <w:iCs/>
        </w:rPr>
        <w:t xml:space="preserve">Next </w:t>
      </w:r>
      <w:r w:rsidR="005E1A0D" w:rsidRPr="00815F36">
        <w:rPr>
          <w:rFonts w:ascii="Arial" w:eastAsia="Times New Roman" w:hAnsi="Arial" w:cs="Arial"/>
          <w:iCs/>
        </w:rPr>
        <w:t>will be the demolition of external reinforced concrete slabs and foundations which the walls were built upon.</w:t>
      </w:r>
    </w:p>
    <w:p w14:paraId="4E0A37CC" w14:textId="77777777" w:rsidR="004A2854" w:rsidRPr="00815F36" w:rsidRDefault="004A2854" w:rsidP="004A2854">
      <w:pPr>
        <w:pStyle w:val="ListParagraph"/>
        <w:rPr>
          <w:rFonts w:ascii="Arial" w:eastAsia="Times New Roman" w:hAnsi="Arial" w:cs="Arial"/>
          <w:iCs/>
        </w:rPr>
      </w:pPr>
    </w:p>
    <w:p w14:paraId="0DD99188" w14:textId="772B70D3"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A 21T track machine with br</w:t>
      </w:r>
      <w:r w:rsidR="00815F36">
        <w:rPr>
          <w:rFonts w:ascii="Arial" w:eastAsia="Times New Roman" w:hAnsi="Arial" w:cs="Arial"/>
          <w:iCs/>
        </w:rPr>
        <w:t>e</w:t>
      </w:r>
      <w:r w:rsidRPr="00815F36">
        <w:rPr>
          <w:rFonts w:ascii="Arial" w:eastAsia="Times New Roman" w:hAnsi="Arial" w:cs="Arial"/>
          <w:iCs/>
        </w:rPr>
        <w:t>aker attachment shall be used to break up the slabs and foundations. A crusher attachment on the track machine shall be used to break up and separate the concrete from the steel reinforcement.</w:t>
      </w:r>
    </w:p>
    <w:p w14:paraId="6FADEE06" w14:textId="77777777" w:rsidR="005E1A0D" w:rsidRPr="00815F36" w:rsidRDefault="005E1A0D" w:rsidP="005E1A0D">
      <w:pPr>
        <w:pStyle w:val="ListParagraph"/>
        <w:spacing w:after="180" w:line="240" w:lineRule="auto"/>
        <w:jc w:val="both"/>
        <w:rPr>
          <w:rFonts w:ascii="Arial" w:eastAsia="Times New Roman" w:hAnsi="Arial" w:cs="Arial"/>
          <w:iCs/>
        </w:rPr>
      </w:pPr>
    </w:p>
    <w:p w14:paraId="0BEE6517" w14:textId="66E1F27F"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 xml:space="preserve">Phase </w:t>
      </w:r>
      <w:r w:rsidR="00815F36">
        <w:rPr>
          <w:rFonts w:ascii="Arial" w:eastAsia="Times New Roman" w:hAnsi="Arial" w:cs="Arial"/>
          <w:iCs/>
        </w:rPr>
        <w:t xml:space="preserve">2 </w:t>
      </w:r>
      <w:r w:rsidRPr="00815F36">
        <w:rPr>
          <w:rFonts w:ascii="Arial" w:eastAsia="Times New Roman" w:hAnsi="Arial" w:cs="Arial"/>
          <w:iCs/>
        </w:rPr>
        <w:t xml:space="preserve">will include demolishing the dis-used substation building. This building consists of a basement plus two storeys. </w:t>
      </w:r>
      <w:r w:rsidR="00815F36">
        <w:rPr>
          <w:rFonts w:ascii="Arial" w:eastAsia="Times New Roman" w:hAnsi="Arial" w:cs="Arial"/>
          <w:iCs/>
        </w:rPr>
        <w:t>T</w:t>
      </w:r>
      <w:r w:rsidRPr="00815F36">
        <w:rPr>
          <w:rFonts w:ascii="Arial" w:eastAsia="Times New Roman" w:hAnsi="Arial" w:cs="Arial"/>
          <w:iCs/>
        </w:rPr>
        <w:t>he building</w:t>
      </w:r>
      <w:r w:rsidR="00815F36">
        <w:rPr>
          <w:rFonts w:ascii="Arial" w:eastAsia="Times New Roman" w:hAnsi="Arial" w:cs="Arial"/>
          <w:iCs/>
        </w:rPr>
        <w:t xml:space="preserve"> superstructure i</w:t>
      </w:r>
      <w:r w:rsidRPr="00815F36">
        <w:rPr>
          <w:rFonts w:ascii="Arial" w:eastAsia="Times New Roman" w:hAnsi="Arial" w:cs="Arial"/>
          <w:iCs/>
        </w:rPr>
        <w:t>s made of brick walls</w:t>
      </w:r>
      <w:r w:rsidR="001E7BBD">
        <w:rPr>
          <w:rFonts w:ascii="Arial" w:eastAsia="Times New Roman" w:hAnsi="Arial" w:cs="Arial"/>
          <w:iCs/>
        </w:rPr>
        <w:t xml:space="preserve"> and r</w:t>
      </w:r>
      <w:r w:rsidRPr="00815F36">
        <w:rPr>
          <w:rFonts w:ascii="Arial" w:eastAsia="Times New Roman" w:hAnsi="Arial" w:cs="Arial"/>
          <w:iCs/>
        </w:rPr>
        <w:t>einforced concrete slabs</w:t>
      </w:r>
      <w:r w:rsidR="00815F36">
        <w:rPr>
          <w:rFonts w:ascii="Arial" w:eastAsia="Times New Roman" w:hAnsi="Arial" w:cs="Arial"/>
          <w:iCs/>
        </w:rPr>
        <w:t xml:space="preserve">. The substructure is made of </w:t>
      </w:r>
      <w:r w:rsidR="001E7BBD">
        <w:rPr>
          <w:rFonts w:ascii="Arial" w:eastAsia="Times New Roman" w:hAnsi="Arial" w:cs="Arial"/>
          <w:iCs/>
        </w:rPr>
        <w:t>reinforced concrete walls and slabs.</w:t>
      </w:r>
    </w:p>
    <w:p w14:paraId="1F5AFF09" w14:textId="77777777" w:rsidR="005E1A0D" w:rsidRPr="00815F36" w:rsidRDefault="005E1A0D" w:rsidP="005E1A0D">
      <w:pPr>
        <w:pStyle w:val="ListParagraph"/>
        <w:rPr>
          <w:rFonts w:ascii="Arial" w:eastAsia="Times New Roman" w:hAnsi="Arial" w:cs="Arial"/>
          <w:iCs/>
        </w:rPr>
      </w:pPr>
    </w:p>
    <w:p w14:paraId="53A8DE06" w14:textId="45624B3B"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A 21T track machine with breaker attachment shall be used to break up the slabs and walls</w:t>
      </w:r>
      <w:r w:rsidR="001E7BBD">
        <w:rPr>
          <w:rFonts w:ascii="Arial" w:eastAsia="Times New Roman" w:hAnsi="Arial" w:cs="Arial"/>
          <w:iCs/>
        </w:rPr>
        <w:t xml:space="preserve"> of the building</w:t>
      </w:r>
      <w:r w:rsidRPr="00815F36">
        <w:rPr>
          <w:rFonts w:ascii="Arial" w:eastAsia="Times New Roman" w:hAnsi="Arial" w:cs="Arial"/>
          <w:iCs/>
        </w:rPr>
        <w:t>. A crusher attachment on the track machine shall be used to break up and separate the concrete from the steel reinforcement.</w:t>
      </w:r>
    </w:p>
    <w:p w14:paraId="557BBF29" w14:textId="77777777" w:rsidR="004A2854" w:rsidRPr="00815F36" w:rsidRDefault="004A2854" w:rsidP="004A2854">
      <w:pPr>
        <w:pStyle w:val="ListParagraph"/>
        <w:rPr>
          <w:rFonts w:ascii="Arial" w:eastAsia="Times New Roman" w:hAnsi="Arial" w:cs="Arial"/>
          <w:iCs/>
        </w:rPr>
      </w:pPr>
    </w:p>
    <w:p w14:paraId="32F0A878" w14:textId="1F0E7D51" w:rsidR="004A2854" w:rsidRPr="00815F36" w:rsidRDefault="004A2854"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 xml:space="preserve">Wherever the </w:t>
      </w:r>
      <w:r w:rsidR="00815F36" w:rsidRPr="00815F36">
        <w:rPr>
          <w:rFonts w:ascii="Arial" w:eastAsia="Times New Roman" w:hAnsi="Arial" w:cs="Arial"/>
          <w:iCs/>
        </w:rPr>
        <w:t>breakup</w:t>
      </w:r>
      <w:r w:rsidRPr="00815F36">
        <w:rPr>
          <w:rFonts w:ascii="Arial" w:eastAsia="Times New Roman" w:hAnsi="Arial" w:cs="Arial"/>
          <w:iCs/>
        </w:rPr>
        <w:t xml:space="preserve"> of metal </w:t>
      </w:r>
      <w:r w:rsidR="00FD7BD4" w:rsidRPr="00815F36">
        <w:rPr>
          <w:rFonts w:ascii="Arial" w:eastAsia="Times New Roman" w:hAnsi="Arial" w:cs="Arial"/>
          <w:iCs/>
        </w:rPr>
        <w:t>is</w:t>
      </w:r>
      <w:r w:rsidRPr="00815F36">
        <w:rPr>
          <w:rFonts w:ascii="Arial" w:eastAsia="Times New Roman" w:hAnsi="Arial" w:cs="Arial"/>
          <w:iCs/>
        </w:rPr>
        <w:t xml:space="preserve"> required, a task specific shear attachment will be used with the excavator.</w:t>
      </w:r>
    </w:p>
    <w:p w14:paraId="0888367E" w14:textId="77777777" w:rsidR="005E1A0D" w:rsidRPr="00815F36" w:rsidRDefault="005E1A0D" w:rsidP="005E1A0D">
      <w:pPr>
        <w:pStyle w:val="ListParagraph"/>
        <w:rPr>
          <w:rFonts w:ascii="Arial" w:eastAsia="Times New Roman" w:hAnsi="Arial" w:cs="Arial"/>
          <w:iCs/>
        </w:rPr>
      </w:pPr>
    </w:p>
    <w:p w14:paraId="105A6EA4" w14:textId="77777777"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bookmarkStart w:id="3" w:name="_Hlk116627133"/>
      <w:r w:rsidRPr="00815F36">
        <w:rPr>
          <w:rFonts w:ascii="Arial" w:eastAsia="Times New Roman" w:hAnsi="Arial" w:cs="Arial"/>
          <w:iCs/>
        </w:rPr>
        <w:t>Noise and vibration monitoring will then cease once the noisy works have ceased.</w:t>
      </w:r>
    </w:p>
    <w:p w14:paraId="7C5DC73B" w14:textId="77777777" w:rsidR="005E1A0D" w:rsidRPr="00815F36" w:rsidRDefault="005E1A0D" w:rsidP="005E1A0D">
      <w:pPr>
        <w:pStyle w:val="ListParagraph"/>
        <w:spacing w:after="180" w:line="240" w:lineRule="auto"/>
        <w:jc w:val="both"/>
        <w:rPr>
          <w:rFonts w:ascii="Arial" w:eastAsia="Times New Roman" w:hAnsi="Arial" w:cs="Arial"/>
          <w:iCs/>
        </w:rPr>
      </w:pPr>
    </w:p>
    <w:bookmarkEnd w:id="3"/>
    <w:p w14:paraId="2A7CE93A" w14:textId="70F79FC1"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 xml:space="preserve">An Extec C-12 crusher </w:t>
      </w:r>
      <w:r w:rsidR="00FC2064" w:rsidRPr="00815F36">
        <w:rPr>
          <w:rFonts w:ascii="Arial" w:eastAsia="Times New Roman" w:hAnsi="Arial" w:cs="Arial"/>
          <w:iCs/>
        </w:rPr>
        <w:t xml:space="preserve">(non-noisy) </w:t>
      </w:r>
      <w:r w:rsidRPr="00815F36">
        <w:rPr>
          <w:rFonts w:ascii="Arial" w:eastAsia="Times New Roman" w:hAnsi="Arial" w:cs="Arial"/>
          <w:iCs/>
        </w:rPr>
        <w:t xml:space="preserve">shall be used to crush the </w:t>
      </w:r>
      <w:r w:rsidR="00FC2064" w:rsidRPr="00815F36">
        <w:rPr>
          <w:rFonts w:ascii="Arial" w:eastAsia="Times New Roman" w:hAnsi="Arial" w:cs="Arial"/>
          <w:iCs/>
        </w:rPr>
        <w:t xml:space="preserve">concrete based material to enable it to be </w:t>
      </w:r>
      <w:r w:rsidRPr="00815F36">
        <w:rPr>
          <w:rFonts w:ascii="Arial" w:eastAsia="Times New Roman" w:hAnsi="Arial" w:cs="Arial"/>
          <w:iCs/>
        </w:rPr>
        <w:t>backfilled and compacted</w:t>
      </w:r>
      <w:r w:rsidR="00FD7BD4">
        <w:rPr>
          <w:rFonts w:ascii="Arial" w:eastAsia="Times New Roman" w:hAnsi="Arial" w:cs="Arial"/>
          <w:iCs/>
        </w:rPr>
        <w:t xml:space="preserve"> via rollers,</w:t>
      </w:r>
      <w:r w:rsidRPr="00815F36">
        <w:rPr>
          <w:rFonts w:ascii="Arial" w:eastAsia="Times New Roman" w:hAnsi="Arial" w:cs="Arial"/>
          <w:iCs/>
        </w:rPr>
        <w:t xml:space="preserve"> into the basement of the demolished substation building. </w:t>
      </w:r>
    </w:p>
    <w:p w14:paraId="7CC4D8FF" w14:textId="77777777" w:rsidR="005E1A0D" w:rsidRPr="00815F36" w:rsidRDefault="005E1A0D" w:rsidP="005E1A0D">
      <w:pPr>
        <w:pStyle w:val="ListParagraph"/>
        <w:rPr>
          <w:rFonts w:ascii="Arial" w:eastAsia="Times New Roman" w:hAnsi="Arial" w:cs="Arial"/>
          <w:iCs/>
        </w:rPr>
      </w:pPr>
    </w:p>
    <w:p w14:paraId="150C2905" w14:textId="53A0BED3" w:rsidR="005E1A0D" w:rsidRPr="00815F36" w:rsidRDefault="005E1A0D"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 xml:space="preserve">Surplus debris shall be removed from site </w:t>
      </w:r>
      <w:r w:rsidR="004A2854" w:rsidRPr="00815F36">
        <w:rPr>
          <w:rFonts w:ascii="Arial" w:eastAsia="Times New Roman" w:hAnsi="Arial" w:cs="Arial"/>
          <w:iCs/>
        </w:rPr>
        <w:t xml:space="preserve">via </w:t>
      </w:r>
      <w:r w:rsidRPr="00815F36">
        <w:rPr>
          <w:rFonts w:ascii="Arial" w:eastAsia="Times New Roman" w:hAnsi="Arial" w:cs="Arial"/>
          <w:iCs/>
        </w:rPr>
        <w:t xml:space="preserve">21T excavator </w:t>
      </w:r>
      <w:r w:rsidR="004A2854" w:rsidRPr="00815F36">
        <w:rPr>
          <w:rFonts w:ascii="Arial" w:eastAsia="Times New Roman" w:hAnsi="Arial" w:cs="Arial"/>
          <w:iCs/>
        </w:rPr>
        <w:t xml:space="preserve">with bucket attachment, </w:t>
      </w:r>
      <w:r w:rsidRPr="00815F36">
        <w:rPr>
          <w:rFonts w:ascii="Arial" w:eastAsia="Times New Roman" w:hAnsi="Arial" w:cs="Arial"/>
          <w:iCs/>
        </w:rPr>
        <w:t>loading muck away wagons.</w:t>
      </w:r>
    </w:p>
    <w:p w14:paraId="2D5E64C1" w14:textId="77777777" w:rsidR="004A2854" w:rsidRPr="00815F36" w:rsidRDefault="004A2854" w:rsidP="004A2854">
      <w:pPr>
        <w:pStyle w:val="ListParagraph"/>
        <w:rPr>
          <w:rFonts w:ascii="Arial" w:eastAsia="Times New Roman" w:hAnsi="Arial" w:cs="Arial"/>
          <w:iCs/>
        </w:rPr>
      </w:pPr>
    </w:p>
    <w:p w14:paraId="58C58A7B" w14:textId="5B1C1EAF" w:rsidR="004A2854" w:rsidRPr="00815F36" w:rsidRDefault="004A2854" w:rsidP="005E1A0D">
      <w:pPr>
        <w:pStyle w:val="ListParagraph"/>
        <w:numPr>
          <w:ilvl w:val="0"/>
          <w:numId w:val="33"/>
        </w:numPr>
        <w:spacing w:after="180" w:line="240" w:lineRule="auto"/>
        <w:jc w:val="both"/>
        <w:rPr>
          <w:rFonts w:ascii="Arial" w:eastAsia="Times New Roman" w:hAnsi="Arial" w:cs="Arial"/>
          <w:iCs/>
        </w:rPr>
      </w:pPr>
      <w:r w:rsidRPr="00815F36">
        <w:rPr>
          <w:rFonts w:ascii="Arial" w:eastAsia="Times New Roman" w:hAnsi="Arial" w:cs="Arial"/>
          <w:iCs/>
        </w:rPr>
        <w:t xml:space="preserve">Waste transfer notes shall be collected as material is taken offsite by a </w:t>
      </w:r>
      <w:r w:rsidR="00FD7BD4">
        <w:rPr>
          <w:rFonts w:ascii="Arial" w:eastAsia="Times New Roman" w:hAnsi="Arial" w:cs="Arial"/>
          <w:iCs/>
        </w:rPr>
        <w:t xml:space="preserve">licensed </w:t>
      </w:r>
      <w:r w:rsidRPr="00815F36">
        <w:rPr>
          <w:rFonts w:ascii="Arial" w:eastAsia="Times New Roman" w:hAnsi="Arial" w:cs="Arial"/>
          <w:iCs/>
        </w:rPr>
        <w:t>waste carrier.</w:t>
      </w:r>
    </w:p>
    <w:p w14:paraId="5AA93507" w14:textId="77777777" w:rsidR="005E1A0D" w:rsidRPr="00815F36" w:rsidRDefault="005E1A0D" w:rsidP="005E1A0D">
      <w:pPr>
        <w:pStyle w:val="ListParagraph"/>
        <w:spacing w:after="180" w:line="240" w:lineRule="auto"/>
        <w:jc w:val="both"/>
        <w:rPr>
          <w:rFonts w:ascii="Arial" w:eastAsia="Times New Roman" w:hAnsi="Arial" w:cs="Arial"/>
          <w:iCs/>
        </w:rPr>
      </w:pPr>
    </w:p>
    <w:p w14:paraId="45328879" w14:textId="15CFAB99" w:rsidR="005055AB" w:rsidRPr="00815F36" w:rsidRDefault="005055AB" w:rsidP="005055AB">
      <w:pPr>
        <w:ind w:right="-48"/>
        <w:jc w:val="both"/>
        <w:rPr>
          <w:rFonts w:ascii="Arial" w:hAnsi="Arial" w:cs="Arial"/>
          <w:b/>
          <w:bCs/>
        </w:rPr>
      </w:pPr>
    </w:p>
    <w:p w14:paraId="5AF6D184" w14:textId="49D092FD" w:rsidR="005055AB" w:rsidRPr="00815F36" w:rsidRDefault="005055AB" w:rsidP="005055AB">
      <w:pPr>
        <w:ind w:right="-48"/>
        <w:jc w:val="both"/>
        <w:rPr>
          <w:rFonts w:ascii="Arial" w:hAnsi="Arial" w:cs="Arial"/>
          <w:b/>
          <w:bCs/>
        </w:rPr>
      </w:pPr>
    </w:p>
    <w:p w14:paraId="61A3CC2D" w14:textId="17E9A176" w:rsidR="005055AB" w:rsidRPr="00815F36" w:rsidRDefault="005055AB" w:rsidP="005055AB">
      <w:pPr>
        <w:ind w:right="-48"/>
        <w:jc w:val="both"/>
        <w:rPr>
          <w:rFonts w:ascii="Arial" w:hAnsi="Arial" w:cs="Arial"/>
          <w:b/>
          <w:bCs/>
        </w:rPr>
      </w:pPr>
      <w:r w:rsidRPr="00815F36">
        <w:rPr>
          <w:rFonts w:ascii="Arial" w:hAnsi="Arial" w:cs="Arial"/>
          <w:noProof/>
        </w:rPr>
        <w:drawing>
          <wp:inline distT="0" distB="0" distL="0" distR="0" wp14:anchorId="78E3E46F" wp14:editId="583D7BCE">
            <wp:extent cx="5731510" cy="41154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115435"/>
                    </a:xfrm>
                    <a:prstGeom prst="rect">
                      <a:avLst/>
                    </a:prstGeom>
                  </pic:spPr>
                </pic:pic>
              </a:graphicData>
            </a:graphic>
          </wp:inline>
        </w:drawing>
      </w:r>
    </w:p>
    <w:p w14:paraId="41777350" w14:textId="77777777" w:rsidR="002F7C39" w:rsidRDefault="002F7C39" w:rsidP="00B62364">
      <w:pPr>
        <w:spacing w:after="0" w:line="240" w:lineRule="auto"/>
        <w:jc w:val="center"/>
      </w:pPr>
    </w:p>
    <w:sectPr w:rsidR="002F7C39" w:rsidSect="00457927">
      <w:footerReference w:type="defaul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C4F7" w14:textId="77777777" w:rsidR="001E316A" w:rsidRDefault="001E316A" w:rsidP="00457927">
      <w:pPr>
        <w:spacing w:after="0" w:line="240" w:lineRule="auto"/>
      </w:pPr>
      <w:r>
        <w:separator/>
      </w:r>
    </w:p>
  </w:endnote>
  <w:endnote w:type="continuationSeparator" w:id="0">
    <w:p w14:paraId="594E88C4" w14:textId="77777777" w:rsidR="001E316A" w:rsidRDefault="001E316A" w:rsidP="0045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0A0" w:firstRow="1" w:lastRow="0" w:firstColumn="1" w:lastColumn="0" w:noHBand="0" w:noVBand="0"/>
    </w:tblPr>
    <w:tblGrid>
      <w:gridCol w:w="4061"/>
      <w:gridCol w:w="903"/>
      <w:gridCol w:w="4062"/>
    </w:tblGrid>
    <w:tr w:rsidR="008B4E55" w:rsidRPr="00DC0823" w14:paraId="0C42BB71" w14:textId="77777777">
      <w:trPr>
        <w:trHeight w:val="151"/>
      </w:trPr>
      <w:tc>
        <w:tcPr>
          <w:tcW w:w="2250" w:type="pct"/>
          <w:tcBorders>
            <w:bottom w:val="single" w:sz="4" w:space="0" w:color="4F81BD"/>
          </w:tcBorders>
        </w:tcPr>
        <w:p w14:paraId="53720ECE" w14:textId="77777777" w:rsidR="008B4E55" w:rsidRDefault="008B4E55">
          <w:pPr>
            <w:pStyle w:val="Header"/>
            <w:rPr>
              <w:rFonts w:ascii="Cambria" w:hAnsi="Cambria"/>
              <w:b/>
              <w:bCs/>
            </w:rPr>
          </w:pPr>
        </w:p>
      </w:tc>
      <w:tc>
        <w:tcPr>
          <w:tcW w:w="500" w:type="pct"/>
          <w:vMerge w:val="restart"/>
          <w:noWrap/>
          <w:vAlign w:val="center"/>
        </w:tcPr>
        <w:p w14:paraId="59AEC801" w14:textId="77777777" w:rsidR="008B4E55" w:rsidRPr="00DC0823" w:rsidRDefault="008B4E55">
          <w:pPr>
            <w:pStyle w:val="NoSpacing"/>
            <w:rPr>
              <w:rFonts w:cs="Calibri"/>
            </w:rPr>
          </w:pPr>
          <w:r w:rsidRPr="00DC0823">
            <w:rPr>
              <w:rFonts w:cs="Calibri"/>
              <w:b/>
              <w:bCs/>
            </w:rPr>
            <w:t xml:space="preserve">Page </w:t>
          </w:r>
          <w:r w:rsidRPr="00DC0823">
            <w:rPr>
              <w:rFonts w:cs="Calibri"/>
            </w:rPr>
            <w:fldChar w:fldCharType="begin"/>
          </w:r>
          <w:r w:rsidRPr="00DC0823">
            <w:rPr>
              <w:rFonts w:cs="Calibri"/>
            </w:rPr>
            <w:instrText xml:space="preserve"> PAGE  \* MERGEFORMAT </w:instrText>
          </w:r>
          <w:r w:rsidRPr="00DC0823">
            <w:rPr>
              <w:rFonts w:cs="Calibri"/>
            </w:rPr>
            <w:fldChar w:fldCharType="separate"/>
          </w:r>
          <w:r w:rsidR="009627C6" w:rsidRPr="009627C6">
            <w:rPr>
              <w:rFonts w:cs="Calibri"/>
              <w:b/>
              <w:bCs/>
              <w:noProof/>
            </w:rPr>
            <w:t>22</w:t>
          </w:r>
          <w:r w:rsidRPr="00DC0823">
            <w:rPr>
              <w:rFonts w:cs="Calibri"/>
            </w:rPr>
            <w:fldChar w:fldCharType="end"/>
          </w:r>
        </w:p>
      </w:tc>
      <w:tc>
        <w:tcPr>
          <w:tcW w:w="2250" w:type="pct"/>
          <w:tcBorders>
            <w:bottom w:val="single" w:sz="4" w:space="0" w:color="4F81BD"/>
          </w:tcBorders>
        </w:tcPr>
        <w:p w14:paraId="213BC008" w14:textId="77777777" w:rsidR="008B4E55" w:rsidRDefault="008B4E55">
          <w:pPr>
            <w:pStyle w:val="Header"/>
            <w:rPr>
              <w:rFonts w:ascii="Cambria" w:hAnsi="Cambria"/>
              <w:b/>
              <w:bCs/>
            </w:rPr>
          </w:pPr>
        </w:p>
      </w:tc>
    </w:tr>
    <w:tr w:rsidR="008B4E55" w:rsidRPr="00DC0823" w14:paraId="6781B922" w14:textId="77777777">
      <w:trPr>
        <w:trHeight w:val="150"/>
      </w:trPr>
      <w:tc>
        <w:tcPr>
          <w:tcW w:w="2250" w:type="pct"/>
          <w:tcBorders>
            <w:top w:val="single" w:sz="4" w:space="0" w:color="4F81BD"/>
          </w:tcBorders>
        </w:tcPr>
        <w:p w14:paraId="771D8AEE" w14:textId="77777777" w:rsidR="008B4E55" w:rsidRDefault="008B4E55">
          <w:pPr>
            <w:pStyle w:val="Header"/>
            <w:rPr>
              <w:rFonts w:ascii="Cambria" w:hAnsi="Cambria"/>
              <w:b/>
              <w:bCs/>
            </w:rPr>
          </w:pPr>
        </w:p>
      </w:tc>
      <w:tc>
        <w:tcPr>
          <w:tcW w:w="500" w:type="pct"/>
          <w:vMerge/>
        </w:tcPr>
        <w:p w14:paraId="4367C518" w14:textId="77777777" w:rsidR="008B4E55" w:rsidRDefault="008B4E55">
          <w:pPr>
            <w:pStyle w:val="Header"/>
            <w:jc w:val="center"/>
            <w:rPr>
              <w:rFonts w:ascii="Cambria" w:hAnsi="Cambria"/>
              <w:b/>
              <w:bCs/>
            </w:rPr>
          </w:pPr>
        </w:p>
      </w:tc>
      <w:tc>
        <w:tcPr>
          <w:tcW w:w="2250" w:type="pct"/>
          <w:tcBorders>
            <w:top w:val="single" w:sz="4" w:space="0" w:color="4F81BD"/>
          </w:tcBorders>
        </w:tcPr>
        <w:p w14:paraId="7F0114A3" w14:textId="77777777" w:rsidR="008B4E55" w:rsidRDefault="008B4E55">
          <w:pPr>
            <w:pStyle w:val="Header"/>
            <w:rPr>
              <w:rFonts w:ascii="Cambria" w:hAnsi="Cambria"/>
              <w:b/>
              <w:bCs/>
            </w:rPr>
          </w:pPr>
        </w:p>
      </w:tc>
    </w:tr>
  </w:tbl>
  <w:p w14:paraId="76A83A5F" w14:textId="77777777" w:rsidR="008B4E55" w:rsidRDefault="008B4E55">
    <w:pPr>
      <w:pStyle w:val="Footer"/>
    </w:pPr>
    <w:r>
      <w:t>Hill Demolition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739D" w14:textId="77777777" w:rsidR="001E316A" w:rsidRDefault="001E316A" w:rsidP="00457927">
      <w:pPr>
        <w:spacing w:after="0" w:line="240" w:lineRule="auto"/>
      </w:pPr>
      <w:r>
        <w:separator/>
      </w:r>
    </w:p>
  </w:footnote>
  <w:footnote w:type="continuationSeparator" w:id="0">
    <w:p w14:paraId="56F3B9AB" w14:textId="77777777" w:rsidR="001E316A" w:rsidRDefault="001E316A" w:rsidP="00457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7E1"/>
    <w:multiLevelType w:val="hybridMultilevel"/>
    <w:tmpl w:val="DA825C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31139"/>
    <w:multiLevelType w:val="hybridMultilevel"/>
    <w:tmpl w:val="BC4E70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E5F32"/>
    <w:multiLevelType w:val="hybridMultilevel"/>
    <w:tmpl w:val="87C4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1C8A"/>
    <w:multiLevelType w:val="hybridMultilevel"/>
    <w:tmpl w:val="4108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62580"/>
    <w:multiLevelType w:val="hybridMultilevel"/>
    <w:tmpl w:val="AABC91D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277ACF"/>
    <w:multiLevelType w:val="hybridMultilevel"/>
    <w:tmpl w:val="41BE8068"/>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1F8C70F9"/>
    <w:multiLevelType w:val="hybridMultilevel"/>
    <w:tmpl w:val="911EA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3446C3"/>
    <w:multiLevelType w:val="hybridMultilevel"/>
    <w:tmpl w:val="BB380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375499"/>
    <w:multiLevelType w:val="hybridMultilevel"/>
    <w:tmpl w:val="77FEEA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560C3"/>
    <w:multiLevelType w:val="hybridMultilevel"/>
    <w:tmpl w:val="AEEE73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75B77"/>
    <w:multiLevelType w:val="hybridMultilevel"/>
    <w:tmpl w:val="4CBC1B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4363D"/>
    <w:multiLevelType w:val="hybridMultilevel"/>
    <w:tmpl w:val="D2B02E5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A5BF1"/>
    <w:multiLevelType w:val="hybridMultilevel"/>
    <w:tmpl w:val="E4B8F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0C27"/>
    <w:multiLevelType w:val="hybridMultilevel"/>
    <w:tmpl w:val="734EDCDC"/>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D4636"/>
    <w:multiLevelType w:val="hybridMultilevel"/>
    <w:tmpl w:val="AB682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62051"/>
    <w:multiLevelType w:val="hybridMultilevel"/>
    <w:tmpl w:val="D93EA858"/>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407A57A6"/>
    <w:multiLevelType w:val="hybridMultilevel"/>
    <w:tmpl w:val="94FAB5BA"/>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41D303CB"/>
    <w:multiLevelType w:val="multilevel"/>
    <w:tmpl w:val="0696FFE2"/>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C10EAC"/>
    <w:multiLevelType w:val="hybridMultilevel"/>
    <w:tmpl w:val="0B7C08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5866FE"/>
    <w:multiLevelType w:val="hybridMultilevel"/>
    <w:tmpl w:val="DB501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9C42397"/>
    <w:multiLevelType w:val="hybridMultilevel"/>
    <w:tmpl w:val="24B2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B1511"/>
    <w:multiLevelType w:val="hybridMultilevel"/>
    <w:tmpl w:val="B96CD3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6C47C5"/>
    <w:multiLevelType w:val="hybridMultilevel"/>
    <w:tmpl w:val="3BD4A4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B8B26D8"/>
    <w:multiLevelType w:val="hybridMultilevel"/>
    <w:tmpl w:val="BBC63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1504FD"/>
    <w:multiLevelType w:val="hybridMultilevel"/>
    <w:tmpl w:val="45483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8D7FAB"/>
    <w:multiLevelType w:val="hybridMultilevel"/>
    <w:tmpl w:val="1CD0C0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E67EFB"/>
    <w:multiLevelType w:val="hybridMultilevel"/>
    <w:tmpl w:val="4A4EF9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F76ABF"/>
    <w:multiLevelType w:val="multilevel"/>
    <w:tmpl w:val="0696FFE2"/>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E760271"/>
    <w:multiLevelType w:val="hybridMultilevel"/>
    <w:tmpl w:val="D55A6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B83631"/>
    <w:multiLevelType w:val="hybridMultilevel"/>
    <w:tmpl w:val="7E1212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16783E"/>
    <w:multiLevelType w:val="hybridMultilevel"/>
    <w:tmpl w:val="58CA911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81330D9"/>
    <w:multiLevelType w:val="hybridMultilevel"/>
    <w:tmpl w:val="763A09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751E60"/>
    <w:multiLevelType w:val="hybridMultilevel"/>
    <w:tmpl w:val="1B02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15"/>
  </w:num>
  <w:num w:numId="5">
    <w:abstractNumId w:val="16"/>
  </w:num>
  <w:num w:numId="6">
    <w:abstractNumId w:val="5"/>
  </w:num>
  <w:num w:numId="7">
    <w:abstractNumId w:val="25"/>
  </w:num>
  <w:num w:numId="8">
    <w:abstractNumId w:val="27"/>
  </w:num>
  <w:num w:numId="9">
    <w:abstractNumId w:val="12"/>
  </w:num>
  <w:num w:numId="10">
    <w:abstractNumId w:val="29"/>
  </w:num>
  <w:num w:numId="11">
    <w:abstractNumId w:val="28"/>
  </w:num>
  <w:num w:numId="12">
    <w:abstractNumId w:val="17"/>
  </w:num>
  <w:num w:numId="13">
    <w:abstractNumId w:val="19"/>
  </w:num>
  <w:num w:numId="14">
    <w:abstractNumId w:val="7"/>
  </w:num>
  <w:num w:numId="15">
    <w:abstractNumId w:val="23"/>
  </w:num>
  <w:num w:numId="16">
    <w:abstractNumId w:val="20"/>
  </w:num>
  <w:num w:numId="17">
    <w:abstractNumId w:val="2"/>
  </w:num>
  <w:num w:numId="18">
    <w:abstractNumId w:val="3"/>
  </w:num>
  <w:num w:numId="19">
    <w:abstractNumId w:val="14"/>
  </w:num>
  <w:num w:numId="20">
    <w:abstractNumId w:val="21"/>
  </w:num>
  <w:num w:numId="21">
    <w:abstractNumId w:val="26"/>
  </w:num>
  <w:num w:numId="22">
    <w:abstractNumId w:val="1"/>
  </w:num>
  <w:num w:numId="23">
    <w:abstractNumId w:val="10"/>
  </w:num>
  <w:num w:numId="24">
    <w:abstractNumId w:val="9"/>
  </w:num>
  <w:num w:numId="25">
    <w:abstractNumId w:val="8"/>
  </w:num>
  <w:num w:numId="26">
    <w:abstractNumId w:val="30"/>
  </w:num>
  <w:num w:numId="27">
    <w:abstractNumId w:val="31"/>
  </w:num>
  <w:num w:numId="28">
    <w:abstractNumId w:val="22"/>
  </w:num>
  <w:num w:numId="29">
    <w:abstractNumId w:val="18"/>
  </w:num>
  <w:num w:numId="30">
    <w:abstractNumId w:val="0"/>
  </w:num>
  <w:num w:numId="31">
    <w:abstractNumId w:val="24"/>
  </w:num>
  <w:num w:numId="32">
    <w:abstractNumId w:val="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3F"/>
    <w:rsid w:val="00003657"/>
    <w:rsid w:val="00005827"/>
    <w:rsid w:val="00006EFC"/>
    <w:rsid w:val="00021095"/>
    <w:rsid w:val="00037691"/>
    <w:rsid w:val="00041D14"/>
    <w:rsid w:val="0004337B"/>
    <w:rsid w:val="00056941"/>
    <w:rsid w:val="00056D85"/>
    <w:rsid w:val="00070DD1"/>
    <w:rsid w:val="000715BA"/>
    <w:rsid w:val="0008559E"/>
    <w:rsid w:val="00093DC4"/>
    <w:rsid w:val="000A22A5"/>
    <w:rsid w:val="000A77AA"/>
    <w:rsid w:val="000B2DB1"/>
    <w:rsid w:val="000B5A5D"/>
    <w:rsid w:val="000C0DEB"/>
    <w:rsid w:val="000C1BAA"/>
    <w:rsid w:val="000D3CE6"/>
    <w:rsid w:val="000D3D10"/>
    <w:rsid w:val="000D518F"/>
    <w:rsid w:val="000D6D88"/>
    <w:rsid w:val="000E0BC5"/>
    <w:rsid w:val="000E3E6E"/>
    <w:rsid w:val="000E46E6"/>
    <w:rsid w:val="000F0761"/>
    <w:rsid w:val="000F57EC"/>
    <w:rsid w:val="000F625B"/>
    <w:rsid w:val="00103898"/>
    <w:rsid w:val="00105D33"/>
    <w:rsid w:val="0011276C"/>
    <w:rsid w:val="00124559"/>
    <w:rsid w:val="00132196"/>
    <w:rsid w:val="00155039"/>
    <w:rsid w:val="0015622D"/>
    <w:rsid w:val="00160E19"/>
    <w:rsid w:val="001634EC"/>
    <w:rsid w:val="00183728"/>
    <w:rsid w:val="00187B0C"/>
    <w:rsid w:val="001910D2"/>
    <w:rsid w:val="00191954"/>
    <w:rsid w:val="0019408F"/>
    <w:rsid w:val="001A29A5"/>
    <w:rsid w:val="001A39B0"/>
    <w:rsid w:val="001D191B"/>
    <w:rsid w:val="001D68A0"/>
    <w:rsid w:val="001D6A64"/>
    <w:rsid w:val="001E161D"/>
    <w:rsid w:val="001E2CDC"/>
    <w:rsid w:val="001E316A"/>
    <w:rsid w:val="001E7BBD"/>
    <w:rsid w:val="001E7EA0"/>
    <w:rsid w:val="001F63BE"/>
    <w:rsid w:val="002115FD"/>
    <w:rsid w:val="002154F0"/>
    <w:rsid w:val="00233582"/>
    <w:rsid w:val="002450CE"/>
    <w:rsid w:val="00264F7B"/>
    <w:rsid w:val="002672B5"/>
    <w:rsid w:val="002726AB"/>
    <w:rsid w:val="002862AC"/>
    <w:rsid w:val="002871B2"/>
    <w:rsid w:val="00296E49"/>
    <w:rsid w:val="002A0566"/>
    <w:rsid w:val="002A135B"/>
    <w:rsid w:val="002A3D34"/>
    <w:rsid w:val="002B5711"/>
    <w:rsid w:val="002C2B9F"/>
    <w:rsid w:val="002E60A4"/>
    <w:rsid w:val="002F02A7"/>
    <w:rsid w:val="002F7C39"/>
    <w:rsid w:val="00305B44"/>
    <w:rsid w:val="0030740C"/>
    <w:rsid w:val="00315A68"/>
    <w:rsid w:val="00325152"/>
    <w:rsid w:val="00363FE3"/>
    <w:rsid w:val="003741B9"/>
    <w:rsid w:val="003745B9"/>
    <w:rsid w:val="00376316"/>
    <w:rsid w:val="0039094D"/>
    <w:rsid w:val="003923CD"/>
    <w:rsid w:val="003A1030"/>
    <w:rsid w:val="003C466E"/>
    <w:rsid w:val="003D4351"/>
    <w:rsid w:val="003E5E88"/>
    <w:rsid w:val="003F1256"/>
    <w:rsid w:val="003F742E"/>
    <w:rsid w:val="00406FAB"/>
    <w:rsid w:val="004079DD"/>
    <w:rsid w:val="004202D0"/>
    <w:rsid w:val="00420CF9"/>
    <w:rsid w:val="004215DF"/>
    <w:rsid w:val="0042574D"/>
    <w:rsid w:val="00427E2B"/>
    <w:rsid w:val="00443C97"/>
    <w:rsid w:val="00445089"/>
    <w:rsid w:val="004511DE"/>
    <w:rsid w:val="00457927"/>
    <w:rsid w:val="0046502D"/>
    <w:rsid w:val="0047740F"/>
    <w:rsid w:val="00480516"/>
    <w:rsid w:val="00481874"/>
    <w:rsid w:val="004843F7"/>
    <w:rsid w:val="00487CF3"/>
    <w:rsid w:val="004A08FE"/>
    <w:rsid w:val="004A2854"/>
    <w:rsid w:val="004C5079"/>
    <w:rsid w:val="004D3766"/>
    <w:rsid w:val="004D4CA4"/>
    <w:rsid w:val="004D5E23"/>
    <w:rsid w:val="004D725A"/>
    <w:rsid w:val="004D7B50"/>
    <w:rsid w:val="004E1499"/>
    <w:rsid w:val="00503597"/>
    <w:rsid w:val="00504CAF"/>
    <w:rsid w:val="005055AB"/>
    <w:rsid w:val="00511B0E"/>
    <w:rsid w:val="005348AB"/>
    <w:rsid w:val="00543265"/>
    <w:rsid w:val="0055053F"/>
    <w:rsid w:val="00550BE0"/>
    <w:rsid w:val="00552B03"/>
    <w:rsid w:val="00553BC6"/>
    <w:rsid w:val="00557018"/>
    <w:rsid w:val="00566007"/>
    <w:rsid w:val="0057202B"/>
    <w:rsid w:val="00583977"/>
    <w:rsid w:val="00590300"/>
    <w:rsid w:val="005A121A"/>
    <w:rsid w:val="005B1070"/>
    <w:rsid w:val="005B403A"/>
    <w:rsid w:val="005C1193"/>
    <w:rsid w:val="005C7C53"/>
    <w:rsid w:val="005E0BFB"/>
    <w:rsid w:val="005E1A0D"/>
    <w:rsid w:val="005E3FBC"/>
    <w:rsid w:val="005F3714"/>
    <w:rsid w:val="0060199B"/>
    <w:rsid w:val="00614AF3"/>
    <w:rsid w:val="00624F31"/>
    <w:rsid w:val="00627638"/>
    <w:rsid w:val="00631170"/>
    <w:rsid w:val="00632683"/>
    <w:rsid w:val="006338A6"/>
    <w:rsid w:val="006424C1"/>
    <w:rsid w:val="0064667E"/>
    <w:rsid w:val="006501E0"/>
    <w:rsid w:val="00655209"/>
    <w:rsid w:val="00663AAD"/>
    <w:rsid w:val="00663D43"/>
    <w:rsid w:val="006777B4"/>
    <w:rsid w:val="00681C11"/>
    <w:rsid w:val="00685FA1"/>
    <w:rsid w:val="00685FB2"/>
    <w:rsid w:val="00690C91"/>
    <w:rsid w:val="00690FB3"/>
    <w:rsid w:val="0069300A"/>
    <w:rsid w:val="006A13C0"/>
    <w:rsid w:val="006A1E2C"/>
    <w:rsid w:val="006A68BC"/>
    <w:rsid w:val="006A7CA4"/>
    <w:rsid w:val="006B0DD8"/>
    <w:rsid w:val="006B2828"/>
    <w:rsid w:val="006B2895"/>
    <w:rsid w:val="006B4797"/>
    <w:rsid w:val="006B6D69"/>
    <w:rsid w:val="006B7CEE"/>
    <w:rsid w:val="006C2E09"/>
    <w:rsid w:val="006D0523"/>
    <w:rsid w:val="006D2B34"/>
    <w:rsid w:val="006F6E54"/>
    <w:rsid w:val="00701ADC"/>
    <w:rsid w:val="00704F5A"/>
    <w:rsid w:val="0071481E"/>
    <w:rsid w:val="0072409B"/>
    <w:rsid w:val="0072523D"/>
    <w:rsid w:val="00725BDB"/>
    <w:rsid w:val="0073337B"/>
    <w:rsid w:val="007501F8"/>
    <w:rsid w:val="00762533"/>
    <w:rsid w:val="00782539"/>
    <w:rsid w:val="00785AB0"/>
    <w:rsid w:val="00790A7A"/>
    <w:rsid w:val="00792348"/>
    <w:rsid w:val="00794A76"/>
    <w:rsid w:val="00795B8A"/>
    <w:rsid w:val="007A0727"/>
    <w:rsid w:val="007A370B"/>
    <w:rsid w:val="007B6A74"/>
    <w:rsid w:val="007D10B7"/>
    <w:rsid w:val="007D4B9E"/>
    <w:rsid w:val="007E5F86"/>
    <w:rsid w:val="007E64A2"/>
    <w:rsid w:val="007E65B5"/>
    <w:rsid w:val="007F1D35"/>
    <w:rsid w:val="007F3AC5"/>
    <w:rsid w:val="0080293B"/>
    <w:rsid w:val="00804CD0"/>
    <w:rsid w:val="008114AE"/>
    <w:rsid w:val="00814C43"/>
    <w:rsid w:val="00815D3B"/>
    <w:rsid w:val="00815F36"/>
    <w:rsid w:val="00820B0C"/>
    <w:rsid w:val="008233F1"/>
    <w:rsid w:val="008327E7"/>
    <w:rsid w:val="00836739"/>
    <w:rsid w:val="00844F22"/>
    <w:rsid w:val="00857EBC"/>
    <w:rsid w:val="0087267A"/>
    <w:rsid w:val="00872F90"/>
    <w:rsid w:val="00875759"/>
    <w:rsid w:val="008853DF"/>
    <w:rsid w:val="00886307"/>
    <w:rsid w:val="008913C6"/>
    <w:rsid w:val="0089548F"/>
    <w:rsid w:val="008B26CA"/>
    <w:rsid w:val="008B4A78"/>
    <w:rsid w:val="008B4B82"/>
    <w:rsid w:val="008B4E55"/>
    <w:rsid w:val="008D6132"/>
    <w:rsid w:val="008D7C49"/>
    <w:rsid w:val="008E0654"/>
    <w:rsid w:val="008E2990"/>
    <w:rsid w:val="008E5909"/>
    <w:rsid w:val="008E6FB6"/>
    <w:rsid w:val="008F37EC"/>
    <w:rsid w:val="009034CA"/>
    <w:rsid w:val="009074DA"/>
    <w:rsid w:val="00924E89"/>
    <w:rsid w:val="00925CA8"/>
    <w:rsid w:val="00936658"/>
    <w:rsid w:val="009557E9"/>
    <w:rsid w:val="009627C6"/>
    <w:rsid w:val="00963D57"/>
    <w:rsid w:val="00974239"/>
    <w:rsid w:val="00975527"/>
    <w:rsid w:val="00975C6C"/>
    <w:rsid w:val="00975C93"/>
    <w:rsid w:val="00981E72"/>
    <w:rsid w:val="00981E8F"/>
    <w:rsid w:val="009832EF"/>
    <w:rsid w:val="009906C7"/>
    <w:rsid w:val="00990F3F"/>
    <w:rsid w:val="00995FED"/>
    <w:rsid w:val="009B1967"/>
    <w:rsid w:val="009B1E2E"/>
    <w:rsid w:val="009B644C"/>
    <w:rsid w:val="009C0AE6"/>
    <w:rsid w:val="009C4948"/>
    <w:rsid w:val="009D40A7"/>
    <w:rsid w:val="009D6A64"/>
    <w:rsid w:val="009D6F51"/>
    <w:rsid w:val="009E0C6D"/>
    <w:rsid w:val="009E2A63"/>
    <w:rsid w:val="009E345F"/>
    <w:rsid w:val="009E373A"/>
    <w:rsid w:val="009F1E66"/>
    <w:rsid w:val="009F37B1"/>
    <w:rsid w:val="00A03B46"/>
    <w:rsid w:val="00A04993"/>
    <w:rsid w:val="00A26B23"/>
    <w:rsid w:val="00A37629"/>
    <w:rsid w:val="00A45BB5"/>
    <w:rsid w:val="00A65352"/>
    <w:rsid w:val="00A67B6E"/>
    <w:rsid w:val="00A72648"/>
    <w:rsid w:val="00A75968"/>
    <w:rsid w:val="00A80561"/>
    <w:rsid w:val="00A81AE2"/>
    <w:rsid w:val="00A92FD3"/>
    <w:rsid w:val="00A95672"/>
    <w:rsid w:val="00A95E9C"/>
    <w:rsid w:val="00A96D1F"/>
    <w:rsid w:val="00AA4120"/>
    <w:rsid w:val="00AA41B5"/>
    <w:rsid w:val="00AB2382"/>
    <w:rsid w:val="00AB3822"/>
    <w:rsid w:val="00AB3E3F"/>
    <w:rsid w:val="00AC3C1E"/>
    <w:rsid w:val="00AC5010"/>
    <w:rsid w:val="00B042BE"/>
    <w:rsid w:val="00B10EA1"/>
    <w:rsid w:val="00B11884"/>
    <w:rsid w:val="00B16B78"/>
    <w:rsid w:val="00B2085B"/>
    <w:rsid w:val="00B2311D"/>
    <w:rsid w:val="00B2339A"/>
    <w:rsid w:val="00B3237F"/>
    <w:rsid w:val="00B36505"/>
    <w:rsid w:val="00B37B26"/>
    <w:rsid w:val="00B404AF"/>
    <w:rsid w:val="00B4226E"/>
    <w:rsid w:val="00B45CEC"/>
    <w:rsid w:val="00B502C5"/>
    <w:rsid w:val="00B523AE"/>
    <w:rsid w:val="00B61C65"/>
    <w:rsid w:val="00B62364"/>
    <w:rsid w:val="00B66E32"/>
    <w:rsid w:val="00B71FA2"/>
    <w:rsid w:val="00B77334"/>
    <w:rsid w:val="00B82610"/>
    <w:rsid w:val="00B82A50"/>
    <w:rsid w:val="00B9768F"/>
    <w:rsid w:val="00BA3F32"/>
    <w:rsid w:val="00BA66B0"/>
    <w:rsid w:val="00BA72E8"/>
    <w:rsid w:val="00BB2560"/>
    <w:rsid w:val="00BC2D4D"/>
    <w:rsid w:val="00BD3F3C"/>
    <w:rsid w:val="00BE6982"/>
    <w:rsid w:val="00BF0041"/>
    <w:rsid w:val="00BF3026"/>
    <w:rsid w:val="00C00299"/>
    <w:rsid w:val="00C02CCC"/>
    <w:rsid w:val="00C035A0"/>
    <w:rsid w:val="00C14709"/>
    <w:rsid w:val="00C152D1"/>
    <w:rsid w:val="00C33738"/>
    <w:rsid w:val="00C427B1"/>
    <w:rsid w:val="00C44246"/>
    <w:rsid w:val="00C611A5"/>
    <w:rsid w:val="00C6333B"/>
    <w:rsid w:val="00C80C8E"/>
    <w:rsid w:val="00C87957"/>
    <w:rsid w:val="00C94F5F"/>
    <w:rsid w:val="00C95637"/>
    <w:rsid w:val="00C95E29"/>
    <w:rsid w:val="00CA287D"/>
    <w:rsid w:val="00CB199C"/>
    <w:rsid w:val="00CB6C9B"/>
    <w:rsid w:val="00CC07DA"/>
    <w:rsid w:val="00CD66AF"/>
    <w:rsid w:val="00CE4045"/>
    <w:rsid w:val="00D0017B"/>
    <w:rsid w:val="00D0252C"/>
    <w:rsid w:val="00D03E1C"/>
    <w:rsid w:val="00D0600D"/>
    <w:rsid w:val="00D06F12"/>
    <w:rsid w:val="00D15D2E"/>
    <w:rsid w:val="00D32251"/>
    <w:rsid w:val="00D32387"/>
    <w:rsid w:val="00D32B39"/>
    <w:rsid w:val="00D37D66"/>
    <w:rsid w:val="00D52C50"/>
    <w:rsid w:val="00D628B9"/>
    <w:rsid w:val="00D82670"/>
    <w:rsid w:val="00D8609C"/>
    <w:rsid w:val="00DA11E5"/>
    <w:rsid w:val="00DA7237"/>
    <w:rsid w:val="00DA740A"/>
    <w:rsid w:val="00DB2954"/>
    <w:rsid w:val="00DC0823"/>
    <w:rsid w:val="00DC0E0B"/>
    <w:rsid w:val="00DC392C"/>
    <w:rsid w:val="00DE46EC"/>
    <w:rsid w:val="00DE50B2"/>
    <w:rsid w:val="00E00C0E"/>
    <w:rsid w:val="00E11B9A"/>
    <w:rsid w:val="00E2057A"/>
    <w:rsid w:val="00E213CD"/>
    <w:rsid w:val="00E21C37"/>
    <w:rsid w:val="00E348D2"/>
    <w:rsid w:val="00E45458"/>
    <w:rsid w:val="00E50D82"/>
    <w:rsid w:val="00E5352F"/>
    <w:rsid w:val="00E6260B"/>
    <w:rsid w:val="00E62824"/>
    <w:rsid w:val="00E84B69"/>
    <w:rsid w:val="00E94680"/>
    <w:rsid w:val="00EA5CB3"/>
    <w:rsid w:val="00ED7AA3"/>
    <w:rsid w:val="00EE0F15"/>
    <w:rsid w:val="00EE4230"/>
    <w:rsid w:val="00EF3B8C"/>
    <w:rsid w:val="00EF3ED3"/>
    <w:rsid w:val="00F00037"/>
    <w:rsid w:val="00F21844"/>
    <w:rsid w:val="00F24960"/>
    <w:rsid w:val="00F253DF"/>
    <w:rsid w:val="00F40694"/>
    <w:rsid w:val="00F45DF8"/>
    <w:rsid w:val="00F52AAA"/>
    <w:rsid w:val="00F5340D"/>
    <w:rsid w:val="00F6015E"/>
    <w:rsid w:val="00F707D8"/>
    <w:rsid w:val="00F77DD4"/>
    <w:rsid w:val="00F800FC"/>
    <w:rsid w:val="00F944FB"/>
    <w:rsid w:val="00F97920"/>
    <w:rsid w:val="00FA260E"/>
    <w:rsid w:val="00FA2C85"/>
    <w:rsid w:val="00FB1C6C"/>
    <w:rsid w:val="00FB3509"/>
    <w:rsid w:val="00FC2064"/>
    <w:rsid w:val="00FD12BC"/>
    <w:rsid w:val="00FD6247"/>
    <w:rsid w:val="00FD6BB4"/>
    <w:rsid w:val="00FD7BD4"/>
    <w:rsid w:val="00FE2405"/>
    <w:rsid w:val="00FE720C"/>
    <w:rsid w:val="00FF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536F2"/>
  <w15:docId w15:val="{A8004137-D751-49DE-8EA2-6E232306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E0"/>
    <w:pPr>
      <w:spacing w:after="200" w:line="276" w:lineRule="auto"/>
    </w:pPr>
    <w:rPr>
      <w:lang w:eastAsia="en-US"/>
    </w:rPr>
  </w:style>
  <w:style w:type="paragraph" w:styleId="Heading3">
    <w:name w:val="heading 3"/>
    <w:basedOn w:val="Normal"/>
    <w:next w:val="Normal"/>
    <w:link w:val="Heading3Char"/>
    <w:uiPriority w:val="9"/>
    <w:qFormat/>
    <w:locked/>
    <w:rsid w:val="002154F0"/>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B3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3E3F"/>
    <w:rPr>
      <w:rFonts w:ascii="Tahoma" w:hAnsi="Tahoma" w:cs="Tahoma"/>
      <w:sz w:val="16"/>
      <w:szCs w:val="16"/>
    </w:rPr>
  </w:style>
  <w:style w:type="table" w:styleId="TableGrid">
    <w:name w:val="Table Grid"/>
    <w:basedOn w:val="TableNormal"/>
    <w:uiPriority w:val="99"/>
    <w:rsid w:val="004579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5792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57927"/>
    <w:rPr>
      <w:rFonts w:cs="Times New Roman"/>
    </w:rPr>
  </w:style>
  <w:style w:type="paragraph" w:styleId="Footer">
    <w:name w:val="footer"/>
    <w:basedOn w:val="Normal"/>
    <w:link w:val="FooterChar"/>
    <w:uiPriority w:val="99"/>
    <w:rsid w:val="0045792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57927"/>
    <w:rPr>
      <w:rFonts w:cs="Times New Roman"/>
    </w:rPr>
  </w:style>
  <w:style w:type="paragraph" w:styleId="NoSpacing">
    <w:name w:val="No Spacing"/>
    <w:link w:val="NoSpacingChar"/>
    <w:uiPriority w:val="99"/>
    <w:qFormat/>
    <w:rsid w:val="00457927"/>
    <w:rPr>
      <w:rFonts w:eastAsia="Times New Roman"/>
      <w:lang w:val="en-US" w:eastAsia="ja-JP"/>
    </w:rPr>
  </w:style>
  <w:style w:type="character" w:customStyle="1" w:styleId="NoSpacingChar">
    <w:name w:val="No Spacing Char"/>
    <w:basedOn w:val="DefaultParagraphFont"/>
    <w:link w:val="NoSpacing"/>
    <w:uiPriority w:val="99"/>
    <w:locked/>
    <w:rsid w:val="00457927"/>
    <w:rPr>
      <w:rFonts w:eastAsia="Times New Roman" w:cs="Times New Roman"/>
      <w:sz w:val="22"/>
      <w:szCs w:val="22"/>
      <w:lang w:val="en-US" w:eastAsia="ja-JP" w:bidi="ar-SA"/>
    </w:rPr>
  </w:style>
  <w:style w:type="paragraph" w:styleId="ListParagraph">
    <w:name w:val="List Paragraph"/>
    <w:basedOn w:val="Normal"/>
    <w:uiPriority w:val="34"/>
    <w:qFormat/>
    <w:rsid w:val="00EF3B8C"/>
    <w:pPr>
      <w:ind w:left="720"/>
      <w:contextualSpacing/>
    </w:pPr>
  </w:style>
  <w:style w:type="character" w:customStyle="1" w:styleId="Heading3Char">
    <w:name w:val="Heading 3 Char"/>
    <w:basedOn w:val="DefaultParagraphFont"/>
    <w:link w:val="Heading3"/>
    <w:uiPriority w:val="9"/>
    <w:rsid w:val="002154F0"/>
    <w:rPr>
      <w:rFonts w:ascii="Times New Roman" w:eastAsia="Times New Roman" w:hAnsi="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2421">
      <w:bodyDiv w:val="1"/>
      <w:marLeft w:val="0"/>
      <w:marRight w:val="0"/>
      <w:marTop w:val="0"/>
      <w:marBottom w:val="0"/>
      <w:divBdr>
        <w:top w:val="none" w:sz="0" w:space="0" w:color="auto"/>
        <w:left w:val="none" w:sz="0" w:space="0" w:color="auto"/>
        <w:bottom w:val="none" w:sz="0" w:space="0" w:color="auto"/>
        <w:right w:val="none" w:sz="0" w:space="0" w:color="auto"/>
      </w:divBdr>
    </w:div>
    <w:div w:id="47332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025B-C4BF-4290-A002-1E0E39080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4679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Niall Maguire</cp:lastModifiedBy>
  <cp:revision>2</cp:revision>
  <cp:lastPrinted>2018-07-31T09:43:00Z</cp:lastPrinted>
  <dcterms:created xsi:type="dcterms:W3CDTF">2022-10-14T07:06:00Z</dcterms:created>
  <dcterms:modified xsi:type="dcterms:W3CDTF">2022-10-14T07:06:00Z</dcterms:modified>
</cp:coreProperties>
</file>