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 w:type="dxa"/>
        <w:tblLayout w:type="fixed"/>
        <w:tblCellMar>
          <w:left w:w="0" w:type="dxa"/>
          <w:right w:w="0" w:type="dxa"/>
        </w:tblCellMar>
        <w:tblLook w:val="01E0" w:firstRow="1" w:lastRow="1" w:firstColumn="1" w:lastColumn="1" w:noHBand="0" w:noVBand="0"/>
      </w:tblPr>
      <w:tblGrid>
        <w:gridCol w:w="1560"/>
        <w:gridCol w:w="1135"/>
        <w:gridCol w:w="1287"/>
        <w:gridCol w:w="271"/>
        <w:gridCol w:w="285"/>
        <w:gridCol w:w="707"/>
        <w:gridCol w:w="424"/>
        <w:gridCol w:w="513"/>
        <w:gridCol w:w="1188"/>
        <w:gridCol w:w="141"/>
        <w:gridCol w:w="707"/>
        <w:gridCol w:w="733"/>
        <w:gridCol w:w="118"/>
        <w:gridCol w:w="1245"/>
        <w:gridCol w:w="736"/>
      </w:tblGrid>
      <w:tr w:rsidR="00C512F6">
        <w:trPr>
          <w:trHeight w:val="553"/>
        </w:trPr>
        <w:tc>
          <w:tcPr>
            <w:tcW w:w="3982" w:type="dxa"/>
            <w:gridSpan w:val="3"/>
            <w:vMerge w:val="restart"/>
            <w:tcBorders>
              <w:top w:val="single" w:sz="12" w:space="0" w:color="000000"/>
              <w:left w:val="single" w:sz="12" w:space="0" w:color="000000"/>
              <w:bottom w:val="single" w:sz="2" w:space="0" w:color="000000"/>
              <w:right w:val="single" w:sz="4" w:space="0" w:color="000000"/>
            </w:tcBorders>
          </w:tcPr>
          <w:p w:rsidR="00C512F6" w:rsidRDefault="00C448EF">
            <w:pPr>
              <w:pStyle w:val="TableParagraph"/>
              <w:spacing w:line="459" w:lineRule="exact"/>
              <w:ind w:left="107"/>
              <w:rPr>
                <w:b/>
                <w:sz w:val="40"/>
              </w:rPr>
            </w:pPr>
            <w:r>
              <w:rPr>
                <w:b/>
                <w:sz w:val="40"/>
              </w:rPr>
              <w:t>Delegated Report</w:t>
            </w:r>
          </w:p>
        </w:tc>
        <w:tc>
          <w:tcPr>
            <w:tcW w:w="2200" w:type="dxa"/>
            <w:gridSpan w:val="5"/>
            <w:shd w:val="clear" w:color="auto" w:fill="000000"/>
          </w:tcPr>
          <w:p w:rsidR="00C512F6" w:rsidRDefault="00C448EF">
            <w:pPr>
              <w:pStyle w:val="TableParagraph"/>
              <w:spacing w:before="136"/>
              <w:ind w:left="120"/>
              <w:rPr>
                <w:b/>
                <w:sz w:val="24"/>
              </w:rPr>
            </w:pPr>
            <w:r>
              <w:rPr>
                <w:b/>
                <w:color w:val="FFFFFF"/>
                <w:sz w:val="24"/>
              </w:rPr>
              <w:t>Analysis sheet</w:t>
            </w:r>
          </w:p>
        </w:tc>
        <w:tc>
          <w:tcPr>
            <w:tcW w:w="2887" w:type="dxa"/>
            <w:gridSpan w:val="5"/>
            <w:shd w:val="clear" w:color="auto" w:fill="000000"/>
          </w:tcPr>
          <w:p w:rsidR="00C512F6" w:rsidRDefault="00C448EF">
            <w:pPr>
              <w:pStyle w:val="TableParagraph"/>
              <w:spacing w:before="136"/>
              <w:ind w:left="1314"/>
              <w:rPr>
                <w:b/>
                <w:sz w:val="24"/>
              </w:rPr>
            </w:pPr>
            <w:r>
              <w:rPr>
                <w:b/>
                <w:color w:val="FFFFFF"/>
                <w:sz w:val="24"/>
              </w:rPr>
              <w:t>Expiry Date:</w:t>
            </w:r>
          </w:p>
        </w:tc>
        <w:tc>
          <w:tcPr>
            <w:tcW w:w="1981" w:type="dxa"/>
            <w:gridSpan w:val="2"/>
            <w:tcBorders>
              <w:top w:val="single" w:sz="12" w:space="0" w:color="000000"/>
              <w:left w:val="single" w:sz="4" w:space="0" w:color="000000"/>
              <w:bottom w:val="single" w:sz="4" w:space="0" w:color="000000"/>
              <w:right w:val="single" w:sz="12" w:space="0" w:color="000000"/>
            </w:tcBorders>
          </w:tcPr>
          <w:p w:rsidR="00C512F6" w:rsidRDefault="00EA0C9B">
            <w:pPr>
              <w:pStyle w:val="TableParagraph"/>
              <w:ind w:left="405"/>
              <w:rPr>
                <w:b/>
                <w:sz w:val="24"/>
              </w:rPr>
            </w:pPr>
            <w:r>
              <w:rPr>
                <w:b/>
                <w:sz w:val="24"/>
              </w:rPr>
              <w:t>07</w:t>
            </w:r>
            <w:r w:rsidR="00C448EF">
              <w:rPr>
                <w:b/>
                <w:sz w:val="24"/>
              </w:rPr>
              <w:t>/0</w:t>
            </w:r>
            <w:r>
              <w:rPr>
                <w:b/>
                <w:sz w:val="24"/>
              </w:rPr>
              <w:t>7</w:t>
            </w:r>
            <w:r w:rsidR="00C448EF">
              <w:rPr>
                <w:b/>
                <w:sz w:val="24"/>
              </w:rPr>
              <w:t>/20</w:t>
            </w:r>
            <w:r>
              <w:rPr>
                <w:b/>
                <w:sz w:val="24"/>
              </w:rPr>
              <w:t>21</w:t>
            </w:r>
          </w:p>
        </w:tc>
      </w:tr>
      <w:tr w:rsidR="00C512F6">
        <w:trPr>
          <w:trHeight w:val="273"/>
        </w:trPr>
        <w:tc>
          <w:tcPr>
            <w:tcW w:w="3982" w:type="dxa"/>
            <w:gridSpan w:val="3"/>
            <w:vMerge/>
            <w:tcBorders>
              <w:top w:val="nil"/>
              <w:left w:val="single" w:sz="12" w:space="0" w:color="000000"/>
              <w:bottom w:val="single" w:sz="2" w:space="0" w:color="000000"/>
              <w:right w:val="single" w:sz="4" w:space="0" w:color="000000"/>
            </w:tcBorders>
          </w:tcPr>
          <w:p w:rsidR="00C512F6" w:rsidRDefault="00C512F6">
            <w:pPr>
              <w:rPr>
                <w:sz w:val="2"/>
                <w:szCs w:val="2"/>
              </w:rPr>
            </w:pPr>
          </w:p>
        </w:tc>
        <w:tc>
          <w:tcPr>
            <w:tcW w:w="3388" w:type="dxa"/>
            <w:gridSpan w:val="6"/>
            <w:vMerge w:val="restart"/>
            <w:tcBorders>
              <w:top w:val="single" w:sz="4" w:space="0" w:color="000000"/>
              <w:left w:val="single" w:sz="4" w:space="0" w:color="000000"/>
              <w:bottom w:val="single" w:sz="2" w:space="0" w:color="000000"/>
            </w:tcBorders>
          </w:tcPr>
          <w:p w:rsidR="00C512F6" w:rsidRDefault="00C448EF">
            <w:pPr>
              <w:pStyle w:val="TableParagraph"/>
              <w:spacing w:line="274" w:lineRule="exact"/>
              <w:ind w:left="115"/>
              <w:rPr>
                <w:sz w:val="24"/>
              </w:rPr>
            </w:pPr>
            <w:r>
              <w:rPr>
                <w:sz w:val="24"/>
              </w:rPr>
              <w:t>N/A / attached</w:t>
            </w:r>
          </w:p>
        </w:tc>
        <w:tc>
          <w:tcPr>
            <w:tcW w:w="1581" w:type="dxa"/>
            <w:gridSpan w:val="3"/>
            <w:shd w:val="clear" w:color="auto" w:fill="000000"/>
          </w:tcPr>
          <w:p w:rsidR="00C512F6" w:rsidRDefault="00C448EF">
            <w:pPr>
              <w:pStyle w:val="TableParagraph"/>
              <w:spacing w:line="253" w:lineRule="exact"/>
              <w:ind w:left="126" w:right="-15"/>
              <w:rPr>
                <w:b/>
                <w:sz w:val="24"/>
              </w:rPr>
            </w:pPr>
            <w:r>
              <w:rPr>
                <w:b/>
                <w:color w:val="FFFFFF"/>
                <w:sz w:val="24"/>
              </w:rPr>
              <w:t>Consultation</w:t>
            </w:r>
          </w:p>
        </w:tc>
        <w:tc>
          <w:tcPr>
            <w:tcW w:w="118" w:type="dxa"/>
            <w:shd w:val="clear" w:color="auto" w:fill="000000"/>
          </w:tcPr>
          <w:p w:rsidR="00C512F6" w:rsidRDefault="00C512F6">
            <w:pPr>
              <w:pStyle w:val="TableParagraph"/>
              <w:rPr>
                <w:rFonts w:ascii="Times New Roman"/>
                <w:sz w:val="20"/>
              </w:rPr>
            </w:pPr>
          </w:p>
        </w:tc>
        <w:tc>
          <w:tcPr>
            <w:tcW w:w="1981" w:type="dxa"/>
            <w:gridSpan w:val="2"/>
            <w:vMerge w:val="restart"/>
            <w:tcBorders>
              <w:top w:val="single" w:sz="4" w:space="0" w:color="000000"/>
              <w:left w:val="single" w:sz="4" w:space="0" w:color="000000"/>
              <w:right w:val="single" w:sz="12" w:space="0" w:color="000000"/>
            </w:tcBorders>
          </w:tcPr>
          <w:p w:rsidR="00C512F6" w:rsidRDefault="00C512F6">
            <w:pPr>
              <w:pStyle w:val="TableParagraph"/>
              <w:rPr>
                <w:rFonts w:ascii="Times New Roman"/>
              </w:rPr>
            </w:pPr>
          </w:p>
        </w:tc>
      </w:tr>
      <w:tr w:rsidR="00C512F6">
        <w:trPr>
          <w:trHeight w:val="275"/>
        </w:trPr>
        <w:tc>
          <w:tcPr>
            <w:tcW w:w="3982" w:type="dxa"/>
            <w:gridSpan w:val="3"/>
            <w:vMerge/>
            <w:tcBorders>
              <w:top w:val="nil"/>
              <w:left w:val="single" w:sz="12" w:space="0" w:color="000000"/>
              <w:bottom w:val="single" w:sz="2" w:space="0" w:color="000000"/>
              <w:right w:val="single" w:sz="4" w:space="0" w:color="000000"/>
            </w:tcBorders>
          </w:tcPr>
          <w:p w:rsidR="00C512F6" w:rsidRDefault="00C512F6">
            <w:pPr>
              <w:rPr>
                <w:sz w:val="2"/>
                <w:szCs w:val="2"/>
              </w:rPr>
            </w:pPr>
          </w:p>
        </w:tc>
        <w:tc>
          <w:tcPr>
            <w:tcW w:w="3388" w:type="dxa"/>
            <w:gridSpan w:val="6"/>
            <w:vMerge/>
            <w:tcBorders>
              <w:top w:val="nil"/>
              <w:left w:val="single" w:sz="4" w:space="0" w:color="000000"/>
              <w:bottom w:val="single" w:sz="2" w:space="0" w:color="000000"/>
            </w:tcBorders>
          </w:tcPr>
          <w:p w:rsidR="00C512F6" w:rsidRDefault="00C512F6">
            <w:pPr>
              <w:rPr>
                <w:sz w:val="2"/>
                <w:szCs w:val="2"/>
              </w:rPr>
            </w:pPr>
          </w:p>
        </w:tc>
        <w:tc>
          <w:tcPr>
            <w:tcW w:w="1699" w:type="dxa"/>
            <w:gridSpan w:val="4"/>
            <w:shd w:val="clear" w:color="auto" w:fill="000000"/>
          </w:tcPr>
          <w:p w:rsidR="00C512F6" w:rsidRDefault="00C448EF">
            <w:pPr>
              <w:pStyle w:val="TableParagraph"/>
              <w:spacing w:line="256" w:lineRule="exact"/>
              <w:ind w:left="126"/>
              <w:rPr>
                <w:b/>
                <w:sz w:val="24"/>
              </w:rPr>
            </w:pPr>
            <w:r>
              <w:rPr>
                <w:b/>
                <w:color w:val="FFFFFF"/>
                <w:sz w:val="24"/>
              </w:rPr>
              <w:t>Expiry Date:</w:t>
            </w:r>
          </w:p>
        </w:tc>
        <w:tc>
          <w:tcPr>
            <w:tcW w:w="1981" w:type="dxa"/>
            <w:gridSpan w:val="2"/>
            <w:vMerge/>
            <w:tcBorders>
              <w:top w:val="nil"/>
              <w:left w:val="single" w:sz="4" w:space="0" w:color="000000"/>
              <w:right w:val="single" w:sz="12" w:space="0" w:color="000000"/>
            </w:tcBorders>
          </w:tcPr>
          <w:p w:rsidR="00C512F6" w:rsidRDefault="00C512F6">
            <w:pPr>
              <w:rPr>
                <w:sz w:val="2"/>
                <w:szCs w:val="2"/>
              </w:rPr>
            </w:pPr>
          </w:p>
        </w:tc>
      </w:tr>
      <w:tr w:rsidR="00C512F6">
        <w:trPr>
          <w:trHeight w:val="268"/>
        </w:trPr>
        <w:tc>
          <w:tcPr>
            <w:tcW w:w="1560" w:type="dxa"/>
            <w:shd w:val="clear" w:color="auto" w:fill="000000"/>
          </w:tcPr>
          <w:p w:rsidR="00C512F6" w:rsidRDefault="00C448EF">
            <w:pPr>
              <w:pStyle w:val="TableParagraph"/>
              <w:spacing w:line="249" w:lineRule="exact"/>
              <w:ind w:left="122"/>
              <w:rPr>
                <w:b/>
                <w:sz w:val="24"/>
              </w:rPr>
            </w:pPr>
            <w:r>
              <w:rPr>
                <w:b/>
                <w:color w:val="FFFFFF"/>
                <w:sz w:val="24"/>
              </w:rPr>
              <w:t>Officer</w:t>
            </w:r>
          </w:p>
        </w:tc>
        <w:tc>
          <w:tcPr>
            <w:tcW w:w="1135" w:type="dxa"/>
            <w:shd w:val="clear" w:color="auto" w:fill="000000"/>
          </w:tcPr>
          <w:p w:rsidR="00C512F6" w:rsidRDefault="00C512F6">
            <w:pPr>
              <w:pStyle w:val="TableParagraph"/>
              <w:rPr>
                <w:rFonts w:ascii="Times New Roman"/>
                <w:sz w:val="18"/>
              </w:rPr>
            </w:pPr>
          </w:p>
        </w:tc>
        <w:tc>
          <w:tcPr>
            <w:tcW w:w="1287" w:type="dxa"/>
            <w:shd w:val="clear" w:color="auto" w:fill="000000"/>
          </w:tcPr>
          <w:p w:rsidR="00C512F6" w:rsidRDefault="00C512F6">
            <w:pPr>
              <w:pStyle w:val="TableParagraph"/>
              <w:rPr>
                <w:rFonts w:ascii="Times New Roman"/>
                <w:sz w:val="18"/>
              </w:rPr>
            </w:pPr>
          </w:p>
        </w:tc>
        <w:tc>
          <w:tcPr>
            <w:tcW w:w="271" w:type="dxa"/>
            <w:shd w:val="clear" w:color="auto" w:fill="000000"/>
          </w:tcPr>
          <w:p w:rsidR="00C512F6" w:rsidRDefault="00C512F6">
            <w:pPr>
              <w:pStyle w:val="TableParagraph"/>
              <w:rPr>
                <w:rFonts w:ascii="Times New Roman"/>
                <w:sz w:val="18"/>
              </w:rPr>
            </w:pPr>
          </w:p>
        </w:tc>
        <w:tc>
          <w:tcPr>
            <w:tcW w:w="285" w:type="dxa"/>
            <w:shd w:val="clear" w:color="auto" w:fill="000000"/>
          </w:tcPr>
          <w:p w:rsidR="00C512F6" w:rsidRDefault="00C512F6">
            <w:pPr>
              <w:pStyle w:val="TableParagraph"/>
              <w:rPr>
                <w:rFonts w:ascii="Times New Roman"/>
                <w:sz w:val="18"/>
              </w:rPr>
            </w:pPr>
          </w:p>
        </w:tc>
        <w:tc>
          <w:tcPr>
            <w:tcW w:w="707" w:type="dxa"/>
            <w:shd w:val="clear" w:color="auto" w:fill="000000"/>
          </w:tcPr>
          <w:p w:rsidR="00C512F6" w:rsidRDefault="00C512F6">
            <w:pPr>
              <w:pStyle w:val="TableParagraph"/>
              <w:rPr>
                <w:rFonts w:ascii="Times New Roman"/>
                <w:sz w:val="18"/>
              </w:rPr>
            </w:pPr>
          </w:p>
        </w:tc>
        <w:tc>
          <w:tcPr>
            <w:tcW w:w="424" w:type="dxa"/>
            <w:shd w:val="clear" w:color="auto" w:fill="000000"/>
          </w:tcPr>
          <w:p w:rsidR="00C512F6" w:rsidRDefault="00C512F6">
            <w:pPr>
              <w:pStyle w:val="TableParagraph"/>
              <w:rPr>
                <w:rFonts w:ascii="Times New Roman"/>
                <w:sz w:val="18"/>
              </w:rPr>
            </w:pPr>
          </w:p>
        </w:tc>
        <w:tc>
          <w:tcPr>
            <w:tcW w:w="3282" w:type="dxa"/>
            <w:gridSpan w:val="5"/>
            <w:shd w:val="clear" w:color="auto" w:fill="000000"/>
          </w:tcPr>
          <w:p w:rsidR="00C512F6" w:rsidRDefault="00C448EF">
            <w:pPr>
              <w:pStyle w:val="TableParagraph"/>
              <w:spacing w:line="249" w:lineRule="exact"/>
              <w:ind w:left="125"/>
              <w:rPr>
                <w:b/>
                <w:sz w:val="24"/>
              </w:rPr>
            </w:pPr>
            <w:r>
              <w:rPr>
                <w:b/>
                <w:color w:val="FFFFFF"/>
                <w:sz w:val="24"/>
              </w:rPr>
              <w:t>Application Number(s)</w:t>
            </w:r>
          </w:p>
        </w:tc>
        <w:tc>
          <w:tcPr>
            <w:tcW w:w="118" w:type="dxa"/>
            <w:shd w:val="clear" w:color="auto" w:fill="000000"/>
          </w:tcPr>
          <w:p w:rsidR="00C512F6" w:rsidRDefault="00C512F6">
            <w:pPr>
              <w:pStyle w:val="TableParagraph"/>
              <w:rPr>
                <w:rFonts w:ascii="Times New Roman"/>
                <w:sz w:val="18"/>
              </w:rPr>
            </w:pPr>
          </w:p>
        </w:tc>
        <w:tc>
          <w:tcPr>
            <w:tcW w:w="1245" w:type="dxa"/>
            <w:shd w:val="clear" w:color="auto" w:fill="000000"/>
          </w:tcPr>
          <w:p w:rsidR="00C512F6" w:rsidRDefault="00C512F6">
            <w:pPr>
              <w:pStyle w:val="TableParagraph"/>
              <w:rPr>
                <w:rFonts w:ascii="Times New Roman"/>
                <w:sz w:val="18"/>
              </w:rPr>
            </w:pPr>
          </w:p>
        </w:tc>
        <w:tc>
          <w:tcPr>
            <w:tcW w:w="736" w:type="dxa"/>
            <w:shd w:val="clear" w:color="auto" w:fill="000000"/>
          </w:tcPr>
          <w:p w:rsidR="00C512F6" w:rsidRDefault="00C512F6">
            <w:pPr>
              <w:pStyle w:val="TableParagraph"/>
              <w:rPr>
                <w:rFonts w:ascii="Times New Roman"/>
                <w:sz w:val="18"/>
              </w:rPr>
            </w:pPr>
          </w:p>
        </w:tc>
      </w:tr>
      <w:tr w:rsidR="00C512F6">
        <w:trPr>
          <w:trHeight w:val="561"/>
        </w:trPr>
        <w:tc>
          <w:tcPr>
            <w:tcW w:w="5669" w:type="dxa"/>
            <w:gridSpan w:val="7"/>
            <w:tcBorders>
              <w:top w:val="single" w:sz="4" w:space="0" w:color="000000"/>
              <w:left w:val="single" w:sz="12" w:space="0" w:color="000000"/>
              <w:bottom w:val="single" w:sz="4" w:space="0" w:color="000000"/>
              <w:right w:val="single" w:sz="4" w:space="0" w:color="000000"/>
            </w:tcBorders>
          </w:tcPr>
          <w:p w:rsidR="00C512F6" w:rsidRDefault="00EA0C9B">
            <w:pPr>
              <w:pStyle w:val="TableParagraph"/>
              <w:spacing w:before="2"/>
              <w:ind w:left="107"/>
              <w:rPr>
                <w:sz w:val="24"/>
              </w:rPr>
            </w:pPr>
            <w:r>
              <w:rPr>
                <w:sz w:val="24"/>
              </w:rPr>
              <w:t>Josh Lawlor</w:t>
            </w:r>
          </w:p>
        </w:tc>
        <w:tc>
          <w:tcPr>
            <w:tcW w:w="5381" w:type="dxa"/>
            <w:gridSpan w:val="8"/>
            <w:tcBorders>
              <w:top w:val="single" w:sz="4" w:space="0" w:color="000000"/>
              <w:left w:val="single" w:sz="4" w:space="0" w:color="000000"/>
              <w:bottom w:val="single" w:sz="4" w:space="0" w:color="000000"/>
              <w:right w:val="single" w:sz="12" w:space="0" w:color="000000"/>
            </w:tcBorders>
          </w:tcPr>
          <w:p w:rsidR="00C512F6" w:rsidRDefault="00EA0C9B">
            <w:pPr>
              <w:pStyle w:val="TableParagraph"/>
              <w:spacing w:before="2"/>
              <w:ind w:left="120"/>
              <w:rPr>
                <w:sz w:val="24"/>
              </w:rPr>
            </w:pPr>
            <w:r w:rsidRPr="00EA0C9B">
              <w:rPr>
                <w:sz w:val="24"/>
              </w:rPr>
              <w:t>2021/2730/P</w:t>
            </w:r>
          </w:p>
        </w:tc>
      </w:tr>
      <w:tr w:rsidR="00C512F6">
        <w:trPr>
          <w:trHeight w:val="265"/>
        </w:trPr>
        <w:tc>
          <w:tcPr>
            <w:tcW w:w="2695" w:type="dxa"/>
            <w:gridSpan w:val="2"/>
            <w:shd w:val="clear" w:color="auto" w:fill="000000"/>
          </w:tcPr>
          <w:p w:rsidR="00C512F6" w:rsidRDefault="00C448EF">
            <w:pPr>
              <w:pStyle w:val="TableParagraph"/>
              <w:spacing w:line="246" w:lineRule="exact"/>
              <w:ind w:left="122"/>
              <w:rPr>
                <w:b/>
                <w:sz w:val="24"/>
              </w:rPr>
            </w:pPr>
            <w:r>
              <w:rPr>
                <w:b/>
                <w:color w:val="FFFFFF"/>
                <w:sz w:val="24"/>
              </w:rPr>
              <w:t>Application Address</w:t>
            </w:r>
          </w:p>
        </w:tc>
        <w:tc>
          <w:tcPr>
            <w:tcW w:w="1287" w:type="dxa"/>
            <w:shd w:val="clear" w:color="auto" w:fill="000000"/>
          </w:tcPr>
          <w:p w:rsidR="00C512F6" w:rsidRDefault="00C512F6">
            <w:pPr>
              <w:pStyle w:val="TableParagraph"/>
              <w:rPr>
                <w:rFonts w:ascii="Times New Roman"/>
                <w:sz w:val="18"/>
              </w:rPr>
            </w:pPr>
          </w:p>
        </w:tc>
        <w:tc>
          <w:tcPr>
            <w:tcW w:w="271" w:type="dxa"/>
            <w:shd w:val="clear" w:color="auto" w:fill="000000"/>
          </w:tcPr>
          <w:p w:rsidR="00C512F6" w:rsidRDefault="00C512F6">
            <w:pPr>
              <w:pStyle w:val="TableParagraph"/>
              <w:rPr>
                <w:rFonts w:ascii="Times New Roman"/>
                <w:sz w:val="18"/>
              </w:rPr>
            </w:pPr>
          </w:p>
        </w:tc>
        <w:tc>
          <w:tcPr>
            <w:tcW w:w="285" w:type="dxa"/>
            <w:shd w:val="clear" w:color="auto" w:fill="000000"/>
          </w:tcPr>
          <w:p w:rsidR="00C512F6" w:rsidRDefault="00C512F6">
            <w:pPr>
              <w:pStyle w:val="TableParagraph"/>
              <w:rPr>
                <w:rFonts w:ascii="Times New Roman"/>
                <w:sz w:val="18"/>
              </w:rPr>
            </w:pPr>
          </w:p>
        </w:tc>
        <w:tc>
          <w:tcPr>
            <w:tcW w:w="707" w:type="dxa"/>
            <w:shd w:val="clear" w:color="auto" w:fill="000000"/>
          </w:tcPr>
          <w:p w:rsidR="00C512F6" w:rsidRDefault="00C512F6">
            <w:pPr>
              <w:pStyle w:val="TableParagraph"/>
              <w:rPr>
                <w:rFonts w:ascii="Times New Roman"/>
                <w:sz w:val="18"/>
              </w:rPr>
            </w:pPr>
          </w:p>
        </w:tc>
        <w:tc>
          <w:tcPr>
            <w:tcW w:w="424" w:type="dxa"/>
            <w:shd w:val="clear" w:color="auto" w:fill="000000"/>
          </w:tcPr>
          <w:p w:rsidR="00C512F6" w:rsidRDefault="00C512F6">
            <w:pPr>
              <w:pStyle w:val="TableParagraph"/>
              <w:rPr>
                <w:rFonts w:ascii="Times New Roman"/>
                <w:sz w:val="18"/>
              </w:rPr>
            </w:pPr>
          </w:p>
        </w:tc>
        <w:tc>
          <w:tcPr>
            <w:tcW w:w="2549" w:type="dxa"/>
            <w:gridSpan w:val="4"/>
            <w:shd w:val="clear" w:color="auto" w:fill="000000"/>
          </w:tcPr>
          <w:p w:rsidR="00C512F6" w:rsidRDefault="00C448EF">
            <w:pPr>
              <w:pStyle w:val="TableParagraph"/>
              <w:spacing w:line="246" w:lineRule="exact"/>
              <w:ind w:left="125"/>
              <w:rPr>
                <w:b/>
                <w:sz w:val="24"/>
              </w:rPr>
            </w:pPr>
            <w:r>
              <w:rPr>
                <w:b/>
                <w:color w:val="FFFFFF"/>
                <w:sz w:val="24"/>
              </w:rPr>
              <w:t>Drawing Numbers</w:t>
            </w:r>
          </w:p>
        </w:tc>
        <w:tc>
          <w:tcPr>
            <w:tcW w:w="733" w:type="dxa"/>
            <w:shd w:val="clear" w:color="auto" w:fill="000000"/>
          </w:tcPr>
          <w:p w:rsidR="00C512F6" w:rsidRDefault="00C512F6">
            <w:pPr>
              <w:pStyle w:val="TableParagraph"/>
              <w:rPr>
                <w:rFonts w:ascii="Times New Roman"/>
                <w:sz w:val="18"/>
              </w:rPr>
            </w:pPr>
          </w:p>
        </w:tc>
        <w:tc>
          <w:tcPr>
            <w:tcW w:w="118" w:type="dxa"/>
            <w:shd w:val="clear" w:color="auto" w:fill="000000"/>
          </w:tcPr>
          <w:p w:rsidR="00C512F6" w:rsidRDefault="00C512F6">
            <w:pPr>
              <w:pStyle w:val="TableParagraph"/>
              <w:rPr>
                <w:rFonts w:ascii="Times New Roman"/>
                <w:sz w:val="18"/>
              </w:rPr>
            </w:pPr>
          </w:p>
        </w:tc>
        <w:tc>
          <w:tcPr>
            <w:tcW w:w="1245" w:type="dxa"/>
            <w:shd w:val="clear" w:color="auto" w:fill="000000"/>
          </w:tcPr>
          <w:p w:rsidR="00C512F6" w:rsidRDefault="00C512F6">
            <w:pPr>
              <w:pStyle w:val="TableParagraph"/>
              <w:rPr>
                <w:rFonts w:ascii="Times New Roman"/>
                <w:sz w:val="18"/>
              </w:rPr>
            </w:pPr>
          </w:p>
        </w:tc>
        <w:tc>
          <w:tcPr>
            <w:tcW w:w="736" w:type="dxa"/>
            <w:shd w:val="clear" w:color="auto" w:fill="000000"/>
          </w:tcPr>
          <w:p w:rsidR="00C512F6" w:rsidRDefault="00C512F6">
            <w:pPr>
              <w:pStyle w:val="TableParagraph"/>
              <w:rPr>
                <w:rFonts w:ascii="Times New Roman"/>
                <w:sz w:val="18"/>
              </w:rPr>
            </w:pPr>
          </w:p>
        </w:tc>
      </w:tr>
      <w:tr w:rsidR="00C512F6">
        <w:trPr>
          <w:trHeight w:val="1115"/>
        </w:trPr>
        <w:tc>
          <w:tcPr>
            <w:tcW w:w="5669" w:type="dxa"/>
            <w:gridSpan w:val="7"/>
            <w:tcBorders>
              <w:top w:val="single" w:sz="4" w:space="0" w:color="000000"/>
              <w:left w:val="single" w:sz="12" w:space="0" w:color="000000"/>
              <w:bottom w:val="single" w:sz="4" w:space="0" w:color="000000"/>
              <w:right w:val="single" w:sz="4" w:space="0" w:color="000000"/>
            </w:tcBorders>
          </w:tcPr>
          <w:p w:rsidR="008A25CC" w:rsidRPr="008A25CC" w:rsidRDefault="008A25CC" w:rsidP="008A25CC">
            <w:pPr>
              <w:pStyle w:val="TableParagraph"/>
              <w:ind w:left="107"/>
              <w:rPr>
                <w:sz w:val="24"/>
              </w:rPr>
            </w:pPr>
            <w:r w:rsidRPr="008A25CC">
              <w:rPr>
                <w:sz w:val="24"/>
              </w:rPr>
              <w:t>5 Brecknock Road</w:t>
            </w:r>
          </w:p>
          <w:p w:rsidR="008A25CC" w:rsidRPr="008A25CC" w:rsidRDefault="008A25CC" w:rsidP="008A25CC">
            <w:pPr>
              <w:pStyle w:val="TableParagraph"/>
              <w:ind w:left="107"/>
              <w:rPr>
                <w:sz w:val="24"/>
              </w:rPr>
            </w:pPr>
            <w:r w:rsidRPr="008A25CC">
              <w:rPr>
                <w:sz w:val="24"/>
              </w:rPr>
              <w:t>London</w:t>
            </w:r>
          </w:p>
          <w:p w:rsidR="00C512F6" w:rsidRDefault="008A25CC" w:rsidP="008A25CC">
            <w:pPr>
              <w:pStyle w:val="TableParagraph"/>
              <w:ind w:left="107"/>
              <w:rPr>
                <w:sz w:val="24"/>
              </w:rPr>
            </w:pPr>
            <w:r w:rsidRPr="008A25CC">
              <w:rPr>
                <w:sz w:val="24"/>
              </w:rPr>
              <w:t>N7 0BL</w:t>
            </w:r>
          </w:p>
        </w:tc>
        <w:tc>
          <w:tcPr>
            <w:tcW w:w="5381" w:type="dxa"/>
            <w:gridSpan w:val="8"/>
            <w:tcBorders>
              <w:top w:val="single" w:sz="4" w:space="0" w:color="000000"/>
              <w:left w:val="single" w:sz="4" w:space="0" w:color="000000"/>
              <w:bottom w:val="single" w:sz="4" w:space="0" w:color="000000"/>
              <w:right w:val="single" w:sz="12" w:space="0" w:color="000000"/>
            </w:tcBorders>
          </w:tcPr>
          <w:p w:rsidR="00C512F6" w:rsidRDefault="00C512F6">
            <w:pPr>
              <w:pStyle w:val="TableParagraph"/>
              <w:spacing w:before="142"/>
              <w:ind w:left="120"/>
              <w:rPr>
                <w:sz w:val="24"/>
              </w:rPr>
            </w:pPr>
          </w:p>
        </w:tc>
      </w:tr>
      <w:tr w:rsidR="00C512F6">
        <w:trPr>
          <w:trHeight w:val="265"/>
        </w:trPr>
        <w:tc>
          <w:tcPr>
            <w:tcW w:w="1560" w:type="dxa"/>
            <w:shd w:val="clear" w:color="auto" w:fill="000000"/>
          </w:tcPr>
          <w:p w:rsidR="00C512F6" w:rsidRDefault="00C448EF">
            <w:pPr>
              <w:pStyle w:val="TableParagraph"/>
              <w:spacing w:line="246" w:lineRule="exact"/>
              <w:ind w:left="122"/>
              <w:rPr>
                <w:b/>
                <w:sz w:val="24"/>
              </w:rPr>
            </w:pPr>
            <w:r>
              <w:rPr>
                <w:b/>
                <w:color w:val="FFFFFF"/>
                <w:sz w:val="24"/>
              </w:rPr>
              <w:t>PO 3/4</w:t>
            </w:r>
          </w:p>
        </w:tc>
        <w:tc>
          <w:tcPr>
            <w:tcW w:w="2693" w:type="dxa"/>
            <w:gridSpan w:val="3"/>
            <w:shd w:val="clear" w:color="auto" w:fill="000000"/>
          </w:tcPr>
          <w:p w:rsidR="00C512F6" w:rsidRDefault="00C448EF">
            <w:pPr>
              <w:pStyle w:val="TableParagraph"/>
              <w:spacing w:line="246" w:lineRule="exact"/>
              <w:ind w:left="122"/>
              <w:rPr>
                <w:b/>
                <w:sz w:val="24"/>
              </w:rPr>
            </w:pPr>
            <w:r>
              <w:rPr>
                <w:b/>
                <w:color w:val="FFFFFF"/>
                <w:sz w:val="24"/>
              </w:rPr>
              <w:t>Area Team Signature</w:t>
            </w:r>
          </w:p>
        </w:tc>
        <w:tc>
          <w:tcPr>
            <w:tcW w:w="992" w:type="dxa"/>
            <w:gridSpan w:val="2"/>
            <w:shd w:val="clear" w:color="auto" w:fill="000000"/>
          </w:tcPr>
          <w:p w:rsidR="00C512F6" w:rsidRDefault="00C448EF">
            <w:pPr>
              <w:pStyle w:val="TableParagraph"/>
              <w:spacing w:line="246" w:lineRule="exact"/>
              <w:ind w:left="123"/>
              <w:rPr>
                <w:b/>
                <w:sz w:val="24"/>
              </w:rPr>
            </w:pPr>
            <w:r>
              <w:rPr>
                <w:b/>
                <w:color w:val="FFFFFF"/>
                <w:sz w:val="24"/>
              </w:rPr>
              <w:t>C&amp;UD</w:t>
            </w:r>
          </w:p>
        </w:tc>
        <w:tc>
          <w:tcPr>
            <w:tcW w:w="424" w:type="dxa"/>
            <w:shd w:val="clear" w:color="auto" w:fill="000000"/>
          </w:tcPr>
          <w:p w:rsidR="00C512F6" w:rsidRDefault="00C512F6">
            <w:pPr>
              <w:pStyle w:val="TableParagraph"/>
              <w:rPr>
                <w:rFonts w:ascii="Times New Roman"/>
                <w:sz w:val="18"/>
              </w:rPr>
            </w:pPr>
          </w:p>
        </w:tc>
        <w:tc>
          <w:tcPr>
            <w:tcW w:w="3400" w:type="dxa"/>
            <w:gridSpan w:val="6"/>
            <w:shd w:val="clear" w:color="auto" w:fill="000000"/>
          </w:tcPr>
          <w:p w:rsidR="00C512F6" w:rsidRDefault="00C448EF">
            <w:pPr>
              <w:pStyle w:val="TableParagraph"/>
              <w:spacing w:line="246" w:lineRule="exact"/>
              <w:ind w:left="125" w:right="-15"/>
              <w:rPr>
                <w:b/>
                <w:sz w:val="24"/>
              </w:rPr>
            </w:pPr>
            <w:r>
              <w:rPr>
                <w:b/>
                <w:color w:val="FFFFFF"/>
                <w:sz w:val="24"/>
              </w:rPr>
              <w:t>Authorised Officer</w:t>
            </w:r>
            <w:r>
              <w:rPr>
                <w:b/>
                <w:color w:val="FFFFFF"/>
                <w:spacing w:val="-8"/>
                <w:sz w:val="24"/>
              </w:rPr>
              <w:t xml:space="preserve"> </w:t>
            </w:r>
            <w:r>
              <w:rPr>
                <w:b/>
                <w:color w:val="FFFFFF"/>
                <w:sz w:val="24"/>
              </w:rPr>
              <w:t>Signature</w:t>
            </w:r>
          </w:p>
        </w:tc>
        <w:tc>
          <w:tcPr>
            <w:tcW w:w="1245" w:type="dxa"/>
            <w:shd w:val="clear" w:color="auto" w:fill="000000"/>
          </w:tcPr>
          <w:p w:rsidR="00C512F6" w:rsidRDefault="00C512F6">
            <w:pPr>
              <w:pStyle w:val="TableParagraph"/>
              <w:rPr>
                <w:rFonts w:ascii="Times New Roman"/>
                <w:sz w:val="18"/>
              </w:rPr>
            </w:pPr>
          </w:p>
        </w:tc>
        <w:tc>
          <w:tcPr>
            <w:tcW w:w="736" w:type="dxa"/>
            <w:shd w:val="clear" w:color="auto" w:fill="000000"/>
          </w:tcPr>
          <w:p w:rsidR="00C512F6" w:rsidRDefault="00C512F6">
            <w:pPr>
              <w:pStyle w:val="TableParagraph"/>
              <w:rPr>
                <w:rFonts w:ascii="Times New Roman"/>
                <w:sz w:val="18"/>
              </w:rPr>
            </w:pPr>
          </w:p>
        </w:tc>
      </w:tr>
      <w:tr w:rsidR="00C512F6">
        <w:trPr>
          <w:trHeight w:val="693"/>
        </w:trPr>
        <w:tc>
          <w:tcPr>
            <w:tcW w:w="1560" w:type="dxa"/>
            <w:tcBorders>
              <w:top w:val="single" w:sz="4" w:space="0" w:color="000000"/>
              <w:left w:val="single" w:sz="12" w:space="0" w:color="000000"/>
              <w:bottom w:val="single" w:sz="4" w:space="0" w:color="000000"/>
              <w:right w:val="single" w:sz="4" w:space="0" w:color="000000"/>
            </w:tcBorders>
          </w:tcPr>
          <w:p w:rsidR="00C512F6" w:rsidRDefault="00C512F6">
            <w:pPr>
              <w:pStyle w:val="TableParagraph"/>
              <w:rPr>
                <w:rFonts w:ascii="Times New Roman"/>
              </w:rPr>
            </w:pPr>
          </w:p>
        </w:tc>
        <w:tc>
          <w:tcPr>
            <w:tcW w:w="2693" w:type="dxa"/>
            <w:gridSpan w:val="3"/>
            <w:tcBorders>
              <w:top w:val="single" w:sz="4" w:space="0" w:color="000000"/>
              <w:left w:val="single" w:sz="4" w:space="0" w:color="000000"/>
              <w:bottom w:val="single" w:sz="4" w:space="0" w:color="000000"/>
              <w:right w:val="single" w:sz="4" w:space="0" w:color="000000"/>
            </w:tcBorders>
          </w:tcPr>
          <w:p w:rsidR="00C512F6" w:rsidRDefault="00C512F6">
            <w:pPr>
              <w:pStyle w:val="TableParagraph"/>
              <w:rPr>
                <w:rFonts w:ascii="Times New Roman"/>
              </w:rPr>
            </w:pPr>
          </w:p>
        </w:tc>
        <w:tc>
          <w:tcPr>
            <w:tcW w:w="1416" w:type="dxa"/>
            <w:gridSpan w:val="3"/>
            <w:tcBorders>
              <w:top w:val="single" w:sz="4" w:space="0" w:color="000000"/>
              <w:left w:val="single" w:sz="4" w:space="0" w:color="000000"/>
              <w:bottom w:val="single" w:sz="4" w:space="0" w:color="000000"/>
              <w:right w:val="single" w:sz="4" w:space="0" w:color="000000"/>
            </w:tcBorders>
          </w:tcPr>
          <w:p w:rsidR="00C512F6" w:rsidRDefault="00C512F6">
            <w:pPr>
              <w:pStyle w:val="TableParagraph"/>
              <w:rPr>
                <w:rFonts w:ascii="Times New Roman"/>
              </w:rPr>
            </w:pPr>
          </w:p>
        </w:tc>
        <w:tc>
          <w:tcPr>
            <w:tcW w:w="5381" w:type="dxa"/>
            <w:gridSpan w:val="8"/>
            <w:tcBorders>
              <w:top w:val="single" w:sz="4" w:space="0" w:color="000000"/>
              <w:left w:val="single" w:sz="4" w:space="0" w:color="000000"/>
              <w:bottom w:val="single" w:sz="4" w:space="0" w:color="000000"/>
              <w:right w:val="single" w:sz="12" w:space="0" w:color="000000"/>
            </w:tcBorders>
          </w:tcPr>
          <w:p w:rsidR="00C512F6" w:rsidRDefault="00C512F6">
            <w:pPr>
              <w:pStyle w:val="TableParagraph"/>
              <w:rPr>
                <w:rFonts w:ascii="Times New Roman"/>
              </w:rPr>
            </w:pPr>
          </w:p>
        </w:tc>
      </w:tr>
      <w:tr w:rsidR="00C512F6">
        <w:trPr>
          <w:trHeight w:val="265"/>
        </w:trPr>
        <w:tc>
          <w:tcPr>
            <w:tcW w:w="11050" w:type="dxa"/>
            <w:gridSpan w:val="15"/>
            <w:shd w:val="clear" w:color="auto" w:fill="000000"/>
          </w:tcPr>
          <w:p w:rsidR="00C512F6" w:rsidRDefault="00C448EF">
            <w:pPr>
              <w:pStyle w:val="TableParagraph"/>
              <w:spacing w:line="246" w:lineRule="exact"/>
              <w:ind w:left="122"/>
              <w:rPr>
                <w:b/>
                <w:sz w:val="24"/>
              </w:rPr>
            </w:pPr>
            <w:r>
              <w:rPr>
                <w:b/>
                <w:color w:val="FFFFFF"/>
                <w:sz w:val="24"/>
              </w:rPr>
              <w:t>Proposal(s)</w:t>
            </w:r>
          </w:p>
        </w:tc>
      </w:tr>
      <w:tr w:rsidR="00C512F6">
        <w:trPr>
          <w:trHeight w:val="1367"/>
        </w:trPr>
        <w:tc>
          <w:tcPr>
            <w:tcW w:w="11050" w:type="dxa"/>
            <w:gridSpan w:val="15"/>
            <w:tcBorders>
              <w:top w:val="single" w:sz="4" w:space="0" w:color="000000"/>
              <w:left w:val="single" w:sz="12" w:space="0" w:color="000000"/>
              <w:bottom w:val="single" w:sz="18" w:space="0" w:color="000000"/>
              <w:right w:val="single" w:sz="12" w:space="0" w:color="000000"/>
            </w:tcBorders>
          </w:tcPr>
          <w:p w:rsidR="00C512F6" w:rsidRDefault="00C512F6">
            <w:pPr>
              <w:pStyle w:val="TableParagraph"/>
              <w:spacing w:before="10"/>
              <w:rPr>
                <w:rFonts w:ascii="Times New Roman"/>
                <w:sz w:val="23"/>
              </w:rPr>
            </w:pPr>
          </w:p>
          <w:p w:rsidR="00C512F6" w:rsidRDefault="008A25CC">
            <w:pPr>
              <w:pStyle w:val="TableParagraph"/>
              <w:ind w:left="107" w:right="768"/>
              <w:rPr>
                <w:sz w:val="24"/>
              </w:rPr>
            </w:pPr>
            <w:r w:rsidRPr="008A25CC">
              <w:rPr>
                <w:sz w:val="24"/>
              </w:rPr>
              <w:t>Change of use of the rear of the ground floor shop from ancillary retail space (Use Class A1), into a single self-contained residential flat (Use class C3).</w:t>
            </w:r>
          </w:p>
        </w:tc>
      </w:tr>
      <w:tr w:rsidR="00C512F6">
        <w:trPr>
          <w:trHeight w:val="819"/>
        </w:trPr>
        <w:tc>
          <w:tcPr>
            <w:tcW w:w="2695" w:type="dxa"/>
            <w:gridSpan w:val="2"/>
            <w:shd w:val="clear" w:color="auto" w:fill="000000"/>
          </w:tcPr>
          <w:p w:rsidR="00C512F6" w:rsidRDefault="00C512F6">
            <w:pPr>
              <w:pStyle w:val="TableParagraph"/>
              <w:spacing w:before="1"/>
              <w:rPr>
                <w:rFonts w:ascii="Times New Roman"/>
                <w:sz w:val="23"/>
              </w:rPr>
            </w:pPr>
          </w:p>
          <w:p w:rsidR="00C512F6" w:rsidRDefault="00C448EF">
            <w:pPr>
              <w:pStyle w:val="TableParagraph"/>
              <w:ind w:left="122"/>
              <w:rPr>
                <w:b/>
                <w:sz w:val="24"/>
              </w:rPr>
            </w:pPr>
            <w:r>
              <w:rPr>
                <w:b/>
                <w:color w:val="FFFFFF"/>
                <w:sz w:val="24"/>
              </w:rPr>
              <w:t>Recommendation(s):</w:t>
            </w:r>
          </w:p>
        </w:tc>
        <w:tc>
          <w:tcPr>
            <w:tcW w:w="8355" w:type="dxa"/>
            <w:gridSpan w:val="13"/>
            <w:tcBorders>
              <w:top w:val="single" w:sz="12" w:space="0" w:color="000000"/>
              <w:left w:val="single" w:sz="12" w:space="0" w:color="000000"/>
              <w:bottom w:val="single" w:sz="4" w:space="0" w:color="000000"/>
              <w:right w:val="single" w:sz="12" w:space="0" w:color="000000"/>
            </w:tcBorders>
            <w:shd w:val="clear" w:color="auto" w:fill="B3B3B3"/>
          </w:tcPr>
          <w:p w:rsidR="00C512F6" w:rsidRDefault="00C512F6">
            <w:pPr>
              <w:pStyle w:val="TableParagraph"/>
              <w:spacing w:before="1"/>
              <w:rPr>
                <w:rFonts w:ascii="Times New Roman"/>
                <w:sz w:val="23"/>
              </w:rPr>
            </w:pPr>
          </w:p>
          <w:p w:rsidR="00C512F6" w:rsidRDefault="00C448EF">
            <w:pPr>
              <w:pStyle w:val="TableParagraph"/>
              <w:ind w:left="105"/>
              <w:rPr>
                <w:b/>
                <w:sz w:val="24"/>
              </w:rPr>
            </w:pPr>
            <w:r>
              <w:rPr>
                <w:b/>
                <w:sz w:val="24"/>
              </w:rPr>
              <w:t>Grant Prior Approval</w:t>
            </w:r>
          </w:p>
        </w:tc>
      </w:tr>
      <w:tr w:rsidR="00C512F6">
        <w:trPr>
          <w:trHeight w:val="827"/>
        </w:trPr>
        <w:tc>
          <w:tcPr>
            <w:tcW w:w="2695" w:type="dxa"/>
            <w:gridSpan w:val="2"/>
            <w:tcBorders>
              <w:top w:val="single" w:sz="4" w:space="0" w:color="000000"/>
              <w:left w:val="single" w:sz="12" w:space="0" w:color="000000"/>
              <w:bottom w:val="single" w:sz="4" w:space="0" w:color="000000"/>
              <w:right w:val="single" w:sz="12" w:space="0" w:color="000000"/>
            </w:tcBorders>
          </w:tcPr>
          <w:p w:rsidR="00C512F6" w:rsidRDefault="00C512F6">
            <w:pPr>
              <w:pStyle w:val="TableParagraph"/>
              <w:spacing w:before="9"/>
              <w:rPr>
                <w:rFonts w:ascii="Times New Roman"/>
                <w:sz w:val="23"/>
              </w:rPr>
            </w:pPr>
          </w:p>
          <w:p w:rsidR="00C512F6" w:rsidRDefault="00C448EF">
            <w:pPr>
              <w:pStyle w:val="TableParagraph"/>
              <w:ind w:left="107"/>
              <w:rPr>
                <w:b/>
                <w:sz w:val="24"/>
              </w:rPr>
            </w:pPr>
            <w:r>
              <w:rPr>
                <w:b/>
                <w:sz w:val="24"/>
              </w:rPr>
              <w:t>Application Type:</w:t>
            </w:r>
          </w:p>
        </w:tc>
        <w:tc>
          <w:tcPr>
            <w:tcW w:w="8355" w:type="dxa"/>
            <w:gridSpan w:val="13"/>
            <w:tcBorders>
              <w:top w:val="single" w:sz="4" w:space="0" w:color="000000"/>
              <w:left w:val="single" w:sz="12" w:space="0" w:color="000000"/>
              <w:bottom w:val="single" w:sz="4" w:space="0" w:color="000000"/>
              <w:right w:val="single" w:sz="12" w:space="0" w:color="000000"/>
            </w:tcBorders>
          </w:tcPr>
          <w:p w:rsidR="00C512F6" w:rsidRDefault="00C512F6">
            <w:pPr>
              <w:pStyle w:val="TableParagraph"/>
              <w:spacing w:before="9"/>
              <w:rPr>
                <w:rFonts w:ascii="Times New Roman"/>
                <w:sz w:val="23"/>
              </w:rPr>
            </w:pPr>
          </w:p>
          <w:p w:rsidR="00C512F6" w:rsidRDefault="00C448EF">
            <w:pPr>
              <w:pStyle w:val="TableParagraph"/>
              <w:ind w:left="105"/>
              <w:rPr>
                <w:b/>
                <w:sz w:val="24"/>
              </w:rPr>
            </w:pPr>
            <w:r>
              <w:rPr>
                <w:b/>
                <w:sz w:val="24"/>
              </w:rPr>
              <w:t xml:space="preserve">GPDO Prior Approval Class </w:t>
            </w:r>
            <w:r w:rsidR="00E301F7">
              <w:rPr>
                <w:b/>
                <w:sz w:val="24"/>
              </w:rPr>
              <w:t>M</w:t>
            </w:r>
            <w:r>
              <w:rPr>
                <w:b/>
                <w:sz w:val="24"/>
              </w:rPr>
              <w:t xml:space="preserve"> change of use of A1 to C3</w:t>
            </w:r>
          </w:p>
        </w:tc>
      </w:tr>
      <w:tr w:rsidR="00C512F6">
        <w:trPr>
          <w:trHeight w:val="642"/>
        </w:trPr>
        <w:tc>
          <w:tcPr>
            <w:tcW w:w="2695" w:type="dxa"/>
            <w:gridSpan w:val="2"/>
            <w:tcBorders>
              <w:top w:val="single" w:sz="4" w:space="0" w:color="000000"/>
              <w:left w:val="single" w:sz="12" w:space="0" w:color="000000"/>
              <w:bottom w:val="single" w:sz="4" w:space="0" w:color="000000"/>
              <w:right w:val="single" w:sz="12" w:space="0" w:color="000000"/>
            </w:tcBorders>
          </w:tcPr>
          <w:p w:rsidR="00C512F6" w:rsidRDefault="00C448EF">
            <w:pPr>
              <w:pStyle w:val="TableParagraph"/>
              <w:spacing w:before="88"/>
              <w:ind w:left="107" w:right="122"/>
              <w:rPr>
                <w:b/>
                <w:sz w:val="20"/>
              </w:rPr>
            </w:pPr>
            <w:r>
              <w:rPr>
                <w:b/>
                <w:sz w:val="20"/>
              </w:rPr>
              <w:t>Conditions or Reasons for Refusal:</w:t>
            </w:r>
          </w:p>
        </w:tc>
        <w:tc>
          <w:tcPr>
            <w:tcW w:w="8355" w:type="dxa"/>
            <w:gridSpan w:val="13"/>
            <w:vMerge w:val="restart"/>
            <w:tcBorders>
              <w:top w:val="single" w:sz="4" w:space="0" w:color="000000"/>
              <w:left w:val="single" w:sz="12" w:space="0" w:color="000000"/>
              <w:bottom w:val="single" w:sz="4" w:space="0" w:color="000000"/>
              <w:right w:val="single" w:sz="12" w:space="0" w:color="000000"/>
            </w:tcBorders>
          </w:tcPr>
          <w:p w:rsidR="00C512F6" w:rsidRDefault="00C512F6">
            <w:pPr>
              <w:pStyle w:val="TableParagraph"/>
              <w:rPr>
                <w:rFonts w:ascii="Times New Roman"/>
              </w:rPr>
            </w:pPr>
          </w:p>
          <w:p w:rsidR="00C512F6" w:rsidRDefault="00C512F6">
            <w:pPr>
              <w:pStyle w:val="TableParagraph"/>
              <w:spacing w:before="9"/>
              <w:rPr>
                <w:rFonts w:ascii="Times New Roman"/>
                <w:sz w:val="17"/>
              </w:rPr>
            </w:pPr>
          </w:p>
          <w:p w:rsidR="00C512F6" w:rsidRDefault="00C448EF">
            <w:pPr>
              <w:pStyle w:val="TableParagraph"/>
              <w:ind w:left="105"/>
              <w:rPr>
                <w:b/>
                <w:sz w:val="20"/>
              </w:rPr>
            </w:pPr>
            <w:r>
              <w:rPr>
                <w:b/>
                <w:sz w:val="20"/>
              </w:rPr>
              <w:t>Refer to Draft Decision Notice</w:t>
            </w:r>
          </w:p>
        </w:tc>
      </w:tr>
      <w:tr w:rsidR="00C512F6">
        <w:trPr>
          <w:trHeight w:val="528"/>
        </w:trPr>
        <w:tc>
          <w:tcPr>
            <w:tcW w:w="2695" w:type="dxa"/>
            <w:gridSpan w:val="2"/>
            <w:tcBorders>
              <w:top w:val="single" w:sz="4" w:space="0" w:color="000000"/>
              <w:left w:val="single" w:sz="12" w:space="0" w:color="000000"/>
              <w:bottom w:val="single" w:sz="4" w:space="0" w:color="000000"/>
              <w:right w:val="single" w:sz="12" w:space="0" w:color="000000"/>
            </w:tcBorders>
          </w:tcPr>
          <w:p w:rsidR="00C512F6" w:rsidRDefault="00C448EF">
            <w:pPr>
              <w:pStyle w:val="TableParagraph"/>
              <w:spacing w:before="144"/>
              <w:ind w:left="107"/>
              <w:rPr>
                <w:b/>
                <w:sz w:val="20"/>
              </w:rPr>
            </w:pPr>
            <w:proofErr w:type="spellStart"/>
            <w:r>
              <w:rPr>
                <w:b/>
                <w:sz w:val="20"/>
              </w:rPr>
              <w:t>Informatives</w:t>
            </w:r>
            <w:proofErr w:type="spellEnd"/>
            <w:r>
              <w:rPr>
                <w:b/>
                <w:sz w:val="20"/>
              </w:rPr>
              <w:t>:</w:t>
            </w:r>
          </w:p>
        </w:tc>
        <w:tc>
          <w:tcPr>
            <w:tcW w:w="8355" w:type="dxa"/>
            <w:gridSpan w:val="13"/>
            <w:vMerge/>
            <w:tcBorders>
              <w:top w:val="nil"/>
              <w:left w:val="single" w:sz="12" w:space="0" w:color="000000"/>
              <w:bottom w:val="single" w:sz="4" w:space="0" w:color="000000"/>
              <w:right w:val="single" w:sz="12" w:space="0" w:color="000000"/>
            </w:tcBorders>
          </w:tcPr>
          <w:p w:rsidR="00C512F6" w:rsidRDefault="00C512F6">
            <w:pPr>
              <w:rPr>
                <w:sz w:val="2"/>
                <w:szCs w:val="2"/>
              </w:rPr>
            </w:pPr>
          </w:p>
        </w:tc>
      </w:tr>
      <w:tr w:rsidR="00C512F6">
        <w:trPr>
          <w:trHeight w:val="306"/>
        </w:trPr>
        <w:tc>
          <w:tcPr>
            <w:tcW w:w="11050" w:type="dxa"/>
            <w:gridSpan w:val="15"/>
            <w:shd w:val="clear" w:color="auto" w:fill="000000"/>
          </w:tcPr>
          <w:p w:rsidR="00C512F6" w:rsidRDefault="00C448EF">
            <w:pPr>
              <w:pStyle w:val="TableParagraph"/>
              <w:spacing w:before="14" w:line="272" w:lineRule="exact"/>
              <w:ind w:left="122"/>
              <w:rPr>
                <w:b/>
                <w:sz w:val="24"/>
              </w:rPr>
            </w:pPr>
            <w:r>
              <w:rPr>
                <w:b/>
                <w:color w:val="FFFFFF"/>
                <w:sz w:val="24"/>
              </w:rPr>
              <w:t>Consultations</w:t>
            </w:r>
          </w:p>
        </w:tc>
      </w:tr>
      <w:tr w:rsidR="00C512F6">
        <w:trPr>
          <w:trHeight w:val="1110"/>
        </w:trPr>
        <w:tc>
          <w:tcPr>
            <w:tcW w:w="2695" w:type="dxa"/>
            <w:gridSpan w:val="2"/>
            <w:tcBorders>
              <w:top w:val="single" w:sz="4" w:space="0" w:color="000000"/>
              <w:left w:val="single" w:sz="12" w:space="0" w:color="000000"/>
              <w:bottom w:val="single" w:sz="4" w:space="0" w:color="000000"/>
              <w:right w:val="single" w:sz="12" w:space="0" w:color="000000"/>
            </w:tcBorders>
          </w:tcPr>
          <w:p w:rsidR="00C512F6" w:rsidRDefault="00C512F6">
            <w:pPr>
              <w:pStyle w:val="TableParagraph"/>
              <w:rPr>
                <w:rFonts w:ascii="Times New Roman"/>
              </w:rPr>
            </w:pPr>
          </w:p>
          <w:p w:rsidR="00C512F6" w:rsidRDefault="00C448EF">
            <w:pPr>
              <w:pStyle w:val="TableParagraph"/>
              <w:spacing w:before="188"/>
              <w:ind w:left="107"/>
              <w:rPr>
                <w:b/>
                <w:sz w:val="20"/>
              </w:rPr>
            </w:pPr>
            <w:r>
              <w:rPr>
                <w:b/>
                <w:sz w:val="20"/>
              </w:rPr>
              <w:t>Adjoining Occupiers:</w:t>
            </w:r>
          </w:p>
        </w:tc>
        <w:tc>
          <w:tcPr>
            <w:tcW w:w="1843" w:type="dxa"/>
            <w:gridSpan w:val="3"/>
            <w:tcBorders>
              <w:top w:val="single" w:sz="4" w:space="0" w:color="000000"/>
              <w:left w:val="single" w:sz="12" w:space="0" w:color="000000"/>
              <w:bottom w:val="single" w:sz="4" w:space="0" w:color="000000"/>
              <w:right w:val="single" w:sz="4" w:space="0" w:color="000000"/>
            </w:tcBorders>
          </w:tcPr>
          <w:p w:rsidR="00C512F6" w:rsidRDefault="00C512F6">
            <w:pPr>
              <w:pStyle w:val="TableParagraph"/>
              <w:spacing w:before="5"/>
              <w:rPr>
                <w:rFonts w:ascii="Times New Roman"/>
                <w:sz w:val="24"/>
              </w:rPr>
            </w:pPr>
          </w:p>
          <w:p w:rsidR="00C512F6" w:rsidRDefault="00C448EF">
            <w:pPr>
              <w:pStyle w:val="TableParagraph"/>
              <w:ind w:left="105"/>
              <w:rPr>
                <w:sz w:val="24"/>
              </w:rPr>
            </w:pPr>
            <w:r>
              <w:rPr>
                <w:sz w:val="24"/>
              </w:rPr>
              <w:t>No. notified</w:t>
            </w:r>
          </w:p>
        </w:tc>
        <w:tc>
          <w:tcPr>
            <w:tcW w:w="707" w:type="dxa"/>
            <w:tcBorders>
              <w:top w:val="single" w:sz="4" w:space="0" w:color="000000"/>
              <w:left w:val="single" w:sz="4" w:space="0" w:color="000000"/>
              <w:bottom w:val="single" w:sz="4" w:space="0" w:color="000000"/>
              <w:right w:val="single" w:sz="4" w:space="0" w:color="000000"/>
            </w:tcBorders>
          </w:tcPr>
          <w:p w:rsidR="00C512F6" w:rsidRDefault="00C512F6">
            <w:pPr>
              <w:pStyle w:val="TableParagraph"/>
              <w:rPr>
                <w:rFonts w:ascii="Times New Roman"/>
              </w:rPr>
            </w:pPr>
          </w:p>
        </w:tc>
        <w:tc>
          <w:tcPr>
            <w:tcW w:w="2266" w:type="dxa"/>
            <w:gridSpan w:val="4"/>
            <w:tcBorders>
              <w:top w:val="single" w:sz="4" w:space="0" w:color="000000"/>
              <w:left w:val="single" w:sz="4" w:space="0" w:color="000000"/>
              <w:bottom w:val="single" w:sz="4" w:space="0" w:color="000000"/>
              <w:right w:val="single" w:sz="4" w:space="0" w:color="000000"/>
            </w:tcBorders>
          </w:tcPr>
          <w:p w:rsidR="00C512F6" w:rsidRDefault="00C448EF">
            <w:pPr>
              <w:pStyle w:val="TableParagraph"/>
              <w:spacing w:before="7" w:line="550" w:lineRule="atLeast"/>
              <w:ind w:left="119" w:right="302"/>
              <w:rPr>
                <w:sz w:val="24"/>
              </w:rPr>
            </w:pPr>
            <w:r>
              <w:rPr>
                <w:sz w:val="24"/>
              </w:rPr>
              <w:t>No. of responses No. electronic</w:t>
            </w:r>
          </w:p>
        </w:tc>
        <w:tc>
          <w:tcPr>
            <w:tcW w:w="707" w:type="dxa"/>
            <w:tcBorders>
              <w:top w:val="single" w:sz="4" w:space="0" w:color="000000"/>
              <w:left w:val="single" w:sz="4" w:space="0" w:color="000000"/>
              <w:bottom w:val="single" w:sz="4" w:space="0" w:color="000000"/>
              <w:right w:val="single" w:sz="4" w:space="0" w:color="000000"/>
            </w:tcBorders>
          </w:tcPr>
          <w:p w:rsidR="00C512F6" w:rsidRDefault="00C512F6">
            <w:pPr>
              <w:pStyle w:val="TableParagraph"/>
              <w:spacing w:before="5"/>
              <w:rPr>
                <w:rFonts w:ascii="Times New Roman"/>
                <w:sz w:val="24"/>
              </w:rPr>
            </w:pPr>
          </w:p>
          <w:p w:rsidR="00C512F6" w:rsidRDefault="00C448EF">
            <w:pPr>
              <w:pStyle w:val="TableParagraph"/>
              <w:ind w:left="122"/>
              <w:rPr>
                <w:b/>
                <w:sz w:val="24"/>
              </w:rPr>
            </w:pPr>
            <w:r>
              <w:rPr>
                <w:b/>
                <w:sz w:val="24"/>
              </w:rPr>
              <w:t>00</w:t>
            </w:r>
          </w:p>
          <w:p w:rsidR="00C512F6" w:rsidRDefault="00C512F6">
            <w:pPr>
              <w:pStyle w:val="TableParagraph"/>
              <w:rPr>
                <w:rFonts w:ascii="Times New Roman"/>
                <w:sz w:val="24"/>
              </w:rPr>
            </w:pPr>
          </w:p>
          <w:p w:rsidR="00C512F6" w:rsidRDefault="00C448EF">
            <w:pPr>
              <w:pStyle w:val="TableParagraph"/>
              <w:spacing w:line="258" w:lineRule="exact"/>
              <w:ind w:left="122"/>
              <w:rPr>
                <w:b/>
                <w:sz w:val="24"/>
              </w:rPr>
            </w:pPr>
            <w:r>
              <w:rPr>
                <w:b/>
                <w:sz w:val="24"/>
              </w:rPr>
              <w:t>00</w:t>
            </w:r>
          </w:p>
        </w:tc>
        <w:tc>
          <w:tcPr>
            <w:tcW w:w="2096" w:type="dxa"/>
            <w:gridSpan w:val="3"/>
            <w:tcBorders>
              <w:top w:val="single" w:sz="4" w:space="0" w:color="000000"/>
              <w:left w:val="single" w:sz="4" w:space="0" w:color="000000"/>
              <w:bottom w:val="single" w:sz="4" w:space="0" w:color="000000"/>
              <w:right w:val="single" w:sz="4" w:space="0" w:color="000000"/>
            </w:tcBorders>
          </w:tcPr>
          <w:p w:rsidR="00C512F6" w:rsidRDefault="00C512F6">
            <w:pPr>
              <w:pStyle w:val="TableParagraph"/>
              <w:spacing w:before="5"/>
              <w:rPr>
                <w:rFonts w:ascii="Times New Roman"/>
                <w:sz w:val="24"/>
              </w:rPr>
            </w:pPr>
          </w:p>
          <w:p w:rsidR="00C512F6" w:rsidRDefault="00C448EF">
            <w:pPr>
              <w:pStyle w:val="TableParagraph"/>
              <w:ind w:left="123"/>
              <w:rPr>
                <w:sz w:val="24"/>
              </w:rPr>
            </w:pPr>
            <w:r>
              <w:rPr>
                <w:sz w:val="24"/>
              </w:rPr>
              <w:t>No. of objections</w:t>
            </w:r>
          </w:p>
        </w:tc>
        <w:tc>
          <w:tcPr>
            <w:tcW w:w="736" w:type="dxa"/>
            <w:tcBorders>
              <w:top w:val="single" w:sz="4" w:space="0" w:color="000000"/>
              <w:left w:val="single" w:sz="4" w:space="0" w:color="000000"/>
              <w:bottom w:val="single" w:sz="4" w:space="0" w:color="000000"/>
              <w:right w:val="single" w:sz="12" w:space="0" w:color="000000"/>
            </w:tcBorders>
          </w:tcPr>
          <w:p w:rsidR="00C512F6" w:rsidRDefault="00C512F6">
            <w:pPr>
              <w:pStyle w:val="TableParagraph"/>
              <w:spacing w:before="5"/>
              <w:rPr>
                <w:rFonts w:ascii="Times New Roman"/>
                <w:sz w:val="24"/>
              </w:rPr>
            </w:pPr>
          </w:p>
          <w:p w:rsidR="00C512F6" w:rsidRDefault="00C448EF">
            <w:pPr>
              <w:pStyle w:val="TableParagraph"/>
              <w:ind w:left="125"/>
              <w:rPr>
                <w:b/>
                <w:sz w:val="24"/>
              </w:rPr>
            </w:pPr>
            <w:r>
              <w:rPr>
                <w:b/>
                <w:sz w:val="24"/>
              </w:rPr>
              <w:t>00</w:t>
            </w:r>
          </w:p>
        </w:tc>
      </w:tr>
      <w:tr w:rsidR="00C512F6">
        <w:trPr>
          <w:trHeight w:val="2061"/>
        </w:trPr>
        <w:tc>
          <w:tcPr>
            <w:tcW w:w="2695" w:type="dxa"/>
            <w:gridSpan w:val="2"/>
            <w:tcBorders>
              <w:top w:val="single" w:sz="4" w:space="0" w:color="000000"/>
              <w:left w:val="single" w:sz="12" w:space="0" w:color="000000"/>
              <w:bottom w:val="single" w:sz="4" w:space="0" w:color="000000"/>
              <w:right w:val="single" w:sz="12" w:space="0" w:color="000000"/>
            </w:tcBorders>
          </w:tcPr>
          <w:p w:rsidR="00C512F6" w:rsidRDefault="00C512F6">
            <w:pPr>
              <w:pStyle w:val="TableParagraph"/>
              <w:rPr>
                <w:rFonts w:ascii="Times New Roman"/>
              </w:rPr>
            </w:pPr>
          </w:p>
          <w:p w:rsidR="00C512F6" w:rsidRDefault="00C512F6">
            <w:pPr>
              <w:pStyle w:val="TableParagraph"/>
              <w:spacing w:before="2"/>
              <w:rPr>
                <w:rFonts w:ascii="Times New Roman"/>
                <w:sz w:val="23"/>
              </w:rPr>
            </w:pPr>
          </w:p>
          <w:p w:rsidR="00C512F6" w:rsidRDefault="00C448EF">
            <w:pPr>
              <w:pStyle w:val="TableParagraph"/>
              <w:ind w:left="107"/>
              <w:rPr>
                <w:b/>
                <w:sz w:val="20"/>
              </w:rPr>
            </w:pPr>
            <w:r>
              <w:rPr>
                <w:b/>
                <w:sz w:val="20"/>
              </w:rPr>
              <w:t>Summary of consultation responses:</w:t>
            </w:r>
          </w:p>
        </w:tc>
        <w:tc>
          <w:tcPr>
            <w:tcW w:w="8355" w:type="dxa"/>
            <w:gridSpan w:val="13"/>
            <w:tcBorders>
              <w:top w:val="single" w:sz="4" w:space="0" w:color="000000"/>
              <w:left w:val="single" w:sz="12" w:space="0" w:color="000000"/>
              <w:bottom w:val="single" w:sz="4" w:space="0" w:color="000000"/>
              <w:right w:val="single" w:sz="12" w:space="0" w:color="000000"/>
            </w:tcBorders>
          </w:tcPr>
          <w:p w:rsidR="00C512F6" w:rsidRDefault="00C448EF">
            <w:pPr>
              <w:pStyle w:val="TableParagraph"/>
              <w:spacing w:line="480" w:lineRule="auto"/>
              <w:ind w:left="105" w:right="1902"/>
              <w:rPr>
                <w:sz w:val="24"/>
              </w:rPr>
            </w:pPr>
            <w:r>
              <w:rPr>
                <w:sz w:val="24"/>
              </w:rPr>
              <w:t xml:space="preserve">A site notice was displayed from </w:t>
            </w:r>
            <w:r w:rsidR="00EA0C9B">
              <w:rPr>
                <w:sz w:val="24"/>
              </w:rPr>
              <w:t>11</w:t>
            </w:r>
            <w:r>
              <w:rPr>
                <w:sz w:val="24"/>
              </w:rPr>
              <w:t>/0</w:t>
            </w:r>
            <w:r w:rsidR="00EA0C9B">
              <w:rPr>
                <w:sz w:val="24"/>
              </w:rPr>
              <w:t>8</w:t>
            </w:r>
            <w:r>
              <w:rPr>
                <w:sz w:val="24"/>
              </w:rPr>
              <w:t xml:space="preserve">/2018 to </w:t>
            </w:r>
            <w:r w:rsidR="00EA0C9B">
              <w:rPr>
                <w:sz w:val="24"/>
              </w:rPr>
              <w:t>04</w:t>
            </w:r>
            <w:r>
              <w:rPr>
                <w:sz w:val="24"/>
              </w:rPr>
              <w:t>/0</w:t>
            </w:r>
            <w:r w:rsidR="00EA0C9B">
              <w:rPr>
                <w:sz w:val="24"/>
              </w:rPr>
              <w:t>9</w:t>
            </w:r>
            <w:r>
              <w:rPr>
                <w:sz w:val="24"/>
              </w:rPr>
              <w:t>/20</w:t>
            </w:r>
            <w:r w:rsidR="00EA0C9B">
              <w:rPr>
                <w:sz w:val="24"/>
              </w:rPr>
              <w:t>21</w:t>
            </w:r>
            <w:r>
              <w:rPr>
                <w:sz w:val="24"/>
              </w:rPr>
              <w:t>. No objections were received.</w:t>
            </w:r>
          </w:p>
        </w:tc>
      </w:tr>
      <w:tr w:rsidR="00C512F6">
        <w:trPr>
          <w:trHeight w:val="2149"/>
        </w:trPr>
        <w:tc>
          <w:tcPr>
            <w:tcW w:w="2695" w:type="dxa"/>
            <w:gridSpan w:val="2"/>
            <w:tcBorders>
              <w:top w:val="single" w:sz="4" w:space="0" w:color="000000"/>
              <w:left w:val="single" w:sz="12" w:space="0" w:color="000000"/>
              <w:bottom w:val="single" w:sz="12" w:space="0" w:color="000000"/>
              <w:right w:val="single" w:sz="12" w:space="0" w:color="000000"/>
            </w:tcBorders>
          </w:tcPr>
          <w:p w:rsidR="00C512F6" w:rsidRDefault="00C512F6">
            <w:pPr>
              <w:pStyle w:val="TableParagraph"/>
              <w:rPr>
                <w:rFonts w:ascii="Times New Roman"/>
              </w:rPr>
            </w:pPr>
          </w:p>
          <w:p w:rsidR="00C512F6" w:rsidRDefault="00C512F6">
            <w:pPr>
              <w:pStyle w:val="TableParagraph"/>
              <w:rPr>
                <w:rFonts w:ascii="Times New Roman"/>
              </w:rPr>
            </w:pPr>
          </w:p>
          <w:p w:rsidR="00C512F6" w:rsidRDefault="00C512F6">
            <w:pPr>
              <w:pStyle w:val="TableParagraph"/>
              <w:spacing w:before="2"/>
              <w:rPr>
                <w:rFonts w:ascii="Times New Roman"/>
                <w:sz w:val="29"/>
              </w:rPr>
            </w:pPr>
          </w:p>
          <w:p w:rsidR="00C512F6" w:rsidRDefault="00C448EF">
            <w:pPr>
              <w:pStyle w:val="TableParagraph"/>
              <w:ind w:left="107"/>
              <w:rPr>
                <w:b/>
                <w:sz w:val="20"/>
              </w:rPr>
            </w:pPr>
            <w:r>
              <w:rPr>
                <w:b/>
                <w:sz w:val="20"/>
              </w:rPr>
              <w:t>Kentish Town Neighbourhood Forum</w:t>
            </w:r>
          </w:p>
        </w:tc>
        <w:tc>
          <w:tcPr>
            <w:tcW w:w="8355" w:type="dxa"/>
            <w:gridSpan w:val="13"/>
            <w:tcBorders>
              <w:top w:val="single" w:sz="4" w:space="0" w:color="000000"/>
              <w:left w:val="single" w:sz="12" w:space="0" w:color="000000"/>
              <w:bottom w:val="single" w:sz="12" w:space="0" w:color="000000"/>
              <w:right w:val="single" w:sz="12" w:space="0" w:color="000000"/>
            </w:tcBorders>
          </w:tcPr>
          <w:p w:rsidR="00C512F6" w:rsidRDefault="00C448EF">
            <w:pPr>
              <w:pStyle w:val="TableParagraph"/>
              <w:spacing w:line="480" w:lineRule="auto"/>
              <w:ind w:left="105" w:right="2143"/>
              <w:rPr>
                <w:sz w:val="24"/>
              </w:rPr>
            </w:pPr>
            <w:r>
              <w:rPr>
                <w:sz w:val="24"/>
              </w:rPr>
              <w:t>The Kentish Town Neighbourhood Forum was consulted. No response was received.</w:t>
            </w:r>
          </w:p>
        </w:tc>
      </w:tr>
    </w:tbl>
    <w:p w:rsidR="00C512F6" w:rsidRDefault="00C512F6">
      <w:pPr>
        <w:spacing w:line="480" w:lineRule="auto"/>
        <w:rPr>
          <w:sz w:val="24"/>
        </w:rPr>
        <w:sectPr w:rsidR="00C512F6">
          <w:type w:val="continuous"/>
          <w:pgSz w:w="11910" w:h="16840"/>
          <w:pgMar w:top="540" w:right="320" w:bottom="280" w:left="260" w:header="720" w:footer="720"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11059"/>
      </w:tblGrid>
      <w:tr w:rsidR="00C512F6">
        <w:trPr>
          <w:trHeight w:val="374"/>
        </w:trPr>
        <w:tc>
          <w:tcPr>
            <w:tcW w:w="11059" w:type="dxa"/>
            <w:shd w:val="clear" w:color="auto" w:fill="000000"/>
          </w:tcPr>
          <w:p w:rsidR="00C512F6" w:rsidRDefault="00C448EF">
            <w:pPr>
              <w:pStyle w:val="TableParagraph"/>
              <w:spacing w:before="31"/>
              <w:ind w:left="122"/>
              <w:rPr>
                <w:b/>
                <w:sz w:val="24"/>
              </w:rPr>
            </w:pPr>
            <w:r>
              <w:rPr>
                <w:b/>
                <w:color w:val="FFFFFF"/>
                <w:sz w:val="24"/>
              </w:rPr>
              <w:t>Site Description</w:t>
            </w:r>
          </w:p>
        </w:tc>
      </w:tr>
      <w:tr w:rsidR="00C512F6">
        <w:trPr>
          <w:trHeight w:val="1380"/>
        </w:trPr>
        <w:tc>
          <w:tcPr>
            <w:tcW w:w="11059" w:type="dxa"/>
            <w:tcBorders>
              <w:left w:val="single" w:sz="12" w:space="0" w:color="000000"/>
              <w:right w:val="single" w:sz="12" w:space="0" w:color="000000"/>
            </w:tcBorders>
          </w:tcPr>
          <w:p w:rsidR="00B308F0" w:rsidRDefault="00B308F0" w:rsidP="00BC0449">
            <w:pPr>
              <w:pStyle w:val="TableParagraph"/>
              <w:ind w:left="107" w:right="390"/>
              <w:rPr>
                <w:sz w:val="24"/>
              </w:rPr>
            </w:pPr>
          </w:p>
          <w:p w:rsidR="00C512F6" w:rsidRDefault="00BC0449" w:rsidP="00BC0449">
            <w:pPr>
              <w:pStyle w:val="TableParagraph"/>
              <w:ind w:left="107" w:right="390"/>
              <w:rPr>
                <w:sz w:val="24"/>
              </w:rPr>
            </w:pPr>
            <w:r w:rsidRPr="00BC0449">
              <w:rPr>
                <w:sz w:val="24"/>
              </w:rPr>
              <w:t>The site is a three-storey terraced building. The site is comprised of a retail unit (A1) at the ground floor with the upper floors being in use as a house or flat in multiple occupation. The site is not located within a conservation area.</w:t>
            </w:r>
          </w:p>
        </w:tc>
      </w:tr>
      <w:tr w:rsidR="00C512F6">
        <w:trPr>
          <w:trHeight w:val="295"/>
        </w:trPr>
        <w:tc>
          <w:tcPr>
            <w:tcW w:w="11059" w:type="dxa"/>
            <w:shd w:val="clear" w:color="auto" w:fill="000000"/>
          </w:tcPr>
          <w:p w:rsidR="00C512F6" w:rsidRDefault="00C448EF">
            <w:pPr>
              <w:pStyle w:val="TableParagraph"/>
              <w:spacing w:before="5" w:line="270" w:lineRule="exact"/>
              <w:ind w:left="122"/>
              <w:rPr>
                <w:b/>
                <w:sz w:val="24"/>
              </w:rPr>
            </w:pPr>
            <w:r>
              <w:rPr>
                <w:b/>
                <w:color w:val="FFFFFF"/>
                <w:sz w:val="24"/>
              </w:rPr>
              <w:t>Relevant History</w:t>
            </w:r>
          </w:p>
        </w:tc>
      </w:tr>
      <w:tr w:rsidR="00C512F6" w:rsidTr="00B308F0">
        <w:trPr>
          <w:trHeight w:val="1207"/>
        </w:trPr>
        <w:tc>
          <w:tcPr>
            <w:tcW w:w="11059" w:type="dxa"/>
            <w:tcBorders>
              <w:left w:val="single" w:sz="12" w:space="0" w:color="000000"/>
              <w:right w:val="single" w:sz="12" w:space="0" w:color="000000"/>
            </w:tcBorders>
          </w:tcPr>
          <w:p w:rsidR="00C512F6" w:rsidRDefault="00C512F6">
            <w:pPr>
              <w:pStyle w:val="TableParagraph"/>
              <w:spacing w:before="7"/>
              <w:rPr>
                <w:rFonts w:ascii="Times New Roman"/>
                <w:sz w:val="23"/>
              </w:rPr>
            </w:pPr>
          </w:p>
          <w:p w:rsidR="00C512F6" w:rsidRDefault="006145A2">
            <w:pPr>
              <w:pStyle w:val="TableParagraph"/>
              <w:ind w:left="107" w:right="323"/>
              <w:rPr>
                <w:sz w:val="24"/>
              </w:rPr>
            </w:pPr>
            <w:r w:rsidRPr="006145A2">
              <w:rPr>
                <w:b/>
                <w:bCs/>
                <w:sz w:val="24"/>
              </w:rPr>
              <w:t>2020/1804/P</w:t>
            </w:r>
            <w:r>
              <w:rPr>
                <w:sz w:val="24"/>
              </w:rPr>
              <w:t xml:space="preserve"> </w:t>
            </w:r>
            <w:r w:rsidRPr="006145A2">
              <w:rPr>
                <w:sz w:val="24"/>
              </w:rPr>
              <w:t>Conversion of 1st and 2nd floor from a 5 bedroom House in Multiple Occupation (Class C4) to two 3 bedroom HMOs (Class C4)(Retrospective</w:t>
            </w:r>
            <w:r>
              <w:rPr>
                <w:sz w:val="24"/>
              </w:rPr>
              <w:t xml:space="preserve">) </w:t>
            </w:r>
            <w:r w:rsidRPr="006145A2">
              <w:rPr>
                <w:b/>
                <w:bCs/>
                <w:sz w:val="24"/>
              </w:rPr>
              <w:t>Granted 10/08/2020</w:t>
            </w:r>
          </w:p>
        </w:tc>
      </w:tr>
      <w:tr w:rsidR="00C512F6">
        <w:trPr>
          <w:trHeight w:val="319"/>
        </w:trPr>
        <w:tc>
          <w:tcPr>
            <w:tcW w:w="11059" w:type="dxa"/>
            <w:shd w:val="clear" w:color="auto" w:fill="000000"/>
          </w:tcPr>
          <w:p w:rsidR="00C512F6" w:rsidRDefault="00C448EF">
            <w:pPr>
              <w:pStyle w:val="TableParagraph"/>
              <w:spacing w:before="17"/>
              <w:ind w:left="122"/>
              <w:rPr>
                <w:b/>
                <w:sz w:val="24"/>
              </w:rPr>
            </w:pPr>
            <w:r>
              <w:rPr>
                <w:b/>
                <w:color w:val="FFFFFF"/>
                <w:sz w:val="24"/>
              </w:rPr>
              <w:t>Relevant policies</w:t>
            </w:r>
          </w:p>
        </w:tc>
      </w:tr>
      <w:tr w:rsidR="00C512F6">
        <w:trPr>
          <w:trHeight w:val="2486"/>
        </w:trPr>
        <w:tc>
          <w:tcPr>
            <w:tcW w:w="11059" w:type="dxa"/>
            <w:tcBorders>
              <w:left w:val="single" w:sz="12" w:space="0" w:color="000000"/>
              <w:bottom w:val="single" w:sz="4" w:space="0" w:color="000000"/>
              <w:right w:val="single" w:sz="12" w:space="0" w:color="000000"/>
            </w:tcBorders>
          </w:tcPr>
          <w:p w:rsidR="00C512F6" w:rsidRDefault="00C448EF" w:rsidP="00E83820">
            <w:pPr>
              <w:pStyle w:val="TableParagraph"/>
              <w:spacing w:line="480" w:lineRule="auto"/>
              <w:ind w:left="107" w:right="6153"/>
              <w:rPr>
                <w:b/>
                <w:sz w:val="24"/>
              </w:rPr>
            </w:pPr>
            <w:r>
              <w:rPr>
                <w:b/>
                <w:sz w:val="24"/>
              </w:rPr>
              <w:t>National Planning Policy Framework 20</w:t>
            </w:r>
            <w:r w:rsidR="00EA0C9B">
              <w:rPr>
                <w:b/>
                <w:sz w:val="24"/>
              </w:rPr>
              <w:t>21</w:t>
            </w:r>
            <w:r>
              <w:rPr>
                <w:b/>
                <w:sz w:val="24"/>
              </w:rPr>
              <w:t xml:space="preserve"> </w:t>
            </w:r>
            <w:r w:rsidR="00E83820">
              <w:rPr>
                <w:b/>
                <w:sz w:val="24"/>
              </w:rPr>
              <w:t>NPPG</w:t>
            </w:r>
          </w:p>
        </w:tc>
      </w:tr>
    </w:tbl>
    <w:p w:rsidR="00C512F6" w:rsidRDefault="00C512F6">
      <w:pPr>
        <w:spacing w:line="237" w:lineRule="auto"/>
        <w:rPr>
          <w:sz w:val="24"/>
        </w:rPr>
        <w:sectPr w:rsidR="00C512F6">
          <w:pgSz w:w="11910" w:h="16840"/>
          <w:pgMar w:top="740" w:right="320" w:bottom="280" w:left="260" w:header="720" w:footer="720"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11059"/>
      </w:tblGrid>
      <w:tr w:rsidR="00C512F6">
        <w:trPr>
          <w:trHeight w:val="359"/>
        </w:trPr>
        <w:tc>
          <w:tcPr>
            <w:tcW w:w="11059" w:type="dxa"/>
            <w:shd w:val="clear" w:color="auto" w:fill="000000"/>
          </w:tcPr>
          <w:p w:rsidR="00C512F6" w:rsidRDefault="00C448EF">
            <w:pPr>
              <w:pStyle w:val="TableParagraph"/>
              <w:spacing w:before="39"/>
              <w:ind w:left="122"/>
              <w:rPr>
                <w:b/>
                <w:sz w:val="24"/>
              </w:rPr>
            </w:pPr>
            <w:r>
              <w:rPr>
                <w:b/>
                <w:color w:val="FFFFFF"/>
                <w:sz w:val="24"/>
              </w:rPr>
              <w:t>Assessment</w:t>
            </w:r>
          </w:p>
        </w:tc>
      </w:tr>
      <w:tr w:rsidR="00C512F6">
        <w:trPr>
          <w:trHeight w:val="7925"/>
        </w:trPr>
        <w:tc>
          <w:tcPr>
            <w:tcW w:w="11059" w:type="dxa"/>
            <w:tcBorders>
              <w:top w:val="single" w:sz="4" w:space="0" w:color="000000"/>
              <w:left w:val="single" w:sz="12" w:space="0" w:color="000000"/>
              <w:bottom w:val="single" w:sz="12" w:space="0" w:color="000000"/>
              <w:right w:val="single" w:sz="12" w:space="0" w:color="000000"/>
            </w:tcBorders>
          </w:tcPr>
          <w:p w:rsidR="00C512F6" w:rsidRDefault="00C448EF">
            <w:pPr>
              <w:pStyle w:val="TableParagraph"/>
              <w:ind w:left="107" w:right="293"/>
              <w:rPr>
                <w:spacing w:val="-4"/>
                <w:sz w:val="24"/>
              </w:rPr>
            </w:pPr>
            <w:r>
              <w:rPr>
                <w:spacing w:val="-4"/>
                <w:sz w:val="24"/>
              </w:rPr>
              <w:t xml:space="preserve">The </w:t>
            </w:r>
            <w:r>
              <w:rPr>
                <w:spacing w:val="-5"/>
                <w:sz w:val="24"/>
              </w:rPr>
              <w:t xml:space="preserve">application seeks prior approval </w:t>
            </w:r>
            <w:r>
              <w:rPr>
                <w:spacing w:val="-2"/>
                <w:sz w:val="24"/>
              </w:rPr>
              <w:t xml:space="preserve">for </w:t>
            </w:r>
            <w:r>
              <w:rPr>
                <w:spacing w:val="-4"/>
                <w:sz w:val="24"/>
              </w:rPr>
              <w:t xml:space="preserve">the </w:t>
            </w:r>
            <w:r>
              <w:rPr>
                <w:spacing w:val="-5"/>
                <w:sz w:val="24"/>
              </w:rPr>
              <w:t xml:space="preserve">change </w:t>
            </w:r>
            <w:r>
              <w:rPr>
                <w:spacing w:val="-4"/>
                <w:sz w:val="24"/>
              </w:rPr>
              <w:t xml:space="preserve">of use of </w:t>
            </w:r>
            <w:r w:rsidR="00D22BDD">
              <w:rPr>
                <w:spacing w:val="-4"/>
                <w:sz w:val="24"/>
              </w:rPr>
              <w:t xml:space="preserve">the rear </w:t>
            </w:r>
            <w:r w:rsidR="009347BE">
              <w:rPr>
                <w:spacing w:val="-4"/>
                <w:sz w:val="24"/>
              </w:rPr>
              <w:t>part of the ground floor</w:t>
            </w:r>
            <w:r>
              <w:rPr>
                <w:spacing w:val="-5"/>
                <w:sz w:val="24"/>
              </w:rPr>
              <w:t xml:space="preserve"> </w:t>
            </w:r>
            <w:r>
              <w:rPr>
                <w:spacing w:val="-4"/>
                <w:sz w:val="24"/>
              </w:rPr>
              <w:t xml:space="preserve">of the </w:t>
            </w:r>
            <w:r>
              <w:rPr>
                <w:spacing w:val="-5"/>
                <w:sz w:val="24"/>
              </w:rPr>
              <w:t xml:space="preserve">premises from </w:t>
            </w:r>
            <w:r w:rsidR="00E83820">
              <w:rPr>
                <w:spacing w:val="-3"/>
                <w:sz w:val="24"/>
              </w:rPr>
              <w:t>A1</w:t>
            </w:r>
            <w:r>
              <w:rPr>
                <w:spacing w:val="-3"/>
                <w:sz w:val="24"/>
              </w:rPr>
              <w:t xml:space="preserve"> </w:t>
            </w:r>
            <w:r>
              <w:rPr>
                <w:spacing w:val="-4"/>
                <w:sz w:val="24"/>
              </w:rPr>
              <w:t>to C3 use.</w:t>
            </w:r>
          </w:p>
          <w:p w:rsidR="00E83820" w:rsidRDefault="00E83820">
            <w:pPr>
              <w:pStyle w:val="TableParagraph"/>
              <w:ind w:left="107" w:right="293"/>
              <w:rPr>
                <w:spacing w:val="-4"/>
                <w:sz w:val="24"/>
              </w:rPr>
            </w:pPr>
          </w:p>
          <w:p w:rsidR="00E83820" w:rsidRDefault="00E83820" w:rsidP="00E83820">
            <w:pPr>
              <w:pStyle w:val="TableParagraph"/>
              <w:ind w:left="107" w:right="293"/>
              <w:rPr>
                <w:spacing w:val="-4"/>
                <w:sz w:val="24"/>
              </w:rPr>
            </w:pPr>
            <w:r>
              <w:rPr>
                <w:spacing w:val="-4"/>
                <w:sz w:val="24"/>
              </w:rPr>
              <w:t xml:space="preserve">Class M permits a change of use from Class A1 (shops) </w:t>
            </w:r>
            <w:r w:rsidR="0086486C">
              <w:rPr>
                <w:spacing w:val="-4"/>
                <w:sz w:val="24"/>
              </w:rPr>
              <w:t>to Class C3</w:t>
            </w:r>
            <w:r w:rsidRPr="00E83820">
              <w:rPr>
                <w:spacing w:val="-4"/>
                <w:sz w:val="24"/>
              </w:rPr>
              <w:t xml:space="preserve"> (</w:t>
            </w:r>
            <w:proofErr w:type="spellStart"/>
            <w:r w:rsidRPr="00E83820">
              <w:rPr>
                <w:spacing w:val="-4"/>
                <w:sz w:val="24"/>
              </w:rPr>
              <w:t>dwellinghouses</w:t>
            </w:r>
            <w:proofErr w:type="spellEnd"/>
            <w:r w:rsidRPr="00E83820">
              <w:rPr>
                <w:spacing w:val="-4"/>
                <w:sz w:val="24"/>
              </w:rPr>
              <w:t xml:space="preserve">) </w:t>
            </w:r>
            <w:r>
              <w:rPr>
                <w:spacing w:val="-4"/>
                <w:sz w:val="24"/>
              </w:rPr>
              <w:t xml:space="preserve">as well as the </w:t>
            </w:r>
            <w:r w:rsidRPr="00E83820">
              <w:rPr>
                <w:spacing w:val="-4"/>
                <w:sz w:val="24"/>
              </w:rPr>
              <w:t>building operations reasonably necessary to convert the building to Class C3.</w:t>
            </w:r>
            <w:r w:rsidR="00E05E35">
              <w:rPr>
                <w:spacing w:val="-4"/>
                <w:sz w:val="24"/>
              </w:rPr>
              <w:t xml:space="preserve"> </w:t>
            </w:r>
            <w:r w:rsidR="00E05E35" w:rsidRPr="00E05E35">
              <w:rPr>
                <w:spacing w:val="-4"/>
                <w:sz w:val="24"/>
              </w:rPr>
              <w:t>This is subject to a number of conditio</w:t>
            </w:r>
            <w:r w:rsidR="00E05E35">
              <w:rPr>
                <w:spacing w:val="-4"/>
                <w:sz w:val="24"/>
              </w:rPr>
              <w:t>ns listed within sub-paragraph M.1 [(a)-(g</w:t>
            </w:r>
            <w:r w:rsidR="00E05E35" w:rsidRPr="00E05E35">
              <w:rPr>
                <w:spacing w:val="-4"/>
                <w:sz w:val="24"/>
              </w:rPr>
              <w:t>)] and a subsequ</w:t>
            </w:r>
            <w:r w:rsidR="00E05E35">
              <w:rPr>
                <w:spacing w:val="-4"/>
                <w:sz w:val="24"/>
              </w:rPr>
              <w:t>ent condition in sub-paragraph M</w:t>
            </w:r>
            <w:r w:rsidR="00E05E35" w:rsidRPr="00E05E35">
              <w:rPr>
                <w:spacing w:val="-4"/>
                <w:sz w:val="24"/>
              </w:rPr>
              <w:t>.2 relating to the need for the developer to apply to the local planning authority for prior approval as to:</w:t>
            </w:r>
          </w:p>
          <w:p w:rsidR="00E05E35" w:rsidRDefault="00E05E35" w:rsidP="00E83820">
            <w:pPr>
              <w:pStyle w:val="TableParagraph"/>
              <w:ind w:left="107" w:right="293"/>
              <w:rPr>
                <w:spacing w:val="-4"/>
                <w:sz w:val="24"/>
              </w:rPr>
            </w:pPr>
          </w:p>
          <w:p w:rsidR="00E05E35" w:rsidRDefault="00E05E35" w:rsidP="00E05E35">
            <w:pPr>
              <w:pStyle w:val="TableParagraph"/>
              <w:numPr>
                <w:ilvl w:val="0"/>
                <w:numId w:val="1"/>
              </w:numPr>
              <w:spacing w:before="1"/>
              <w:ind w:right="252"/>
              <w:rPr>
                <w:spacing w:val="-5"/>
                <w:sz w:val="24"/>
              </w:rPr>
            </w:pPr>
            <w:r>
              <w:rPr>
                <w:spacing w:val="-5"/>
                <w:sz w:val="24"/>
              </w:rPr>
              <w:t xml:space="preserve">transport </w:t>
            </w:r>
            <w:r>
              <w:rPr>
                <w:spacing w:val="-4"/>
                <w:sz w:val="24"/>
              </w:rPr>
              <w:t xml:space="preserve">and </w:t>
            </w:r>
            <w:r>
              <w:rPr>
                <w:spacing w:val="-6"/>
                <w:sz w:val="24"/>
              </w:rPr>
              <w:t xml:space="preserve">highways </w:t>
            </w:r>
            <w:r>
              <w:rPr>
                <w:spacing w:val="-4"/>
                <w:sz w:val="24"/>
              </w:rPr>
              <w:t xml:space="preserve">impacts of </w:t>
            </w:r>
            <w:r>
              <w:rPr>
                <w:spacing w:val="-3"/>
                <w:sz w:val="24"/>
              </w:rPr>
              <w:t xml:space="preserve">the </w:t>
            </w:r>
            <w:r>
              <w:rPr>
                <w:spacing w:val="-5"/>
                <w:sz w:val="24"/>
              </w:rPr>
              <w:t xml:space="preserve">development; </w:t>
            </w:r>
          </w:p>
          <w:p w:rsidR="00E05E35" w:rsidRDefault="00E05E35" w:rsidP="00E05E35">
            <w:pPr>
              <w:pStyle w:val="TableParagraph"/>
              <w:numPr>
                <w:ilvl w:val="0"/>
                <w:numId w:val="1"/>
              </w:numPr>
              <w:spacing w:before="1"/>
              <w:ind w:right="252"/>
              <w:rPr>
                <w:spacing w:val="-5"/>
                <w:sz w:val="24"/>
              </w:rPr>
            </w:pPr>
            <w:r>
              <w:rPr>
                <w:spacing w:val="-6"/>
                <w:sz w:val="24"/>
              </w:rPr>
              <w:t xml:space="preserve">contamination </w:t>
            </w:r>
            <w:r>
              <w:rPr>
                <w:spacing w:val="-5"/>
                <w:sz w:val="24"/>
              </w:rPr>
              <w:t xml:space="preserve">risks </w:t>
            </w:r>
            <w:r>
              <w:rPr>
                <w:sz w:val="24"/>
              </w:rPr>
              <w:t xml:space="preserve">on </w:t>
            </w:r>
            <w:r>
              <w:rPr>
                <w:spacing w:val="-4"/>
                <w:sz w:val="24"/>
              </w:rPr>
              <w:t xml:space="preserve">the </w:t>
            </w:r>
            <w:r>
              <w:rPr>
                <w:spacing w:val="-5"/>
                <w:sz w:val="24"/>
              </w:rPr>
              <w:t xml:space="preserve">site; </w:t>
            </w:r>
          </w:p>
          <w:p w:rsidR="00E05E35" w:rsidRDefault="00E05E35" w:rsidP="00E05E35">
            <w:pPr>
              <w:pStyle w:val="TableParagraph"/>
              <w:numPr>
                <w:ilvl w:val="0"/>
                <w:numId w:val="1"/>
              </w:numPr>
              <w:spacing w:before="1"/>
              <w:ind w:right="252"/>
              <w:rPr>
                <w:spacing w:val="-5"/>
                <w:sz w:val="24"/>
              </w:rPr>
            </w:pPr>
            <w:r>
              <w:rPr>
                <w:spacing w:val="-5"/>
                <w:sz w:val="24"/>
              </w:rPr>
              <w:t xml:space="preserve">flooding risks </w:t>
            </w:r>
            <w:r>
              <w:rPr>
                <w:sz w:val="24"/>
              </w:rPr>
              <w:t xml:space="preserve">on </w:t>
            </w:r>
            <w:r>
              <w:rPr>
                <w:spacing w:val="-4"/>
                <w:sz w:val="24"/>
              </w:rPr>
              <w:t xml:space="preserve">the </w:t>
            </w:r>
            <w:r>
              <w:rPr>
                <w:spacing w:val="-5"/>
                <w:sz w:val="24"/>
              </w:rPr>
              <w:t xml:space="preserve">site; </w:t>
            </w:r>
          </w:p>
          <w:p w:rsidR="004A4AB4" w:rsidRPr="004A4AB4" w:rsidRDefault="00E05E35" w:rsidP="00ED7BA3">
            <w:pPr>
              <w:pStyle w:val="TableParagraph"/>
              <w:numPr>
                <w:ilvl w:val="0"/>
                <w:numId w:val="1"/>
              </w:numPr>
              <w:spacing w:before="1"/>
              <w:ind w:right="252"/>
              <w:rPr>
                <w:spacing w:val="-5"/>
                <w:sz w:val="24"/>
              </w:rPr>
            </w:pPr>
            <w:r w:rsidRPr="004A4AB4">
              <w:rPr>
                <w:spacing w:val="-5"/>
                <w:sz w:val="24"/>
              </w:rPr>
              <w:t xml:space="preserve">desirability </w:t>
            </w:r>
            <w:r w:rsidRPr="004A4AB4">
              <w:rPr>
                <w:spacing w:val="-4"/>
                <w:sz w:val="24"/>
              </w:rPr>
              <w:t xml:space="preserve">of </w:t>
            </w:r>
            <w:r w:rsidRPr="004A4AB4">
              <w:rPr>
                <w:spacing w:val="-5"/>
                <w:sz w:val="24"/>
              </w:rPr>
              <w:t xml:space="preserve">change </w:t>
            </w:r>
            <w:r w:rsidRPr="004A4AB4">
              <w:rPr>
                <w:spacing w:val="-3"/>
                <w:sz w:val="24"/>
              </w:rPr>
              <w:t xml:space="preserve">to </w:t>
            </w:r>
            <w:r w:rsidRPr="004A4AB4">
              <w:rPr>
                <w:sz w:val="24"/>
              </w:rPr>
              <w:t xml:space="preserve">a </w:t>
            </w:r>
            <w:r w:rsidRPr="004A4AB4">
              <w:rPr>
                <w:spacing w:val="-3"/>
                <w:sz w:val="24"/>
              </w:rPr>
              <w:t xml:space="preserve">use </w:t>
            </w:r>
            <w:r w:rsidRPr="004A4AB4">
              <w:rPr>
                <w:spacing w:val="-5"/>
                <w:sz w:val="24"/>
              </w:rPr>
              <w:t xml:space="preserve">falling within Class </w:t>
            </w:r>
            <w:r w:rsidRPr="004A4AB4">
              <w:rPr>
                <w:spacing w:val="-3"/>
                <w:sz w:val="24"/>
              </w:rPr>
              <w:t xml:space="preserve">C3 </w:t>
            </w:r>
            <w:r w:rsidRPr="004A4AB4">
              <w:rPr>
                <w:spacing w:val="-5"/>
                <w:sz w:val="24"/>
              </w:rPr>
              <w:t xml:space="preserve">having regard </w:t>
            </w:r>
            <w:r w:rsidRPr="004A4AB4">
              <w:rPr>
                <w:spacing w:val="-3"/>
                <w:sz w:val="24"/>
              </w:rPr>
              <w:t xml:space="preserve">to </w:t>
            </w:r>
            <w:r w:rsidRPr="004A4AB4">
              <w:rPr>
                <w:spacing w:val="-4"/>
                <w:sz w:val="24"/>
              </w:rPr>
              <w:t xml:space="preserve">the </w:t>
            </w:r>
            <w:r w:rsidRPr="004A4AB4">
              <w:rPr>
                <w:spacing w:val="-5"/>
                <w:sz w:val="24"/>
              </w:rPr>
              <w:t xml:space="preserve">impact </w:t>
            </w:r>
            <w:r w:rsidRPr="004A4AB4">
              <w:rPr>
                <w:spacing w:val="-4"/>
                <w:sz w:val="24"/>
              </w:rPr>
              <w:t xml:space="preserve">of the </w:t>
            </w:r>
            <w:r w:rsidRPr="004A4AB4">
              <w:rPr>
                <w:spacing w:val="-5"/>
                <w:sz w:val="24"/>
              </w:rPr>
              <w:t xml:space="preserve">change </w:t>
            </w:r>
            <w:r w:rsidRPr="004A4AB4">
              <w:rPr>
                <w:spacing w:val="-4"/>
                <w:sz w:val="24"/>
              </w:rPr>
              <w:t xml:space="preserve">of </w:t>
            </w:r>
            <w:r w:rsidRPr="004A4AB4">
              <w:rPr>
                <w:spacing w:val="-3"/>
                <w:sz w:val="24"/>
              </w:rPr>
              <w:t xml:space="preserve">use </w:t>
            </w:r>
            <w:r w:rsidRPr="004A4AB4">
              <w:rPr>
                <w:sz w:val="24"/>
              </w:rPr>
              <w:t xml:space="preserve">on </w:t>
            </w:r>
            <w:r w:rsidRPr="004A4AB4">
              <w:rPr>
                <w:spacing w:val="-5"/>
                <w:sz w:val="24"/>
              </w:rPr>
              <w:t xml:space="preserve">adequate provision </w:t>
            </w:r>
            <w:r w:rsidRPr="004A4AB4">
              <w:rPr>
                <w:spacing w:val="-4"/>
                <w:sz w:val="24"/>
              </w:rPr>
              <w:t xml:space="preserve">of </w:t>
            </w:r>
            <w:r w:rsidRPr="004A4AB4">
              <w:rPr>
                <w:spacing w:val="-5"/>
                <w:sz w:val="24"/>
              </w:rPr>
              <w:t xml:space="preserve">services </w:t>
            </w:r>
            <w:r w:rsidR="004A4AB4" w:rsidRPr="004A4AB4">
              <w:rPr>
                <w:spacing w:val="-4"/>
                <w:sz w:val="24"/>
              </w:rPr>
              <w:t xml:space="preserve">of the sort that may be provided by a building </w:t>
            </w:r>
            <w:r w:rsidR="004A4AB4" w:rsidRPr="004A4AB4">
              <w:rPr>
                <w:spacing w:val="-4"/>
                <w:sz w:val="24"/>
              </w:rPr>
              <w:t xml:space="preserve">falling within Class A1 (shops) </w:t>
            </w:r>
            <w:r w:rsidR="004A4AB4" w:rsidRPr="004A4AB4">
              <w:rPr>
                <w:spacing w:val="-4"/>
                <w:sz w:val="24"/>
              </w:rPr>
              <w:t>but only where there is a reasonable prospect of the building bein</w:t>
            </w:r>
            <w:r w:rsidR="004A4AB4">
              <w:rPr>
                <w:spacing w:val="-4"/>
                <w:sz w:val="24"/>
              </w:rPr>
              <w:t xml:space="preserve">g used to provide such services; </w:t>
            </w:r>
          </w:p>
          <w:p w:rsidR="00E05E35" w:rsidRPr="004A4AB4" w:rsidRDefault="00E05E35" w:rsidP="00355A6C">
            <w:pPr>
              <w:pStyle w:val="TableParagraph"/>
              <w:numPr>
                <w:ilvl w:val="0"/>
                <w:numId w:val="1"/>
              </w:numPr>
              <w:spacing w:before="1"/>
              <w:ind w:right="252"/>
              <w:rPr>
                <w:spacing w:val="-5"/>
                <w:sz w:val="24"/>
              </w:rPr>
            </w:pPr>
            <w:r w:rsidRPr="004A4AB4">
              <w:rPr>
                <w:spacing w:val="-4"/>
                <w:sz w:val="24"/>
              </w:rPr>
              <w:t xml:space="preserve">the </w:t>
            </w:r>
            <w:r w:rsidRPr="004A4AB4">
              <w:rPr>
                <w:spacing w:val="-5"/>
                <w:sz w:val="24"/>
              </w:rPr>
              <w:t xml:space="preserve">design </w:t>
            </w:r>
            <w:r w:rsidRPr="004A4AB4">
              <w:rPr>
                <w:spacing w:val="-4"/>
                <w:sz w:val="24"/>
              </w:rPr>
              <w:t xml:space="preserve">or </w:t>
            </w:r>
            <w:r w:rsidRPr="004A4AB4">
              <w:rPr>
                <w:spacing w:val="-5"/>
                <w:sz w:val="24"/>
              </w:rPr>
              <w:t xml:space="preserve">external appearance </w:t>
            </w:r>
            <w:r w:rsidRPr="004A4AB4">
              <w:rPr>
                <w:spacing w:val="-4"/>
                <w:sz w:val="24"/>
              </w:rPr>
              <w:t xml:space="preserve">of the </w:t>
            </w:r>
            <w:r w:rsidRPr="004A4AB4">
              <w:rPr>
                <w:spacing w:val="-5"/>
                <w:sz w:val="24"/>
              </w:rPr>
              <w:t xml:space="preserve">building; and </w:t>
            </w:r>
          </w:p>
          <w:p w:rsidR="00E05E35" w:rsidRDefault="00E05E35" w:rsidP="00E05E35">
            <w:pPr>
              <w:pStyle w:val="TableParagraph"/>
              <w:numPr>
                <w:ilvl w:val="0"/>
                <w:numId w:val="1"/>
              </w:numPr>
              <w:spacing w:before="1"/>
              <w:ind w:right="252"/>
              <w:rPr>
                <w:sz w:val="24"/>
              </w:rPr>
            </w:pPr>
            <w:r>
              <w:rPr>
                <w:spacing w:val="-5"/>
                <w:sz w:val="24"/>
              </w:rPr>
              <w:t>t</w:t>
            </w:r>
            <w:r w:rsidRPr="00C64EE1">
              <w:rPr>
                <w:spacing w:val="-5"/>
                <w:sz w:val="24"/>
              </w:rPr>
              <w:t xml:space="preserve">he provision of adequate natural light in all habitable rooms of the </w:t>
            </w:r>
            <w:proofErr w:type="spellStart"/>
            <w:r w:rsidRPr="00C64EE1">
              <w:rPr>
                <w:spacing w:val="-5"/>
                <w:sz w:val="24"/>
              </w:rPr>
              <w:t>dwellinghouses</w:t>
            </w:r>
            <w:proofErr w:type="spellEnd"/>
          </w:p>
          <w:p w:rsidR="00E05E35" w:rsidRDefault="00E05E35" w:rsidP="00E83820">
            <w:pPr>
              <w:pStyle w:val="TableParagraph"/>
              <w:ind w:left="107" w:right="293"/>
              <w:rPr>
                <w:spacing w:val="-4"/>
                <w:sz w:val="24"/>
              </w:rPr>
            </w:pPr>
          </w:p>
          <w:p w:rsidR="00E05E35" w:rsidRPr="0086486C" w:rsidRDefault="00E05E35" w:rsidP="006C102F">
            <w:pPr>
              <w:widowControl/>
              <w:autoSpaceDE/>
              <w:autoSpaceDN/>
              <w:spacing w:after="240"/>
              <w:rPr>
                <w:b/>
                <w:spacing w:val="-5"/>
                <w:sz w:val="24"/>
              </w:rPr>
            </w:pPr>
            <w:r w:rsidRPr="0086486C">
              <w:rPr>
                <w:b/>
                <w:spacing w:val="-5"/>
                <w:sz w:val="24"/>
              </w:rPr>
              <w:t>Assessment against Part 3, Class M.1</w:t>
            </w:r>
            <w:r w:rsidRPr="0086486C">
              <w:rPr>
                <w:b/>
                <w:spacing w:val="-5"/>
                <w:sz w:val="24"/>
              </w:rPr>
              <w:t xml:space="preserve"> conditions</w:t>
            </w:r>
          </w:p>
          <w:p w:rsidR="005C4BF1" w:rsidRDefault="005C4BF1" w:rsidP="00E83820">
            <w:pPr>
              <w:pStyle w:val="TableParagraph"/>
              <w:ind w:left="107" w:right="293"/>
              <w:rPr>
                <w:spacing w:val="-4"/>
                <w:sz w:val="24"/>
              </w:rPr>
            </w:pPr>
          </w:p>
          <w:tbl>
            <w:tblPr>
              <w:tblW w:w="9160" w:type="dxa"/>
              <w:tblInd w:w="607" w:type="dxa"/>
              <w:tblLayout w:type="fixed"/>
              <w:tblLook w:val="04A0" w:firstRow="1" w:lastRow="0" w:firstColumn="1" w:lastColumn="0" w:noHBand="0" w:noVBand="1"/>
            </w:tblPr>
            <w:tblGrid>
              <w:gridCol w:w="8000"/>
              <w:gridCol w:w="1160"/>
            </w:tblGrid>
            <w:tr w:rsidR="005C4BF1" w:rsidRPr="005C4BF1" w:rsidTr="005C4BF1">
              <w:trPr>
                <w:trHeight w:val="300"/>
              </w:trPr>
              <w:tc>
                <w:tcPr>
                  <w:tcW w:w="80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Development is not permitted by Class M if </w:t>
                  </w:r>
                </w:p>
              </w:tc>
              <w:tc>
                <w:tcPr>
                  <w:tcW w:w="1160" w:type="dxa"/>
                  <w:tcBorders>
                    <w:top w:val="single" w:sz="4" w:space="0" w:color="auto"/>
                    <w:left w:val="nil"/>
                    <w:bottom w:val="single" w:sz="4" w:space="0" w:color="auto"/>
                    <w:right w:val="single" w:sz="4" w:space="0" w:color="auto"/>
                  </w:tcBorders>
                  <w:shd w:val="clear" w:color="000000" w:fill="D9D9D9"/>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Yes/ No</w:t>
                  </w:r>
                </w:p>
              </w:tc>
            </w:tr>
            <w:tr w:rsidR="005C4BF1" w:rsidRPr="005C4BF1" w:rsidTr="005C4BF1">
              <w:trPr>
                <w:trHeight w:val="15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a) the building was not used for one of the uses referred to in Class M(a)— </w:t>
                  </w:r>
                  <w:r w:rsidRPr="005C4BF1">
                    <w:rPr>
                      <w:rFonts w:eastAsia="Times New Roman"/>
                      <w:color w:val="000000"/>
                      <w:sz w:val="24"/>
                      <w:szCs w:val="24"/>
                      <w:lang w:bidi="ar-SA"/>
                    </w:rPr>
                    <w:br/>
                    <w:t>(</w:t>
                  </w:r>
                  <w:proofErr w:type="spellStart"/>
                  <w:r w:rsidRPr="005C4BF1">
                    <w:rPr>
                      <w:rFonts w:eastAsia="Times New Roman"/>
                      <w:color w:val="000000"/>
                      <w:sz w:val="24"/>
                      <w:szCs w:val="24"/>
                      <w:lang w:bidi="ar-SA"/>
                    </w:rPr>
                    <w:t>i</w:t>
                  </w:r>
                  <w:proofErr w:type="spellEnd"/>
                  <w:r w:rsidRPr="005C4BF1">
                    <w:rPr>
                      <w:rFonts w:eastAsia="Times New Roman"/>
                      <w:color w:val="000000"/>
                      <w:sz w:val="24"/>
                      <w:szCs w:val="24"/>
                      <w:lang w:bidi="ar-SA"/>
                    </w:rPr>
                    <w:t xml:space="preserve">) on 20th March 2013, or </w:t>
                  </w:r>
                  <w:r w:rsidRPr="005C4BF1">
                    <w:rPr>
                      <w:rFonts w:eastAsia="Times New Roman"/>
                      <w:color w:val="000000"/>
                      <w:sz w:val="24"/>
                      <w:szCs w:val="24"/>
                      <w:lang w:bidi="ar-SA"/>
                    </w:rPr>
                    <w:br/>
                    <w:t xml:space="preserve">(ii) in the case of a building which was in use before that date but was not in use on that date, when it was last in use;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9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(b) permission to use the building for a use falling within Class A1 (shops) or Class A2 (financial and professional services) of the Schedule to the Use Classes Order has been granted only by this Part;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6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(c) the cumulative floor space of the existing building changing use under Class M exceeds 150 square metres;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9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(d) the development (together with any previous development under Class M) would result in more than 150 square metres of floor space in the building having changed use under Class M;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9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(e) the development would result in the external dimensions of the building extending beyond the external dimensions of the existing building at any given point;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12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(f) the development consists of demolition (other than partial demolition which is reasonably necessary to convert the building to a use falling within Class C3 (</w:t>
                  </w:r>
                  <w:proofErr w:type="spellStart"/>
                  <w:r w:rsidRPr="005C4BF1">
                    <w:rPr>
                      <w:rFonts w:eastAsia="Times New Roman"/>
                      <w:color w:val="000000"/>
                      <w:sz w:val="24"/>
                      <w:szCs w:val="24"/>
                      <w:lang w:bidi="ar-SA"/>
                    </w:rPr>
                    <w:t>dwellinghouses</w:t>
                  </w:r>
                  <w:proofErr w:type="spellEnd"/>
                  <w:r w:rsidRPr="005C4BF1">
                    <w:rPr>
                      <w:rFonts w:eastAsia="Times New Roman"/>
                      <w:color w:val="000000"/>
                      <w:sz w:val="24"/>
                      <w:szCs w:val="24"/>
                      <w:lang w:bidi="ar-SA"/>
                    </w:rPr>
                    <w:t xml:space="preserve">) of the Schedule to the Use Classes Order); or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r w:rsidR="005C4BF1" w:rsidRPr="005C4BF1" w:rsidTr="005C4BF1">
              <w:trPr>
                <w:trHeight w:val="2100"/>
              </w:trPr>
              <w:tc>
                <w:tcPr>
                  <w:tcW w:w="8000" w:type="dxa"/>
                  <w:tcBorders>
                    <w:top w:val="nil"/>
                    <w:left w:val="single" w:sz="4" w:space="0" w:color="auto"/>
                    <w:bottom w:val="single" w:sz="4" w:space="0" w:color="auto"/>
                    <w:right w:val="single" w:sz="4" w:space="0" w:color="auto"/>
                  </w:tcBorders>
                  <w:shd w:val="clear" w:color="auto" w:fill="auto"/>
                  <w:vAlign w:val="bottom"/>
                  <w:hideMark/>
                </w:tcPr>
                <w:p w:rsidR="005C4BF1" w:rsidRPr="005C4BF1" w:rsidRDefault="005C4BF1" w:rsidP="005C4BF1">
                  <w:pPr>
                    <w:widowControl/>
                    <w:autoSpaceDE/>
                    <w:autoSpaceDN/>
                    <w:rPr>
                      <w:rFonts w:eastAsia="Times New Roman"/>
                      <w:color w:val="000000"/>
                      <w:sz w:val="24"/>
                      <w:szCs w:val="24"/>
                      <w:lang w:bidi="ar-SA"/>
                    </w:rPr>
                  </w:pPr>
                  <w:r w:rsidRPr="005C4BF1">
                    <w:rPr>
                      <w:rFonts w:eastAsia="Times New Roman"/>
                      <w:color w:val="000000"/>
                      <w:sz w:val="24"/>
                      <w:szCs w:val="24"/>
                      <w:lang w:bidi="ar-SA"/>
                    </w:rPr>
                    <w:t xml:space="preserve">(g) the building is— </w:t>
                  </w:r>
                  <w:r w:rsidRPr="005C4BF1">
                    <w:rPr>
                      <w:rFonts w:eastAsia="Times New Roman"/>
                      <w:color w:val="000000"/>
                      <w:sz w:val="24"/>
                      <w:szCs w:val="24"/>
                      <w:lang w:bidi="ar-SA"/>
                    </w:rPr>
                    <w:br/>
                    <w:t>(</w:t>
                  </w:r>
                  <w:proofErr w:type="spellStart"/>
                  <w:r w:rsidRPr="005C4BF1">
                    <w:rPr>
                      <w:rFonts w:eastAsia="Times New Roman"/>
                      <w:color w:val="000000"/>
                      <w:sz w:val="24"/>
                      <w:szCs w:val="24"/>
                      <w:lang w:bidi="ar-SA"/>
                    </w:rPr>
                    <w:t>i</w:t>
                  </w:r>
                  <w:proofErr w:type="spellEnd"/>
                  <w:r w:rsidRPr="005C4BF1">
                    <w:rPr>
                      <w:rFonts w:eastAsia="Times New Roman"/>
                      <w:color w:val="000000"/>
                      <w:sz w:val="24"/>
                      <w:szCs w:val="24"/>
                      <w:lang w:bidi="ar-SA"/>
                    </w:rPr>
                    <w:t xml:space="preserve">) on article 2(3) land; </w:t>
                  </w:r>
                  <w:r w:rsidRPr="005C4BF1">
                    <w:rPr>
                      <w:rFonts w:eastAsia="Times New Roman"/>
                      <w:color w:val="000000"/>
                      <w:sz w:val="24"/>
                      <w:szCs w:val="24"/>
                      <w:lang w:bidi="ar-SA"/>
                    </w:rPr>
                    <w:br/>
                    <w:t xml:space="preserve">(ii) in a site of special scientific interest; </w:t>
                  </w:r>
                  <w:r w:rsidRPr="005C4BF1">
                    <w:rPr>
                      <w:rFonts w:eastAsia="Times New Roman"/>
                      <w:color w:val="000000"/>
                      <w:sz w:val="24"/>
                      <w:szCs w:val="24"/>
                      <w:lang w:bidi="ar-SA"/>
                    </w:rPr>
                    <w:br/>
                    <w:t xml:space="preserve">(iii) in a safety hazard area; </w:t>
                  </w:r>
                  <w:r w:rsidRPr="005C4BF1">
                    <w:rPr>
                      <w:rFonts w:eastAsia="Times New Roman"/>
                      <w:color w:val="000000"/>
                      <w:sz w:val="24"/>
                      <w:szCs w:val="24"/>
                      <w:lang w:bidi="ar-SA"/>
                    </w:rPr>
                    <w:br/>
                    <w:t xml:space="preserve">(iv) in a military explosives storage area; </w:t>
                  </w:r>
                  <w:r w:rsidRPr="005C4BF1">
                    <w:rPr>
                      <w:rFonts w:eastAsia="Times New Roman"/>
                      <w:color w:val="000000"/>
                      <w:sz w:val="24"/>
                      <w:szCs w:val="24"/>
                      <w:lang w:bidi="ar-SA"/>
                    </w:rPr>
                    <w:br/>
                    <w:t xml:space="preserve">(v) a listed building; or </w:t>
                  </w:r>
                  <w:r w:rsidRPr="005C4BF1">
                    <w:rPr>
                      <w:rFonts w:eastAsia="Times New Roman"/>
                      <w:color w:val="000000"/>
                      <w:sz w:val="24"/>
                      <w:szCs w:val="24"/>
                      <w:lang w:bidi="ar-SA"/>
                    </w:rPr>
                    <w:br/>
                    <w:t xml:space="preserve">(vi) a scheduled monument. </w:t>
                  </w:r>
                </w:p>
              </w:tc>
              <w:tc>
                <w:tcPr>
                  <w:tcW w:w="1160" w:type="dxa"/>
                  <w:tcBorders>
                    <w:top w:val="nil"/>
                    <w:left w:val="nil"/>
                    <w:bottom w:val="single" w:sz="4" w:space="0" w:color="auto"/>
                    <w:right w:val="single" w:sz="4" w:space="0" w:color="auto"/>
                  </w:tcBorders>
                  <w:shd w:val="clear" w:color="auto" w:fill="auto"/>
                  <w:noWrap/>
                  <w:vAlign w:val="center"/>
                  <w:hideMark/>
                </w:tcPr>
                <w:p w:rsidR="005C4BF1" w:rsidRPr="005C4BF1" w:rsidRDefault="005C4BF1" w:rsidP="005C4BF1">
                  <w:pPr>
                    <w:widowControl/>
                    <w:autoSpaceDE/>
                    <w:autoSpaceDN/>
                    <w:jc w:val="center"/>
                    <w:rPr>
                      <w:rFonts w:eastAsia="Times New Roman"/>
                      <w:color w:val="000000"/>
                      <w:sz w:val="24"/>
                      <w:szCs w:val="24"/>
                      <w:lang w:bidi="ar-SA"/>
                    </w:rPr>
                  </w:pPr>
                  <w:r w:rsidRPr="005C4BF1">
                    <w:rPr>
                      <w:rFonts w:eastAsia="Times New Roman"/>
                      <w:color w:val="000000"/>
                      <w:sz w:val="24"/>
                      <w:szCs w:val="24"/>
                      <w:lang w:bidi="ar-SA"/>
                    </w:rPr>
                    <w:t>No</w:t>
                  </w:r>
                </w:p>
              </w:tc>
            </w:tr>
          </w:tbl>
          <w:p w:rsidR="005C4BF1" w:rsidRDefault="005C4BF1" w:rsidP="00E83820">
            <w:pPr>
              <w:pStyle w:val="TableParagraph"/>
              <w:ind w:left="107" w:right="293"/>
              <w:rPr>
                <w:spacing w:val="-4"/>
                <w:sz w:val="24"/>
              </w:rPr>
            </w:pPr>
          </w:p>
          <w:p w:rsidR="009347BE" w:rsidRDefault="009347BE">
            <w:pPr>
              <w:pStyle w:val="TableParagraph"/>
              <w:ind w:left="107" w:right="293"/>
              <w:rPr>
                <w:spacing w:val="-4"/>
                <w:sz w:val="24"/>
              </w:rPr>
            </w:pPr>
          </w:p>
          <w:p w:rsidR="009347BE" w:rsidRPr="00E05E35" w:rsidRDefault="00E05E35">
            <w:pPr>
              <w:pStyle w:val="TableParagraph"/>
              <w:ind w:left="107" w:right="293"/>
              <w:rPr>
                <w:b/>
                <w:sz w:val="24"/>
              </w:rPr>
            </w:pPr>
            <w:r w:rsidRPr="00E05E35">
              <w:rPr>
                <w:b/>
                <w:sz w:val="24"/>
              </w:rPr>
              <w:t>Assessment under part M2</w:t>
            </w:r>
          </w:p>
          <w:p w:rsidR="00C512F6" w:rsidRDefault="00C512F6">
            <w:pPr>
              <w:pStyle w:val="TableParagraph"/>
              <w:spacing w:before="9"/>
              <w:rPr>
                <w:rFonts w:ascii="Times New Roman"/>
                <w:sz w:val="23"/>
              </w:rPr>
            </w:pPr>
          </w:p>
          <w:p w:rsidR="00C512F6" w:rsidRDefault="00C512F6">
            <w:pPr>
              <w:pStyle w:val="TableParagraph"/>
              <w:spacing w:before="6"/>
              <w:rPr>
                <w:rFonts w:ascii="Times New Roman"/>
                <w:sz w:val="23"/>
              </w:rPr>
            </w:pPr>
          </w:p>
          <w:p w:rsidR="00C512F6" w:rsidRDefault="00C448EF">
            <w:pPr>
              <w:pStyle w:val="TableParagraph"/>
              <w:ind w:left="107"/>
              <w:rPr>
                <w:i/>
                <w:sz w:val="24"/>
              </w:rPr>
            </w:pPr>
            <w:r>
              <w:rPr>
                <w:i/>
                <w:sz w:val="24"/>
                <w:u w:val="single"/>
              </w:rPr>
              <w:t>Transport impacts</w:t>
            </w:r>
          </w:p>
          <w:p w:rsidR="00C512F6" w:rsidRDefault="0086486C">
            <w:pPr>
              <w:pStyle w:val="TableParagraph"/>
              <w:spacing w:before="3"/>
              <w:ind w:left="107"/>
              <w:rPr>
                <w:spacing w:val="-5"/>
                <w:sz w:val="24"/>
              </w:rPr>
            </w:pPr>
            <w:r w:rsidRPr="0086486C">
              <w:rPr>
                <w:spacing w:val="-5"/>
                <w:sz w:val="24"/>
              </w:rPr>
              <w:t>In accordance with section 9 of the NPPF, all of the new residential units would be secured as on-street parking permit free by means of a Section 106 Agreement. This will prevent the future occupiers from adding to existing on-street parking pressures, traffic congestion and air pollution, whilst also encouraging the use of more sustainable modes of transport such as walking, cycling and public transport.</w:t>
            </w:r>
            <w:r>
              <w:rPr>
                <w:spacing w:val="-5"/>
                <w:sz w:val="24"/>
              </w:rPr>
              <w:t xml:space="preserve"> </w:t>
            </w:r>
            <w:r w:rsidR="00C64EE1">
              <w:rPr>
                <w:spacing w:val="-5"/>
                <w:sz w:val="24"/>
              </w:rPr>
              <w:t xml:space="preserve">The applicant </w:t>
            </w:r>
            <w:r w:rsidR="006145A2">
              <w:rPr>
                <w:spacing w:val="-5"/>
                <w:sz w:val="24"/>
              </w:rPr>
              <w:t>has</w:t>
            </w:r>
            <w:r w:rsidR="00C64EE1">
              <w:rPr>
                <w:spacing w:val="-5"/>
                <w:sz w:val="24"/>
              </w:rPr>
              <w:t xml:space="preserve"> provided a secure and covered cycle store within the internal courtyard which is acceptable and also meets London Plan policy requirements.</w:t>
            </w:r>
          </w:p>
          <w:p w:rsidR="00E05E35" w:rsidRDefault="00E05E35">
            <w:pPr>
              <w:pStyle w:val="TableParagraph"/>
              <w:spacing w:before="3"/>
              <w:ind w:left="107"/>
              <w:rPr>
                <w:spacing w:val="-5"/>
                <w:sz w:val="24"/>
              </w:rPr>
            </w:pPr>
          </w:p>
          <w:p w:rsidR="00E05E35" w:rsidRDefault="00E05E35">
            <w:pPr>
              <w:pStyle w:val="TableParagraph"/>
              <w:spacing w:before="3"/>
              <w:ind w:left="107"/>
              <w:rPr>
                <w:spacing w:val="-5"/>
                <w:sz w:val="24"/>
                <w:u w:val="single"/>
              </w:rPr>
            </w:pPr>
            <w:r w:rsidRPr="00E05E35">
              <w:rPr>
                <w:spacing w:val="-5"/>
                <w:sz w:val="24"/>
                <w:u w:val="single"/>
              </w:rPr>
              <w:t>Contamination risks</w:t>
            </w:r>
          </w:p>
          <w:p w:rsidR="00E05E35" w:rsidRDefault="00E05E35">
            <w:pPr>
              <w:pStyle w:val="TableParagraph"/>
              <w:spacing w:before="3"/>
              <w:ind w:left="107"/>
              <w:rPr>
                <w:spacing w:val="-5"/>
                <w:sz w:val="24"/>
                <w:u w:val="single"/>
              </w:rPr>
            </w:pPr>
          </w:p>
          <w:p w:rsidR="00E05E35" w:rsidRPr="00E05E35" w:rsidRDefault="00E05E35">
            <w:pPr>
              <w:pStyle w:val="TableParagraph"/>
              <w:spacing w:before="3"/>
              <w:ind w:left="107"/>
              <w:rPr>
                <w:sz w:val="24"/>
              </w:rPr>
            </w:pPr>
            <w:r>
              <w:rPr>
                <w:spacing w:val="-5"/>
                <w:sz w:val="24"/>
              </w:rPr>
              <w:t xml:space="preserve">The development does not involve land identified as having the potential for contamination. </w:t>
            </w:r>
            <w:r w:rsidR="004A4AB4">
              <w:rPr>
                <w:spacing w:val="-5"/>
                <w:sz w:val="24"/>
              </w:rPr>
              <w:t xml:space="preserve">Furthermore, the development is a change of use so does not involve any excavation. </w:t>
            </w:r>
          </w:p>
          <w:p w:rsidR="00C512F6" w:rsidRDefault="00C512F6">
            <w:pPr>
              <w:pStyle w:val="TableParagraph"/>
              <w:spacing w:before="9"/>
              <w:rPr>
                <w:rFonts w:ascii="Times New Roman"/>
                <w:sz w:val="23"/>
              </w:rPr>
            </w:pPr>
          </w:p>
          <w:p w:rsidR="00C512F6" w:rsidRDefault="00C448EF">
            <w:pPr>
              <w:pStyle w:val="TableParagraph"/>
              <w:ind w:left="107"/>
              <w:rPr>
                <w:i/>
                <w:sz w:val="24"/>
              </w:rPr>
            </w:pPr>
            <w:r>
              <w:rPr>
                <w:i/>
                <w:sz w:val="24"/>
                <w:u w:val="single"/>
              </w:rPr>
              <w:t>Flood risks</w:t>
            </w:r>
          </w:p>
          <w:p w:rsidR="00C512F6" w:rsidRDefault="00C448EF">
            <w:pPr>
              <w:pStyle w:val="TableParagraph"/>
              <w:spacing w:before="3"/>
              <w:ind w:left="107"/>
              <w:rPr>
                <w:sz w:val="24"/>
              </w:rPr>
            </w:pPr>
            <w:r>
              <w:rPr>
                <w:sz w:val="24"/>
              </w:rPr>
              <w:t>The building is not located in a floor risk zone or an area of potential land contamination.</w:t>
            </w:r>
            <w:r w:rsidR="00CF64C3">
              <w:rPr>
                <w:sz w:val="24"/>
              </w:rPr>
              <w:t xml:space="preserve"> The applicant has provided a Flood Risk Assessment and Environmental Report which confirms that the development is acceptable in terms of flood risk and land contamination with no mitigation required.</w:t>
            </w:r>
          </w:p>
          <w:p w:rsidR="00C64EE1" w:rsidRDefault="00C64EE1">
            <w:pPr>
              <w:pStyle w:val="TableParagraph"/>
              <w:spacing w:before="3"/>
              <w:ind w:left="107"/>
              <w:rPr>
                <w:sz w:val="24"/>
              </w:rPr>
            </w:pPr>
          </w:p>
          <w:p w:rsidR="004A4AB4" w:rsidRDefault="004A4AB4" w:rsidP="004A4AB4">
            <w:pPr>
              <w:pStyle w:val="TableParagraph"/>
              <w:ind w:left="107"/>
              <w:rPr>
                <w:i/>
                <w:sz w:val="24"/>
              </w:rPr>
            </w:pPr>
            <w:r>
              <w:rPr>
                <w:i/>
                <w:sz w:val="24"/>
                <w:u w:val="single"/>
              </w:rPr>
              <w:t>Town centre uses</w:t>
            </w:r>
          </w:p>
          <w:p w:rsidR="004A4AB4" w:rsidRDefault="004A4AB4" w:rsidP="004A4AB4">
            <w:pPr>
              <w:pStyle w:val="TableParagraph"/>
              <w:spacing w:before="3"/>
              <w:ind w:left="107" w:right="135"/>
              <w:rPr>
                <w:spacing w:val="-6"/>
                <w:sz w:val="24"/>
              </w:rPr>
            </w:pPr>
            <w:r>
              <w:rPr>
                <w:spacing w:val="-4"/>
                <w:sz w:val="24"/>
              </w:rPr>
              <w:t xml:space="preserve">The </w:t>
            </w:r>
            <w:r>
              <w:rPr>
                <w:spacing w:val="-5"/>
                <w:sz w:val="24"/>
              </w:rPr>
              <w:t xml:space="preserve">conversion </w:t>
            </w:r>
            <w:r>
              <w:rPr>
                <w:spacing w:val="-4"/>
                <w:sz w:val="24"/>
              </w:rPr>
              <w:t xml:space="preserve">of a section of the </w:t>
            </w:r>
            <w:r>
              <w:rPr>
                <w:spacing w:val="-5"/>
                <w:sz w:val="24"/>
              </w:rPr>
              <w:t xml:space="preserve">ground </w:t>
            </w:r>
            <w:r>
              <w:rPr>
                <w:spacing w:val="-4"/>
                <w:sz w:val="24"/>
              </w:rPr>
              <w:t xml:space="preserve">floor </w:t>
            </w:r>
            <w:r>
              <w:rPr>
                <w:spacing w:val="-5"/>
                <w:sz w:val="24"/>
              </w:rPr>
              <w:t xml:space="preserve">unit </w:t>
            </w:r>
            <w:r>
              <w:rPr>
                <w:spacing w:val="-3"/>
                <w:sz w:val="24"/>
              </w:rPr>
              <w:t xml:space="preserve">is </w:t>
            </w:r>
            <w:r>
              <w:rPr>
                <w:spacing w:val="-5"/>
                <w:sz w:val="24"/>
              </w:rPr>
              <w:t>acceptable</w:t>
            </w:r>
            <w:r>
              <w:rPr>
                <w:sz w:val="24"/>
              </w:rPr>
              <w:t xml:space="preserve"> </w:t>
            </w:r>
            <w:r>
              <w:rPr>
                <w:spacing w:val="-5"/>
                <w:sz w:val="24"/>
              </w:rPr>
              <w:t xml:space="preserve">given </w:t>
            </w:r>
            <w:r>
              <w:rPr>
                <w:spacing w:val="-4"/>
                <w:sz w:val="24"/>
              </w:rPr>
              <w:t xml:space="preserve">that the </w:t>
            </w:r>
            <w:r>
              <w:rPr>
                <w:spacing w:val="-5"/>
                <w:sz w:val="24"/>
              </w:rPr>
              <w:t xml:space="preserve">ground </w:t>
            </w:r>
            <w:r>
              <w:rPr>
                <w:spacing w:val="-4"/>
                <w:sz w:val="24"/>
              </w:rPr>
              <w:t xml:space="preserve">floor unit </w:t>
            </w:r>
            <w:r>
              <w:rPr>
                <w:spacing w:val="-5"/>
                <w:sz w:val="24"/>
              </w:rPr>
              <w:t xml:space="preserve">retains sufficient </w:t>
            </w:r>
            <w:r>
              <w:rPr>
                <w:spacing w:val="-4"/>
                <w:sz w:val="24"/>
              </w:rPr>
              <w:t xml:space="preserve">floor </w:t>
            </w:r>
            <w:r>
              <w:rPr>
                <w:spacing w:val="-5"/>
                <w:sz w:val="24"/>
              </w:rPr>
              <w:t xml:space="preserve">space </w:t>
            </w:r>
            <w:r>
              <w:rPr>
                <w:spacing w:val="-4"/>
                <w:sz w:val="24"/>
              </w:rPr>
              <w:t xml:space="preserve">to </w:t>
            </w:r>
            <w:r>
              <w:rPr>
                <w:sz w:val="24"/>
              </w:rPr>
              <w:t xml:space="preserve">be </w:t>
            </w:r>
            <w:r>
              <w:rPr>
                <w:spacing w:val="-5"/>
                <w:sz w:val="24"/>
              </w:rPr>
              <w:t xml:space="preserve">viable </w:t>
            </w:r>
            <w:r>
              <w:rPr>
                <w:spacing w:val="-2"/>
                <w:sz w:val="24"/>
              </w:rPr>
              <w:t xml:space="preserve">for </w:t>
            </w:r>
            <w:r>
              <w:rPr>
                <w:spacing w:val="-5"/>
                <w:sz w:val="24"/>
              </w:rPr>
              <w:t xml:space="preserve">continued </w:t>
            </w:r>
            <w:r>
              <w:rPr>
                <w:spacing w:val="-3"/>
                <w:sz w:val="24"/>
              </w:rPr>
              <w:t>retail use</w:t>
            </w:r>
            <w:r>
              <w:rPr>
                <w:spacing w:val="-4"/>
                <w:sz w:val="24"/>
              </w:rPr>
              <w:t xml:space="preserve">. </w:t>
            </w:r>
            <w:r>
              <w:rPr>
                <w:spacing w:val="-3"/>
                <w:sz w:val="24"/>
              </w:rPr>
              <w:t xml:space="preserve">No </w:t>
            </w:r>
            <w:r>
              <w:rPr>
                <w:spacing w:val="-5"/>
                <w:sz w:val="24"/>
              </w:rPr>
              <w:t xml:space="preserve">changes </w:t>
            </w:r>
            <w:r>
              <w:rPr>
                <w:spacing w:val="-4"/>
                <w:sz w:val="24"/>
              </w:rPr>
              <w:t xml:space="preserve">are </w:t>
            </w:r>
            <w:r>
              <w:rPr>
                <w:spacing w:val="-5"/>
                <w:sz w:val="24"/>
              </w:rPr>
              <w:t xml:space="preserve">proposed </w:t>
            </w:r>
            <w:r>
              <w:rPr>
                <w:spacing w:val="-3"/>
                <w:sz w:val="24"/>
              </w:rPr>
              <w:t xml:space="preserve">to </w:t>
            </w:r>
            <w:r>
              <w:rPr>
                <w:spacing w:val="-4"/>
                <w:sz w:val="24"/>
              </w:rPr>
              <w:t xml:space="preserve">the </w:t>
            </w:r>
            <w:r>
              <w:rPr>
                <w:spacing w:val="-5"/>
                <w:sz w:val="24"/>
              </w:rPr>
              <w:t xml:space="preserve">design </w:t>
            </w:r>
            <w:r>
              <w:rPr>
                <w:sz w:val="24"/>
              </w:rPr>
              <w:t xml:space="preserve">or </w:t>
            </w:r>
            <w:r>
              <w:rPr>
                <w:spacing w:val="-5"/>
                <w:sz w:val="24"/>
              </w:rPr>
              <w:t xml:space="preserve">external appearance </w:t>
            </w:r>
            <w:r>
              <w:rPr>
                <w:spacing w:val="-4"/>
                <w:sz w:val="24"/>
              </w:rPr>
              <w:t xml:space="preserve">of </w:t>
            </w:r>
            <w:r>
              <w:rPr>
                <w:spacing w:val="-3"/>
                <w:sz w:val="24"/>
              </w:rPr>
              <w:t xml:space="preserve">the </w:t>
            </w:r>
            <w:r>
              <w:rPr>
                <w:spacing w:val="-5"/>
                <w:sz w:val="24"/>
              </w:rPr>
              <w:t xml:space="preserve">building </w:t>
            </w:r>
            <w:r>
              <w:rPr>
                <w:sz w:val="24"/>
              </w:rPr>
              <w:t xml:space="preserve">as </w:t>
            </w:r>
            <w:r>
              <w:rPr>
                <w:spacing w:val="-5"/>
                <w:sz w:val="24"/>
              </w:rPr>
              <w:t xml:space="preserve">part </w:t>
            </w:r>
            <w:r>
              <w:rPr>
                <w:spacing w:val="-4"/>
                <w:sz w:val="24"/>
              </w:rPr>
              <w:t xml:space="preserve">of this </w:t>
            </w:r>
            <w:r>
              <w:rPr>
                <w:spacing w:val="-6"/>
                <w:sz w:val="24"/>
              </w:rPr>
              <w:t>application.</w:t>
            </w:r>
          </w:p>
          <w:p w:rsidR="004A4AB4" w:rsidRDefault="004A4AB4" w:rsidP="004A4AB4">
            <w:pPr>
              <w:pStyle w:val="TableParagraph"/>
              <w:spacing w:before="3"/>
              <w:ind w:left="107" w:right="135"/>
              <w:rPr>
                <w:spacing w:val="-6"/>
                <w:sz w:val="24"/>
              </w:rPr>
            </w:pPr>
          </w:p>
          <w:p w:rsidR="004A4AB4" w:rsidRPr="004A4AB4" w:rsidRDefault="004A4AB4" w:rsidP="004A4AB4">
            <w:pPr>
              <w:pStyle w:val="TableParagraph"/>
              <w:spacing w:before="3"/>
              <w:ind w:left="107" w:right="135"/>
              <w:rPr>
                <w:spacing w:val="-6"/>
                <w:sz w:val="24"/>
                <w:u w:val="single"/>
              </w:rPr>
            </w:pPr>
            <w:r w:rsidRPr="004A4AB4">
              <w:rPr>
                <w:spacing w:val="-6"/>
                <w:sz w:val="24"/>
                <w:u w:val="single"/>
              </w:rPr>
              <w:t>Design of the external appearance</w:t>
            </w:r>
          </w:p>
          <w:p w:rsidR="004A4AB4" w:rsidRDefault="004A4AB4" w:rsidP="004A4AB4">
            <w:pPr>
              <w:pStyle w:val="TableParagraph"/>
              <w:spacing w:before="3"/>
              <w:ind w:left="107" w:right="135"/>
              <w:rPr>
                <w:sz w:val="24"/>
              </w:rPr>
            </w:pPr>
          </w:p>
          <w:p w:rsidR="004A4AB4" w:rsidRDefault="004A4AB4" w:rsidP="004A4AB4">
            <w:pPr>
              <w:pStyle w:val="TableParagraph"/>
              <w:spacing w:before="3"/>
              <w:ind w:left="107" w:right="135"/>
              <w:rPr>
                <w:sz w:val="24"/>
              </w:rPr>
            </w:pPr>
            <w:r>
              <w:rPr>
                <w:sz w:val="24"/>
              </w:rPr>
              <w:t xml:space="preserve">The change to the external appearance would be minor and is considered acceptable. </w:t>
            </w:r>
          </w:p>
          <w:p w:rsidR="004A4AB4" w:rsidRDefault="004A4AB4" w:rsidP="004A4AB4">
            <w:pPr>
              <w:pStyle w:val="TableParagraph"/>
              <w:spacing w:before="3"/>
              <w:ind w:left="107" w:right="135"/>
              <w:rPr>
                <w:sz w:val="24"/>
              </w:rPr>
            </w:pPr>
          </w:p>
          <w:p w:rsidR="00C64EE1" w:rsidRDefault="00C64EE1">
            <w:pPr>
              <w:pStyle w:val="TableParagraph"/>
              <w:spacing w:before="3"/>
              <w:ind w:left="107"/>
              <w:rPr>
                <w:sz w:val="24"/>
                <w:u w:val="single"/>
              </w:rPr>
            </w:pPr>
            <w:r w:rsidRPr="00C64EE1">
              <w:rPr>
                <w:sz w:val="24"/>
                <w:u w:val="single"/>
              </w:rPr>
              <w:t>Adequate light to habitable rooms</w:t>
            </w:r>
          </w:p>
          <w:p w:rsidR="006145A2" w:rsidRPr="006145A2" w:rsidRDefault="00200FCB" w:rsidP="006145A2">
            <w:pPr>
              <w:pStyle w:val="TableParagraph"/>
              <w:spacing w:before="3"/>
              <w:ind w:left="107"/>
              <w:rPr>
                <w:sz w:val="24"/>
                <w:u w:val="single"/>
              </w:rPr>
            </w:pPr>
            <w:r>
              <w:rPr>
                <w:sz w:val="24"/>
              </w:rPr>
              <w:t>There would be a roof</w:t>
            </w:r>
            <w:r w:rsidR="004A4AB4">
              <w:rPr>
                <w:sz w:val="24"/>
              </w:rPr>
              <w:t>light over the living room and bedroom</w:t>
            </w:r>
            <w:r w:rsidR="006145A2">
              <w:rPr>
                <w:sz w:val="24"/>
              </w:rPr>
              <w:t xml:space="preserve"> an</w:t>
            </w:r>
            <w:r>
              <w:rPr>
                <w:sz w:val="24"/>
              </w:rPr>
              <w:t xml:space="preserve"> internal</w:t>
            </w:r>
            <w:r w:rsidR="006145A2">
              <w:rPr>
                <w:sz w:val="24"/>
              </w:rPr>
              <w:t xml:space="preserve"> courtyard serving the kitchen and hallway. A</w:t>
            </w:r>
            <w:r>
              <w:rPr>
                <w:sz w:val="24"/>
              </w:rPr>
              <w:t xml:space="preserve"> daylight study report has been submitted which confirms that the living room would achieve 2.6% ADF and therefore meet the BRE recommended 1.5%. The bedroom would achieve 2.55% and therefore meet the 1% requirement.</w:t>
            </w:r>
            <w:r w:rsidR="006145A2">
              <w:rPr>
                <w:sz w:val="24"/>
              </w:rPr>
              <w:t xml:space="preserve"> The proposal would therefo</w:t>
            </w:r>
            <w:r w:rsidR="006145A2" w:rsidRPr="006145A2">
              <w:rPr>
                <w:sz w:val="24"/>
              </w:rPr>
              <w:t>re provide adequate light to habitable rooms</w:t>
            </w:r>
            <w:r w:rsidR="006145A2">
              <w:rPr>
                <w:sz w:val="24"/>
              </w:rPr>
              <w:t>.</w:t>
            </w:r>
          </w:p>
          <w:p w:rsidR="00C64EE1" w:rsidRPr="00200FCB" w:rsidRDefault="00C64EE1">
            <w:pPr>
              <w:pStyle w:val="TableParagraph"/>
              <w:spacing w:before="3"/>
              <w:ind w:left="107"/>
              <w:rPr>
                <w:sz w:val="24"/>
              </w:rPr>
            </w:pPr>
          </w:p>
          <w:p w:rsidR="004A4AB4" w:rsidRPr="004A4AB4" w:rsidRDefault="004A4AB4" w:rsidP="004A4AB4">
            <w:pPr>
              <w:pStyle w:val="TableParagraph"/>
              <w:spacing w:before="9"/>
              <w:rPr>
                <w:sz w:val="24"/>
              </w:rPr>
            </w:pPr>
            <w:r w:rsidRPr="004A4AB4">
              <w:rPr>
                <w:sz w:val="24"/>
              </w:rPr>
              <w:t xml:space="preserve">Development under Class M is permitted subject to the condition that— </w:t>
            </w:r>
          </w:p>
          <w:p w:rsidR="004A4AB4" w:rsidRPr="004A4AB4" w:rsidRDefault="004A4AB4" w:rsidP="0063449A">
            <w:pPr>
              <w:pStyle w:val="TableParagraph"/>
              <w:numPr>
                <w:ilvl w:val="0"/>
                <w:numId w:val="4"/>
              </w:numPr>
              <w:spacing w:before="9"/>
              <w:rPr>
                <w:sz w:val="24"/>
              </w:rPr>
            </w:pPr>
            <w:r w:rsidRPr="004A4AB4">
              <w:rPr>
                <w:sz w:val="24"/>
              </w:rPr>
              <w:t xml:space="preserve">development under Class M(a), and under Class M(b), if any, must be completed within a period of 3 years starting with the prior approval date; and </w:t>
            </w:r>
          </w:p>
          <w:p w:rsidR="004A4AB4" w:rsidRPr="004A4AB4" w:rsidRDefault="004A4AB4" w:rsidP="0063449A">
            <w:pPr>
              <w:pStyle w:val="TableParagraph"/>
              <w:numPr>
                <w:ilvl w:val="0"/>
                <w:numId w:val="4"/>
              </w:numPr>
              <w:spacing w:before="9"/>
              <w:rPr>
                <w:sz w:val="24"/>
              </w:rPr>
            </w:pPr>
            <w:r w:rsidRPr="004A4AB4">
              <w:rPr>
                <w:sz w:val="24"/>
              </w:rPr>
              <w:t xml:space="preserve">a building which has changed use under Class M is to be used as a </w:t>
            </w:r>
            <w:proofErr w:type="spellStart"/>
            <w:r w:rsidRPr="004A4AB4">
              <w:rPr>
                <w:sz w:val="24"/>
              </w:rPr>
              <w:t>dwellinghouse</w:t>
            </w:r>
            <w:proofErr w:type="spellEnd"/>
            <w:r w:rsidRPr="004A4AB4">
              <w:rPr>
                <w:sz w:val="24"/>
              </w:rPr>
              <w:t xml:space="preserve"> within the meaning of Class C3 of the Schedule to the Use Classes Order and for no other purpose, except to the extent that the other purpose is ancillary to the primary use as such a </w:t>
            </w:r>
            <w:proofErr w:type="spellStart"/>
            <w:r w:rsidRPr="004A4AB4">
              <w:rPr>
                <w:sz w:val="24"/>
              </w:rPr>
              <w:t>dwellinghouse</w:t>
            </w:r>
            <w:proofErr w:type="spellEnd"/>
            <w:r w:rsidRPr="004A4AB4">
              <w:rPr>
                <w:sz w:val="24"/>
              </w:rPr>
              <w:t xml:space="preserve">; and </w:t>
            </w:r>
          </w:p>
          <w:p w:rsidR="00C512F6" w:rsidRPr="004A4AB4" w:rsidRDefault="004A4AB4" w:rsidP="0063449A">
            <w:pPr>
              <w:pStyle w:val="TableParagraph"/>
              <w:numPr>
                <w:ilvl w:val="0"/>
                <w:numId w:val="4"/>
              </w:numPr>
              <w:spacing w:before="9"/>
              <w:rPr>
                <w:sz w:val="24"/>
              </w:rPr>
            </w:pPr>
            <w:proofErr w:type="gramStart"/>
            <w:r w:rsidRPr="004A4AB4">
              <w:rPr>
                <w:sz w:val="24"/>
              </w:rPr>
              <w:t>where</w:t>
            </w:r>
            <w:proofErr w:type="gramEnd"/>
            <w:r w:rsidRPr="004A4AB4">
              <w:rPr>
                <w:sz w:val="24"/>
              </w:rPr>
              <w:t xml:space="preserve"> the proposed development includes a change of use of a building from a use falling within Class A1 or Class A2 of the Use Classes Order, the developer must apply for a determination under sub-paragraph (1) or (2) on or before 31 July 2021.</w:t>
            </w:r>
          </w:p>
          <w:p w:rsidR="00C512F6" w:rsidRDefault="00C512F6">
            <w:pPr>
              <w:pStyle w:val="TableParagraph"/>
              <w:rPr>
                <w:rFonts w:ascii="Times New Roman"/>
                <w:sz w:val="24"/>
              </w:rPr>
            </w:pPr>
          </w:p>
          <w:p w:rsidR="0086486C" w:rsidRPr="0086486C" w:rsidRDefault="0086486C" w:rsidP="0086486C">
            <w:pPr>
              <w:pStyle w:val="TableParagraph"/>
              <w:ind w:left="107" w:right="286"/>
              <w:rPr>
                <w:b/>
                <w:spacing w:val="-5"/>
                <w:sz w:val="24"/>
              </w:rPr>
            </w:pPr>
            <w:r w:rsidRPr="0086486C">
              <w:rPr>
                <w:b/>
                <w:spacing w:val="-5"/>
                <w:sz w:val="24"/>
              </w:rPr>
              <w:t xml:space="preserve">Changes to the General Permitted Development Order </w:t>
            </w:r>
          </w:p>
          <w:p w:rsidR="0086486C" w:rsidRDefault="0086486C" w:rsidP="0063449A">
            <w:pPr>
              <w:pStyle w:val="TableParagraph"/>
              <w:ind w:left="107" w:right="286"/>
              <w:rPr>
                <w:spacing w:val="-5"/>
                <w:sz w:val="24"/>
              </w:rPr>
            </w:pPr>
          </w:p>
          <w:p w:rsidR="0063449A" w:rsidRPr="0063449A" w:rsidRDefault="0063449A" w:rsidP="0063449A">
            <w:pPr>
              <w:pStyle w:val="TableParagraph"/>
              <w:ind w:left="107" w:right="286"/>
              <w:rPr>
                <w:spacing w:val="-5"/>
                <w:sz w:val="24"/>
              </w:rPr>
            </w:pPr>
            <w:r>
              <w:rPr>
                <w:spacing w:val="-5"/>
                <w:sz w:val="24"/>
              </w:rPr>
              <w:t xml:space="preserve">The application was submitted </w:t>
            </w:r>
            <w:r w:rsidRPr="0063449A">
              <w:rPr>
                <w:spacing w:val="-5"/>
                <w:sz w:val="24"/>
              </w:rPr>
              <w:t>12/05/2021</w:t>
            </w:r>
            <w:r>
              <w:rPr>
                <w:spacing w:val="-5"/>
                <w:sz w:val="24"/>
              </w:rPr>
              <w:t xml:space="preserve">. </w:t>
            </w:r>
            <w:r w:rsidR="0086486C">
              <w:rPr>
                <w:spacing w:val="-5"/>
                <w:sz w:val="24"/>
              </w:rPr>
              <w:t xml:space="preserve">The Town and Country Planning </w:t>
            </w:r>
            <w:r w:rsidRPr="0063449A">
              <w:rPr>
                <w:spacing w:val="-5"/>
                <w:sz w:val="24"/>
              </w:rPr>
              <w:t xml:space="preserve">General Permitted </w:t>
            </w:r>
          </w:p>
          <w:p w:rsidR="0063449A" w:rsidRDefault="0086486C" w:rsidP="0063449A">
            <w:pPr>
              <w:pStyle w:val="TableParagraph"/>
              <w:ind w:left="107" w:right="286"/>
              <w:rPr>
                <w:spacing w:val="-5"/>
                <w:sz w:val="24"/>
              </w:rPr>
            </w:pPr>
            <w:r>
              <w:rPr>
                <w:spacing w:val="-5"/>
                <w:sz w:val="24"/>
              </w:rPr>
              <w:t xml:space="preserve">Development </w:t>
            </w:r>
            <w:r w:rsidR="0063449A" w:rsidRPr="0063449A">
              <w:rPr>
                <w:spacing w:val="-5"/>
                <w:sz w:val="24"/>
              </w:rPr>
              <w:t xml:space="preserve">Order </w:t>
            </w:r>
            <w:r>
              <w:rPr>
                <w:spacing w:val="-5"/>
                <w:sz w:val="24"/>
              </w:rPr>
              <w:t>was amended in 2021 by Statutory Instrument 814. This</w:t>
            </w:r>
            <w:r w:rsidR="0063449A">
              <w:rPr>
                <w:spacing w:val="-5"/>
                <w:sz w:val="24"/>
              </w:rPr>
              <w:t xml:space="preserve"> introdu</w:t>
            </w:r>
            <w:r>
              <w:rPr>
                <w:spacing w:val="-5"/>
                <w:sz w:val="24"/>
              </w:rPr>
              <w:t>ced changes to Part M of Part 3 and came into force 1</w:t>
            </w:r>
            <w:r w:rsidRPr="0086486C">
              <w:rPr>
                <w:spacing w:val="-5"/>
                <w:sz w:val="24"/>
                <w:vertAlign w:val="superscript"/>
              </w:rPr>
              <w:t>st</w:t>
            </w:r>
            <w:r>
              <w:rPr>
                <w:spacing w:val="-5"/>
                <w:sz w:val="24"/>
              </w:rPr>
              <w:t xml:space="preserve"> August 2021.</w:t>
            </w:r>
            <w:r w:rsidR="0063449A">
              <w:rPr>
                <w:spacing w:val="-5"/>
                <w:sz w:val="24"/>
              </w:rPr>
              <w:t xml:space="preserve"> </w:t>
            </w:r>
            <w:r>
              <w:rPr>
                <w:spacing w:val="-5"/>
                <w:sz w:val="24"/>
              </w:rPr>
              <w:t xml:space="preserve">The amendment order </w:t>
            </w:r>
            <w:r w:rsidR="0063449A">
              <w:rPr>
                <w:spacing w:val="-5"/>
                <w:sz w:val="24"/>
              </w:rPr>
              <w:t xml:space="preserve">included </w:t>
            </w:r>
            <w:r>
              <w:rPr>
                <w:spacing w:val="-5"/>
                <w:sz w:val="24"/>
              </w:rPr>
              <w:t xml:space="preserve">a </w:t>
            </w:r>
            <w:r w:rsidR="0063449A">
              <w:rPr>
                <w:spacing w:val="-5"/>
                <w:sz w:val="24"/>
              </w:rPr>
              <w:t>transitional and saving provision</w:t>
            </w:r>
            <w:r>
              <w:rPr>
                <w:spacing w:val="-5"/>
                <w:sz w:val="24"/>
              </w:rPr>
              <w:t xml:space="preserve"> which stated</w:t>
            </w:r>
            <w:r w:rsidR="0063449A">
              <w:rPr>
                <w:spacing w:val="-5"/>
                <w:sz w:val="24"/>
              </w:rPr>
              <w:t xml:space="preserve"> the following: </w:t>
            </w:r>
          </w:p>
          <w:p w:rsidR="0063449A" w:rsidRDefault="0063449A" w:rsidP="0063449A">
            <w:pPr>
              <w:pStyle w:val="TableParagraph"/>
              <w:ind w:left="107" w:right="286"/>
              <w:rPr>
                <w:spacing w:val="-5"/>
                <w:sz w:val="24"/>
              </w:rPr>
            </w:pPr>
          </w:p>
          <w:p w:rsidR="0063449A" w:rsidRPr="0063449A" w:rsidRDefault="0063449A" w:rsidP="0086486C">
            <w:pPr>
              <w:pStyle w:val="TableParagraph"/>
              <w:ind w:left="467" w:right="286"/>
              <w:rPr>
                <w:spacing w:val="-5"/>
                <w:sz w:val="24"/>
              </w:rPr>
            </w:pPr>
            <w:r w:rsidRPr="0063449A">
              <w:rPr>
                <w:spacing w:val="-5"/>
                <w:sz w:val="24"/>
              </w:rPr>
              <w:t>Where development—</w:t>
            </w:r>
          </w:p>
          <w:p w:rsidR="0063449A" w:rsidRPr="0063449A" w:rsidRDefault="0063449A" w:rsidP="0086486C">
            <w:pPr>
              <w:pStyle w:val="TableParagraph"/>
              <w:ind w:left="467" w:right="286"/>
              <w:rPr>
                <w:spacing w:val="-5"/>
                <w:sz w:val="24"/>
              </w:rPr>
            </w:pPr>
          </w:p>
          <w:p w:rsidR="0063449A" w:rsidRPr="0063449A" w:rsidRDefault="0063449A" w:rsidP="0086486C">
            <w:pPr>
              <w:pStyle w:val="TableParagraph"/>
              <w:numPr>
                <w:ilvl w:val="0"/>
                <w:numId w:val="6"/>
              </w:numPr>
              <w:ind w:left="1187" w:right="286"/>
              <w:rPr>
                <w:spacing w:val="-5"/>
                <w:sz w:val="24"/>
              </w:rPr>
            </w:pPr>
            <w:r w:rsidRPr="0063449A">
              <w:rPr>
                <w:spacing w:val="-5"/>
                <w:sz w:val="24"/>
              </w:rPr>
              <w:t>(a)was permitted under a provision of Schedule 2 to the GPDO as the provision had effect immediately before 1st August 2021 (“the previous provision”), and</w:t>
            </w:r>
          </w:p>
          <w:p w:rsidR="0063449A" w:rsidRPr="0063449A" w:rsidRDefault="0063449A" w:rsidP="0086486C">
            <w:pPr>
              <w:pStyle w:val="TableParagraph"/>
              <w:ind w:left="467" w:right="286"/>
              <w:rPr>
                <w:spacing w:val="-5"/>
                <w:sz w:val="24"/>
              </w:rPr>
            </w:pPr>
          </w:p>
          <w:p w:rsidR="0063449A" w:rsidRPr="0063449A" w:rsidRDefault="0063449A" w:rsidP="0086486C">
            <w:pPr>
              <w:pStyle w:val="TableParagraph"/>
              <w:numPr>
                <w:ilvl w:val="0"/>
                <w:numId w:val="6"/>
              </w:numPr>
              <w:ind w:left="1187" w:right="286"/>
              <w:rPr>
                <w:spacing w:val="-5"/>
                <w:sz w:val="24"/>
              </w:rPr>
            </w:pPr>
            <w:r w:rsidRPr="0063449A">
              <w:rPr>
                <w:spacing w:val="-5"/>
                <w:sz w:val="24"/>
              </w:rPr>
              <w:t>(b)is permitted—</w:t>
            </w:r>
          </w:p>
          <w:p w:rsidR="0063449A" w:rsidRPr="0063449A" w:rsidRDefault="0063449A" w:rsidP="0086486C">
            <w:pPr>
              <w:pStyle w:val="TableParagraph"/>
              <w:ind w:left="467" w:right="286"/>
              <w:rPr>
                <w:spacing w:val="-5"/>
                <w:sz w:val="24"/>
              </w:rPr>
            </w:pPr>
          </w:p>
          <w:p w:rsidR="0063449A" w:rsidRPr="0063449A" w:rsidRDefault="0063449A" w:rsidP="0086486C">
            <w:pPr>
              <w:pStyle w:val="TableParagraph"/>
              <w:numPr>
                <w:ilvl w:val="0"/>
                <w:numId w:val="7"/>
              </w:numPr>
              <w:ind w:left="1187" w:right="286"/>
              <w:rPr>
                <w:spacing w:val="-5"/>
                <w:sz w:val="24"/>
              </w:rPr>
            </w:pPr>
            <w:r w:rsidRPr="0063449A">
              <w:rPr>
                <w:spacing w:val="-5"/>
                <w:sz w:val="24"/>
              </w:rPr>
              <w:t>under a provision of that Schedule as the provision has effect on or after 1st August 2021, and</w:t>
            </w:r>
          </w:p>
          <w:p w:rsidR="0063449A" w:rsidRPr="0063449A" w:rsidRDefault="0063449A" w:rsidP="0086486C">
            <w:pPr>
              <w:pStyle w:val="TableParagraph"/>
              <w:ind w:left="467" w:right="286"/>
              <w:rPr>
                <w:spacing w:val="-5"/>
                <w:sz w:val="24"/>
              </w:rPr>
            </w:pPr>
          </w:p>
          <w:p w:rsidR="0063449A" w:rsidRPr="0063449A" w:rsidRDefault="0063449A" w:rsidP="0086486C">
            <w:pPr>
              <w:pStyle w:val="TableParagraph"/>
              <w:numPr>
                <w:ilvl w:val="0"/>
                <w:numId w:val="7"/>
              </w:numPr>
              <w:ind w:left="1187" w:right="286"/>
              <w:rPr>
                <w:spacing w:val="-5"/>
                <w:sz w:val="24"/>
              </w:rPr>
            </w:pPr>
            <w:r w:rsidRPr="0063449A">
              <w:rPr>
                <w:spacing w:val="-5"/>
                <w:sz w:val="24"/>
              </w:rPr>
              <w:t>subject to a condition (“the new condition”) which is not the same, or substantially the same, as a condition which applied under the previous provision, and</w:t>
            </w:r>
          </w:p>
          <w:p w:rsidR="0063449A" w:rsidRPr="0063449A" w:rsidRDefault="0063449A" w:rsidP="0086486C">
            <w:pPr>
              <w:pStyle w:val="TableParagraph"/>
              <w:ind w:left="467" w:right="286"/>
              <w:rPr>
                <w:spacing w:val="-5"/>
                <w:sz w:val="24"/>
              </w:rPr>
            </w:pPr>
          </w:p>
          <w:p w:rsidR="0063449A" w:rsidRPr="0063449A" w:rsidRDefault="0063449A" w:rsidP="0086486C">
            <w:pPr>
              <w:pStyle w:val="TableParagraph"/>
              <w:numPr>
                <w:ilvl w:val="0"/>
                <w:numId w:val="6"/>
              </w:numPr>
              <w:ind w:left="1187" w:right="286"/>
              <w:rPr>
                <w:spacing w:val="-5"/>
                <w:sz w:val="24"/>
              </w:rPr>
            </w:pPr>
            <w:r w:rsidRPr="0063449A">
              <w:rPr>
                <w:spacing w:val="-5"/>
                <w:sz w:val="24"/>
              </w:rPr>
              <w:t>began, or in respect of which a prior approval application was made, before 1st August 2021,</w:t>
            </w:r>
          </w:p>
          <w:p w:rsidR="0063449A" w:rsidRPr="0063449A" w:rsidRDefault="0063449A" w:rsidP="0086486C">
            <w:pPr>
              <w:pStyle w:val="TableParagraph"/>
              <w:ind w:left="467" w:right="286"/>
              <w:rPr>
                <w:spacing w:val="-5"/>
                <w:sz w:val="24"/>
              </w:rPr>
            </w:pPr>
          </w:p>
          <w:p w:rsidR="00E05E35" w:rsidRDefault="0063449A" w:rsidP="0086486C">
            <w:pPr>
              <w:pStyle w:val="TableParagraph"/>
              <w:ind w:left="467" w:right="286"/>
              <w:rPr>
                <w:spacing w:val="-5"/>
                <w:sz w:val="24"/>
              </w:rPr>
            </w:pPr>
            <w:proofErr w:type="gramStart"/>
            <w:r w:rsidRPr="0063449A">
              <w:rPr>
                <w:spacing w:val="-5"/>
                <w:sz w:val="24"/>
              </w:rPr>
              <w:t>the</w:t>
            </w:r>
            <w:proofErr w:type="gramEnd"/>
            <w:r w:rsidRPr="0063449A">
              <w:rPr>
                <w:spacing w:val="-5"/>
                <w:sz w:val="24"/>
              </w:rPr>
              <w:t xml:space="preserve"> development may proceed irrespective of whether the new condition has been complied with (but the development must comply with any other condition imposed by the previous provision). </w:t>
            </w:r>
            <w:r>
              <w:rPr>
                <w:spacing w:val="-5"/>
                <w:sz w:val="24"/>
              </w:rPr>
              <w:t xml:space="preserve">  </w:t>
            </w:r>
          </w:p>
          <w:p w:rsidR="0063449A" w:rsidRDefault="0063449A" w:rsidP="0063449A">
            <w:pPr>
              <w:pStyle w:val="TableParagraph"/>
              <w:ind w:left="107" w:right="286"/>
              <w:rPr>
                <w:spacing w:val="-5"/>
                <w:sz w:val="24"/>
              </w:rPr>
            </w:pPr>
          </w:p>
          <w:p w:rsidR="0063449A" w:rsidRDefault="0063449A" w:rsidP="00E05E35">
            <w:pPr>
              <w:pStyle w:val="TableParagraph"/>
              <w:ind w:left="107" w:right="293"/>
              <w:rPr>
                <w:spacing w:val="-5"/>
                <w:sz w:val="24"/>
              </w:rPr>
            </w:pPr>
            <w:r>
              <w:rPr>
                <w:spacing w:val="-4"/>
                <w:sz w:val="24"/>
              </w:rPr>
              <w:t xml:space="preserve">This applies to the proposed development which was permitted under </w:t>
            </w:r>
            <w:r w:rsidR="0086486C" w:rsidRPr="0063449A">
              <w:rPr>
                <w:spacing w:val="-5"/>
                <w:sz w:val="24"/>
              </w:rPr>
              <w:t>a provision of Schedule 2 to the GPDO as the provision had effect immediately before 1st August 2021</w:t>
            </w:r>
            <w:r w:rsidR="0086486C">
              <w:rPr>
                <w:spacing w:val="-5"/>
                <w:sz w:val="24"/>
              </w:rPr>
              <w:t xml:space="preserve">. The development is permitted </w:t>
            </w:r>
            <w:r w:rsidR="0086486C" w:rsidRPr="0063449A">
              <w:rPr>
                <w:spacing w:val="-5"/>
                <w:sz w:val="24"/>
              </w:rPr>
              <w:t>under a provision of that Schedule as the provision has effect on or after 1st August 2021</w:t>
            </w:r>
            <w:r w:rsidR="0086486C">
              <w:rPr>
                <w:spacing w:val="-5"/>
                <w:sz w:val="24"/>
              </w:rPr>
              <w:t xml:space="preserve">, in this case Class MA. Class MA is subject to a condition. But the transitional provision makes clear that the development may proceed irrespective of this. </w:t>
            </w:r>
          </w:p>
          <w:p w:rsidR="004312A4" w:rsidRDefault="004312A4" w:rsidP="00E05E35">
            <w:pPr>
              <w:pStyle w:val="TableParagraph"/>
              <w:ind w:left="107" w:right="293"/>
              <w:rPr>
                <w:spacing w:val="-5"/>
                <w:sz w:val="24"/>
              </w:rPr>
            </w:pPr>
          </w:p>
          <w:p w:rsidR="004312A4" w:rsidRDefault="004312A4" w:rsidP="004312A4">
            <w:pPr>
              <w:pStyle w:val="TableParagraph"/>
              <w:ind w:left="107" w:right="293"/>
              <w:rPr>
                <w:spacing w:val="-5"/>
                <w:sz w:val="24"/>
              </w:rPr>
            </w:pPr>
            <w:r>
              <w:rPr>
                <w:spacing w:val="-5"/>
                <w:sz w:val="24"/>
              </w:rPr>
              <w:t>Nationally Described Space Standards</w:t>
            </w:r>
          </w:p>
          <w:p w:rsidR="004312A4" w:rsidRDefault="004312A4" w:rsidP="004312A4">
            <w:pPr>
              <w:pStyle w:val="TableParagraph"/>
              <w:ind w:left="107" w:right="293"/>
              <w:rPr>
                <w:spacing w:val="-5"/>
                <w:sz w:val="24"/>
              </w:rPr>
            </w:pPr>
          </w:p>
          <w:p w:rsidR="004312A4" w:rsidRPr="004312A4" w:rsidRDefault="004312A4" w:rsidP="004312A4">
            <w:pPr>
              <w:pStyle w:val="TableParagraph"/>
              <w:ind w:left="107" w:right="293"/>
              <w:rPr>
                <w:spacing w:val="-5"/>
                <w:sz w:val="24"/>
              </w:rPr>
            </w:pPr>
            <w:r w:rsidRPr="004312A4">
              <w:rPr>
                <w:spacing w:val="-5"/>
                <w:sz w:val="24"/>
              </w:rPr>
              <w:t xml:space="preserve">Article 3 </w:t>
            </w:r>
            <w:r>
              <w:rPr>
                <w:spacing w:val="-5"/>
                <w:sz w:val="24"/>
              </w:rPr>
              <w:t>of the</w:t>
            </w:r>
            <w:r w:rsidRPr="004312A4">
              <w:rPr>
                <w:spacing w:val="-5"/>
                <w:sz w:val="24"/>
              </w:rPr>
              <w:t xml:space="preserve"> GPDO</w:t>
            </w:r>
            <w:r>
              <w:rPr>
                <w:spacing w:val="-5"/>
                <w:sz w:val="24"/>
              </w:rPr>
              <w:t xml:space="preserve"> includes paragraph 9A</w:t>
            </w:r>
            <w:r w:rsidR="007C0F4F">
              <w:rPr>
                <w:spacing w:val="-5"/>
                <w:sz w:val="24"/>
              </w:rPr>
              <w:t>.</w:t>
            </w:r>
            <w:r w:rsidRPr="004312A4">
              <w:rPr>
                <w:spacing w:val="-5"/>
                <w:sz w:val="24"/>
              </w:rPr>
              <w:t xml:space="preserve"> </w:t>
            </w:r>
            <w:r w:rsidR="007C0F4F" w:rsidRPr="004312A4">
              <w:rPr>
                <w:spacing w:val="-5"/>
                <w:sz w:val="24"/>
              </w:rPr>
              <w:t>This came into force on 6th April 2021</w:t>
            </w:r>
            <w:r w:rsidR="007C0F4F">
              <w:rPr>
                <w:spacing w:val="-5"/>
                <w:sz w:val="24"/>
              </w:rPr>
              <w:t xml:space="preserve">. </w:t>
            </w:r>
          </w:p>
          <w:p w:rsidR="004312A4" w:rsidRPr="004312A4" w:rsidRDefault="004312A4" w:rsidP="004312A4">
            <w:pPr>
              <w:pStyle w:val="TableParagraph"/>
              <w:ind w:left="107" w:right="293"/>
              <w:rPr>
                <w:spacing w:val="-5"/>
                <w:sz w:val="24"/>
              </w:rPr>
            </w:pPr>
          </w:p>
          <w:p w:rsidR="004312A4" w:rsidRPr="004312A4" w:rsidRDefault="004312A4" w:rsidP="007C0F4F">
            <w:pPr>
              <w:pStyle w:val="TableParagraph"/>
              <w:ind w:left="720" w:right="293"/>
              <w:rPr>
                <w:spacing w:val="-5"/>
                <w:sz w:val="24"/>
              </w:rPr>
            </w:pPr>
            <w:r w:rsidRPr="004312A4">
              <w:rPr>
                <w:spacing w:val="-5"/>
                <w:sz w:val="24"/>
              </w:rPr>
              <w:t xml:space="preserve">‘(9A) Schedule 2 does not grant permission for, or authorise any development of, any new </w:t>
            </w:r>
            <w:proofErr w:type="spellStart"/>
            <w:r w:rsidRPr="004312A4">
              <w:rPr>
                <w:spacing w:val="-5"/>
                <w:sz w:val="24"/>
              </w:rPr>
              <w:t>dwellinghouse</w:t>
            </w:r>
            <w:proofErr w:type="spellEnd"/>
            <w:r w:rsidRPr="004312A4">
              <w:rPr>
                <w:spacing w:val="-5"/>
                <w:sz w:val="24"/>
              </w:rPr>
              <w:t>:—</w:t>
            </w:r>
          </w:p>
          <w:p w:rsidR="004312A4" w:rsidRPr="004312A4" w:rsidRDefault="004312A4" w:rsidP="007C0F4F">
            <w:pPr>
              <w:pStyle w:val="TableParagraph"/>
              <w:ind w:left="720" w:right="293"/>
              <w:rPr>
                <w:spacing w:val="-5"/>
                <w:sz w:val="24"/>
              </w:rPr>
            </w:pPr>
            <w:r w:rsidRPr="004312A4">
              <w:rPr>
                <w:spacing w:val="-5"/>
                <w:sz w:val="24"/>
              </w:rPr>
              <w:t>(a) where the gross internal floor area is less than 37 square metres in size; or</w:t>
            </w:r>
          </w:p>
          <w:p w:rsidR="004312A4" w:rsidRDefault="004312A4" w:rsidP="007C0F4F">
            <w:pPr>
              <w:pStyle w:val="TableParagraph"/>
              <w:ind w:left="720" w:right="293"/>
              <w:rPr>
                <w:spacing w:val="-5"/>
                <w:sz w:val="24"/>
              </w:rPr>
            </w:pPr>
            <w:r w:rsidRPr="004312A4">
              <w:rPr>
                <w:spacing w:val="-5"/>
                <w:sz w:val="24"/>
              </w:rPr>
              <w:t xml:space="preserve">(b) that does not comply with the nationally described space standard issued by the Department for Communities and Local Government on 27th March 2015(a)’  </w:t>
            </w:r>
          </w:p>
          <w:p w:rsidR="0086486C" w:rsidRDefault="0086486C" w:rsidP="00E05E35">
            <w:pPr>
              <w:pStyle w:val="TableParagraph"/>
              <w:ind w:left="107" w:right="293"/>
              <w:rPr>
                <w:spacing w:val="-5"/>
                <w:sz w:val="24"/>
              </w:rPr>
            </w:pPr>
          </w:p>
          <w:p w:rsidR="004312A4" w:rsidRDefault="004312A4" w:rsidP="00E05E35">
            <w:pPr>
              <w:pStyle w:val="TableParagraph"/>
              <w:ind w:left="107" w:right="293"/>
              <w:rPr>
                <w:spacing w:val="-5"/>
                <w:sz w:val="24"/>
              </w:rPr>
            </w:pPr>
            <w:r>
              <w:rPr>
                <w:spacing w:val="-5"/>
                <w:sz w:val="24"/>
              </w:rPr>
              <w:t xml:space="preserve">The proposed dwelling would have a floor are of 54sqm and would accord with the national described space standards. </w:t>
            </w:r>
          </w:p>
          <w:p w:rsidR="004312A4" w:rsidRDefault="004312A4" w:rsidP="00E05E35">
            <w:pPr>
              <w:pStyle w:val="TableParagraph"/>
              <w:ind w:left="107" w:right="293"/>
              <w:rPr>
                <w:spacing w:val="-5"/>
                <w:sz w:val="24"/>
              </w:rPr>
            </w:pPr>
          </w:p>
          <w:p w:rsidR="004312A4" w:rsidRDefault="004312A4" w:rsidP="00E05E35">
            <w:pPr>
              <w:pStyle w:val="TableParagraph"/>
              <w:ind w:left="107" w:right="293"/>
              <w:rPr>
                <w:spacing w:val="-5"/>
                <w:sz w:val="24"/>
              </w:rPr>
            </w:pPr>
          </w:p>
          <w:p w:rsidR="0086486C" w:rsidRDefault="0086486C" w:rsidP="00E05E35">
            <w:pPr>
              <w:pStyle w:val="TableParagraph"/>
              <w:ind w:left="107" w:right="293"/>
              <w:rPr>
                <w:spacing w:val="-4"/>
                <w:sz w:val="24"/>
              </w:rPr>
            </w:pPr>
            <w:r w:rsidRPr="009219B9">
              <w:rPr>
                <w:b/>
              </w:rPr>
              <w:t>Recommendation</w:t>
            </w:r>
            <w:r w:rsidRPr="009219B9">
              <w:t>: Grant prior approval</w:t>
            </w:r>
          </w:p>
          <w:p w:rsidR="0063449A" w:rsidRDefault="0063449A" w:rsidP="00E05E35">
            <w:pPr>
              <w:pStyle w:val="TableParagraph"/>
              <w:ind w:left="107" w:right="293"/>
              <w:rPr>
                <w:spacing w:val="-4"/>
                <w:sz w:val="24"/>
              </w:rPr>
            </w:pPr>
          </w:p>
          <w:p w:rsidR="00E05E35" w:rsidRDefault="00E05E35" w:rsidP="0086486C">
            <w:pPr>
              <w:pStyle w:val="TableParagraph"/>
              <w:ind w:left="107" w:right="293"/>
              <w:rPr>
                <w:sz w:val="24"/>
              </w:rPr>
            </w:pPr>
          </w:p>
        </w:tc>
      </w:tr>
    </w:tbl>
    <w:p w:rsidR="00C65EE8" w:rsidRDefault="00C65EE8"/>
    <w:sectPr w:rsidR="00C65EE8">
      <w:pgSz w:w="11910" w:h="16840"/>
      <w:pgMar w:top="560" w:right="32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669"/>
    <w:multiLevelType w:val="multilevel"/>
    <w:tmpl w:val="04FA2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846A0E"/>
    <w:multiLevelType w:val="hybridMultilevel"/>
    <w:tmpl w:val="D4C4EF7C"/>
    <w:lvl w:ilvl="0" w:tplc="0809001B">
      <w:start w:val="1"/>
      <w:numFmt w:val="lowerRoman"/>
      <w:lvlText w:val="%1."/>
      <w:lvlJc w:val="righ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 w15:restartNumberingAfterBreak="0">
    <w:nsid w:val="3511023E"/>
    <w:multiLevelType w:val="hybridMultilevel"/>
    <w:tmpl w:val="42D0840E"/>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441941DC"/>
    <w:multiLevelType w:val="hybridMultilevel"/>
    <w:tmpl w:val="879275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EE6413"/>
    <w:multiLevelType w:val="hybridMultilevel"/>
    <w:tmpl w:val="F5B0EF6A"/>
    <w:lvl w:ilvl="0" w:tplc="157A26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37746"/>
    <w:multiLevelType w:val="hybridMultilevel"/>
    <w:tmpl w:val="2110B19A"/>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 w15:restartNumberingAfterBreak="0">
    <w:nsid w:val="5D7635A2"/>
    <w:multiLevelType w:val="hybridMultilevel"/>
    <w:tmpl w:val="D36A16FC"/>
    <w:lvl w:ilvl="0" w:tplc="08306B96">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7209239E"/>
    <w:multiLevelType w:val="hybridMultilevel"/>
    <w:tmpl w:val="B35ED276"/>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num w:numId="1">
    <w:abstractNumId w:val="5"/>
  </w:num>
  <w:num w:numId="2">
    <w:abstractNumId w:val="6"/>
  </w:num>
  <w:num w:numId="3">
    <w:abstractNumId w:val="0"/>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F6"/>
    <w:rsid w:val="00200FCB"/>
    <w:rsid w:val="004312A4"/>
    <w:rsid w:val="004803DD"/>
    <w:rsid w:val="004A4AB4"/>
    <w:rsid w:val="005C4BF1"/>
    <w:rsid w:val="006145A2"/>
    <w:rsid w:val="0063449A"/>
    <w:rsid w:val="006C102F"/>
    <w:rsid w:val="007C0F4F"/>
    <w:rsid w:val="0086486C"/>
    <w:rsid w:val="008A25CC"/>
    <w:rsid w:val="009347BE"/>
    <w:rsid w:val="00B308F0"/>
    <w:rsid w:val="00BC0449"/>
    <w:rsid w:val="00C448EF"/>
    <w:rsid w:val="00C512F6"/>
    <w:rsid w:val="00C64EE1"/>
    <w:rsid w:val="00C65EE8"/>
    <w:rsid w:val="00CF64C3"/>
    <w:rsid w:val="00D22BDD"/>
    <w:rsid w:val="00E05E35"/>
    <w:rsid w:val="00E301F7"/>
    <w:rsid w:val="00E83820"/>
    <w:rsid w:val="00EA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4A25"/>
  <w15:docId w15:val="{1AF6A041-EC51-4CFB-B54B-52A845EA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3446">
      <w:bodyDiv w:val="1"/>
      <w:marLeft w:val="0"/>
      <w:marRight w:val="0"/>
      <w:marTop w:val="0"/>
      <w:marBottom w:val="0"/>
      <w:divBdr>
        <w:top w:val="none" w:sz="0" w:space="0" w:color="auto"/>
        <w:left w:val="none" w:sz="0" w:space="0" w:color="auto"/>
        <w:bottom w:val="none" w:sz="0" w:space="0" w:color="auto"/>
        <w:right w:val="none" w:sz="0" w:space="0" w:color="auto"/>
      </w:divBdr>
    </w:div>
    <w:div w:id="208297518">
      <w:bodyDiv w:val="1"/>
      <w:marLeft w:val="0"/>
      <w:marRight w:val="0"/>
      <w:marTop w:val="0"/>
      <w:marBottom w:val="0"/>
      <w:divBdr>
        <w:top w:val="none" w:sz="0" w:space="0" w:color="auto"/>
        <w:left w:val="none" w:sz="0" w:space="0" w:color="auto"/>
        <w:bottom w:val="none" w:sz="0" w:space="0" w:color="auto"/>
        <w:right w:val="none" w:sz="0" w:space="0" w:color="auto"/>
      </w:divBdr>
    </w:div>
    <w:div w:id="142207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Delegated Report</vt:lpstr>
    </vt:vector>
  </TitlesOfParts>
  <Company>London Borough of Camden</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creator>Administrator</dc:creator>
  <cp:lastModifiedBy>David Peres Da Costa</cp:lastModifiedBy>
  <cp:revision>6</cp:revision>
  <dcterms:created xsi:type="dcterms:W3CDTF">2021-11-24T13:04:00Z</dcterms:created>
  <dcterms:modified xsi:type="dcterms:W3CDTF">2021-12-14T14:13:00Z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2016</vt:lpwstr>
  </property>
  <property fmtid="{D5CDD505-2E9C-101B-9397-08002B2CF9AE}" pid="4" name="LastSaved">
    <vt:filetime>2021-11-24T00:00:00Z</vt:filetime>
  </property>
</Properties>
</file>