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026AF" w14:textId="7514BF35" w:rsidR="00140DE9" w:rsidRPr="00291BE4" w:rsidRDefault="00CC394F" w:rsidP="00011819">
      <w:pPr>
        <w:spacing w:line="276" w:lineRule="auto"/>
        <w:jc w:val="center"/>
        <w:rPr>
          <w:rFonts w:asciiTheme="minorHAnsi" w:hAnsiTheme="minorHAnsi"/>
          <w:b/>
          <w:sz w:val="22"/>
          <w:szCs w:val="22"/>
        </w:rPr>
      </w:pPr>
      <w:r w:rsidRPr="00291BE4">
        <w:rPr>
          <w:rFonts w:asciiTheme="minorHAnsi" w:hAnsiTheme="minorHAnsi"/>
          <w:b/>
          <w:sz w:val="22"/>
          <w:szCs w:val="22"/>
        </w:rPr>
        <w:t>STATEMENT OF COMMON GROUND</w:t>
      </w:r>
      <w:r w:rsidR="00AF17A5" w:rsidRPr="00291BE4">
        <w:rPr>
          <w:rFonts w:asciiTheme="minorHAnsi" w:hAnsiTheme="minorHAnsi"/>
          <w:b/>
          <w:sz w:val="22"/>
          <w:szCs w:val="22"/>
        </w:rPr>
        <w:t xml:space="preserve"> </w:t>
      </w:r>
    </w:p>
    <w:p w14:paraId="1B98EB88" w14:textId="77777777" w:rsidR="004436CF" w:rsidRPr="00291BE4" w:rsidRDefault="004436CF" w:rsidP="00011819">
      <w:pPr>
        <w:pStyle w:val="Normal0"/>
        <w:spacing w:line="276" w:lineRule="auto"/>
        <w:jc w:val="both"/>
        <w:rPr>
          <w:rFonts w:asciiTheme="minorHAnsi" w:hAnsiTheme="minorHAnsi"/>
          <w:b/>
          <w:sz w:val="22"/>
          <w:szCs w:val="22"/>
        </w:rPr>
      </w:pPr>
    </w:p>
    <w:p w14:paraId="54907FB8" w14:textId="2DFD0715" w:rsidR="00AF17A5" w:rsidRPr="001F3409" w:rsidRDefault="001F3409" w:rsidP="00011819">
      <w:pPr>
        <w:pStyle w:val="Normal0"/>
        <w:spacing w:line="276" w:lineRule="auto"/>
        <w:jc w:val="both"/>
      </w:pPr>
      <w:r>
        <w:rPr>
          <w:rFonts w:asciiTheme="minorHAnsi" w:hAnsiTheme="minorHAnsi"/>
          <w:b/>
          <w:sz w:val="22"/>
          <w:szCs w:val="22"/>
        </w:rPr>
        <w:t xml:space="preserve">APPLICATION REFERENCES: </w:t>
      </w:r>
      <w:r w:rsidR="0074799B">
        <w:rPr>
          <w:rFonts w:asciiTheme="minorHAnsi" w:hAnsiTheme="minorHAnsi"/>
          <w:b/>
          <w:sz w:val="22"/>
          <w:szCs w:val="22"/>
        </w:rPr>
        <w:t>2020/1828/P and 2020/2577/L</w:t>
      </w:r>
    </w:p>
    <w:p w14:paraId="4FE0BE0B" w14:textId="77777777" w:rsidR="00CC394F" w:rsidRPr="00291BE4" w:rsidRDefault="00CC394F" w:rsidP="00011819">
      <w:pPr>
        <w:spacing w:line="276" w:lineRule="auto"/>
        <w:rPr>
          <w:rFonts w:asciiTheme="minorHAnsi" w:hAnsiTheme="minorHAnsi"/>
          <w:sz w:val="22"/>
          <w:szCs w:val="22"/>
        </w:rPr>
      </w:pPr>
    </w:p>
    <w:p w14:paraId="10EA8087" w14:textId="3C35F1AA" w:rsidR="00AF17A5" w:rsidRPr="00291BE4" w:rsidRDefault="009F2D7A" w:rsidP="00011819">
      <w:pPr>
        <w:spacing w:line="276" w:lineRule="auto"/>
        <w:rPr>
          <w:rFonts w:asciiTheme="minorHAnsi" w:hAnsiTheme="minorHAnsi"/>
          <w:b/>
          <w:sz w:val="22"/>
          <w:szCs w:val="22"/>
        </w:rPr>
      </w:pPr>
      <w:r>
        <w:rPr>
          <w:rFonts w:asciiTheme="minorHAnsi" w:hAnsiTheme="minorHAnsi"/>
          <w:b/>
          <w:sz w:val="22"/>
          <w:szCs w:val="22"/>
        </w:rPr>
        <w:t>SITE ADDRESS</w:t>
      </w:r>
      <w:r w:rsidR="008D5471">
        <w:rPr>
          <w:rFonts w:asciiTheme="minorHAnsi" w:hAnsiTheme="minorHAnsi"/>
          <w:b/>
          <w:sz w:val="22"/>
          <w:szCs w:val="22"/>
        </w:rPr>
        <w:t xml:space="preserve">: </w:t>
      </w:r>
      <w:r w:rsidR="001F3409" w:rsidRPr="001F3409">
        <w:rPr>
          <w:rFonts w:asciiTheme="minorHAnsi" w:hAnsiTheme="minorHAnsi"/>
          <w:b/>
          <w:sz w:val="22"/>
          <w:szCs w:val="22"/>
        </w:rPr>
        <w:t>Land adjacent to Jack Straw's Castle, North End Way</w:t>
      </w:r>
      <w:r w:rsidR="001F3409">
        <w:rPr>
          <w:rFonts w:asciiTheme="minorHAnsi" w:hAnsiTheme="minorHAnsi"/>
          <w:b/>
          <w:sz w:val="22"/>
          <w:szCs w:val="22"/>
        </w:rPr>
        <w:t>,</w:t>
      </w:r>
      <w:r w:rsidR="000607E9">
        <w:rPr>
          <w:rFonts w:asciiTheme="minorHAnsi" w:hAnsiTheme="minorHAnsi"/>
          <w:b/>
          <w:sz w:val="22"/>
          <w:szCs w:val="22"/>
        </w:rPr>
        <w:t xml:space="preserve"> </w:t>
      </w:r>
      <w:r w:rsidR="001F3409">
        <w:rPr>
          <w:rFonts w:asciiTheme="minorHAnsi" w:hAnsiTheme="minorHAnsi"/>
          <w:b/>
          <w:sz w:val="22"/>
          <w:szCs w:val="22"/>
        </w:rPr>
        <w:t>London NW3 7ES</w:t>
      </w:r>
      <w:r>
        <w:rPr>
          <w:rFonts w:asciiTheme="minorHAnsi" w:hAnsiTheme="minorHAnsi"/>
          <w:b/>
          <w:sz w:val="22"/>
          <w:szCs w:val="22"/>
        </w:rPr>
        <w:t xml:space="preserve"> (the “Site”)</w:t>
      </w:r>
    </w:p>
    <w:p w14:paraId="0F5171AB" w14:textId="77777777" w:rsidR="002E2033" w:rsidRPr="00291BE4" w:rsidRDefault="002E2033" w:rsidP="00011819">
      <w:pPr>
        <w:spacing w:line="276" w:lineRule="auto"/>
        <w:jc w:val="both"/>
        <w:rPr>
          <w:rFonts w:asciiTheme="minorHAnsi" w:hAnsiTheme="minorHAnsi"/>
          <w:sz w:val="22"/>
          <w:szCs w:val="22"/>
        </w:rPr>
      </w:pPr>
    </w:p>
    <w:p w14:paraId="1DB1A604" w14:textId="77777777" w:rsidR="0074799B" w:rsidRDefault="002E2033" w:rsidP="00011819">
      <w:pPr>
        <w:spacing w:line="276" w:lineRule="auto"/>
        <w:jc w:val="both"/>
        <w:rPr>
          <w:rFonts w:asciiTheme="minorHAnsi" w:hAnsiTheme="minorHAnsi"/>
          <w:b/>
          <w:sz w:val="22"/>
          <w:szCs w:val="22"/>
        </w:rPr>
      </w:pPr>
      <w:r w:rsidRPr="006640BA">
        <w:rPr>
          <w:rFonts w:asciiTheme="minorHAnsi" w:hAnsiTheme="minorHAnsi"/>
          <w:b/>
          <w:sz w:val="22"/>
          <w:szCs w:val="22"/>
        </w:rPr>
        <w:t>DESCRIPTION OF THE DEVELOPMENT</w:t>
      </w:r>
      <w:r w:rsidR="0074799B">
        <w:rPr>
          <w:rFonts w:asciiTheme="minorHAnsi" w:hAnsiTheme="minorHAnsi"/>
          <w:b/>
          <w:sz w:val="22"/>
          <w:szCs w:val="22"/>
        </w:rPr>
        <w:t xml:space="preserve">: </w:t>
      </w:r>
      <w:r w:rsidR="0074799B" w:rsidRPr="0074799B">
        <w:rPr>
          <w:rFonts w:asciiTheme="minorHAnsi" w:hAnsiTheme="minorHAnsi"/>
          <w:b/>
          <w:sz w:val="22"/>
          <w:szCs w:val="22"/>
        </w:rPr>
        <w:t>Erection of two three-storey (plus basement) dwellinghouses (Class C3) on west side of car park set behind associated landscaping, refuse and cycle stores and reconfigured car parking</w:t>
      </w:r>
      <w:r w:rsidR="0074799B">
        <w:rPr>
          <w:rFonts w:asciiTheme="minorHAnsi" w:hAnsiTheme="minorHAnsi"/>
          <w:b/>
          <w:sz w:val="22"/>
          <w:szCs w:val="22"/>
        </w:rPr>
        <w:t xml:space="preserve"> (2020/1828/P)</w:t>
      </w:r>
    </w:p>
    <w:p w14:paraId="3DE5A523" w14:textId="77777777" w:rsidR="0074799B" w:rsidRDefault="0074799B" w:rsidP="00011819">
      <w:pPr>
        <w:spacing w:line="276" w:lineRule="auto"/>
        <w:jc w:val="both"/>
        <w:rPr>
          <w:rFonts w:asciiTheme="minorHAnsi" w:hAnsiTheme="minorHAnsi"/>
          <w:b/>
          <w:sz w:val="22"/>
          <w:szCs w:val="22"/>
        </w:rPr>
      </w:pPr>
    </w:p>
    <w:p w14:paraId="5F058286" w14:textId="45D9C477" w:rsidR="0074799B" w:rsidRDefault="0074799B" w:rsidP="00011819">
      <w:pPr>
        <w:spacing w:line="276" w:lineRule="auto"/>
        <w:jc w:val="both"/>
        <w:rPr>
          <w:rFonts w:asciiTheme="minorHAnsi" w:hAnsiTheme="minorHAnsi"/>
          <w:b/>
          <w:sz w:val="22"/>
          <w:szCs w:val="22"/>
        </w:rPr>
      </w:pPr>
      <w:r w:rsidRPr="0074799B">
        <w:rPr>
          <w:rFonts w:asciiTheme="minorHAnsi" w:hAnsiTheme="minorHAnsi"/>
          <w:b/>
          <w:sz w:val="22"/>
          <w:szCs w:val="22"/>
        </w:rPr>
        <w:t>Erection of two three-storey (plus basement) dwellinghouses on rear part of car park as a side extension to Jack Straws Castle plus associated underpinning of adjacent basement</w:t>
      </w:r>
      <w:r>
        <w:rPr>
          <w:rFonts w:asciiTheme="minorHAnsi" w:hAnsiTheme="minorHAnsi"/>
          <w:b/>
          <w:sz w:val="22"/>
          <w:szCs w:val="22"/>
        </w:rPr>
        <w:t xml:space="preserve"> (2020/2577/L)</w:t>
      </w:r>
    </w:p>
    <w:p w14:paraId="40CDCF7F" w14:textId="433AB2AE" w:rsidR="006640BA" w:rsidRPr="006640BA" w:rsidRDefault="002E2033" w:rsidP="00011819">
      <w:pPr>
        <w:spacing w:line="276" w:lineRule="auto"/>
        <w:jc w:val="both"/>
        <w:rPr>
          <w:rFonts w:asciiTheme="minorHAnsi" w:hAnsiTheme="minorHAnsi" w:cs="Arial"/>
          <w:b/>
          <w:sz w:val="22"/>
          <w:szCs w:val="22"/>
        </w:rPr>
      </w:pPr>
      <w:r w:rsidRPr="006640BA">
        <w:rPr>
          <w:rFonts w:asciiTheme="minorHAnsi" w:hAnsiTheme="minorHAnsi" w:cs="Arial"/>
          <w:b/>
          <w:sz w:val="22"/>
          <w:szCs w:val="22"/>
        </w:rPr>
        <w:t xml:space="preserve"> </w:t>
      </w:r>
    </w:p>
    <w:p w14:paraId="2472B9FA" w14:textId="77777777" w:rsidR="00FA691C" w:rsidRPr="00291BE4" w:rsidRDefault="00FA691C" w:rsidP="00011819">
      <w:pPr>
        <w:spacing w:line="276" w:lineRule="auto"/>
        <w:jc w:val="both"/>
        <w:rPr>
          <w:rFonts w:asciiTheme="minorHAnsi" w:hAnsiTheme="minorHAnsi" w:cs="Arial"/>
          <w:sz w:val="22"/>
          <w:szCs w:val="22"/>
        </w:rPr>
      </w:pPr>
    </w:p>
    <w:p w14:paraId="06CA61C8" w14:textId="2C201CFF" w:rsidR="00AF17A5" w:rsidRPr="00291BE4" w:rsidRDefault="00CC394F" w:rsidP="00011819">
      <w:pPr>
        <w:spacing w:line="276" w:lineRule="auto"/>
        <w:jc w:val="both"/>
        <w:rPr>
          <w:rFonts w:asciiTheme="minorHAnsi" w:hAnsiTheme="minorHAnsi"/>
          <w:b/>
          <w:sz w:val="22"/>
          <w:szCs w:val="22"/>
        </w:rPr>
      </w:pPr>
      <w:r w:rsidRPr="00291BE4">
        <w:rPr>
          <w:rFonts w:asciiTheme="minorHAnsi" w:hAnsiTheme="minorHAnsi"/>
          <w:b/>
          <w:sz w:val="22"/>
          <w:szCs w:val="22"/>
        </w:rPr>
        <w:t>APPELLANT</w:t>
      </w:r>
      <w:r w:rsidR="00C07034">
        <w:rPr>
          <w:rFonts w:asciiTheme="minorHAnsi" w:hAnsiTheme="minorHAnsi"/>
          <w:b/>
          <w:sz w:val="22"/>
          <w:szCs w:val="22"/>
        </w:rPr>
        <w:t>:</w:t>
      </w:r>
      <w:r w:rsidRPr="00291BE4">
        <w:rPr>
          <w:rFonts w:asciiTheme="minorHAnsi" w:hAnsiTheme="minorHAnsi"/>
          <w:b/>
          <w:sz w:val="22"/>
          <w:szCs w:val="22"/>
        </w:rPr>
        <w:t xml:space="preserve"> </w:t>
      </w:r>
      <w:r w:rsidR="000607E9">
        <w:rPr>
          <w:rFonts w:asciiTheme="minorHAnsi" w:hAnsiTheme="minorHAnsi"/>
          <w:b/>
          <w:sz w:val="22"/>
          <w:szCs w:val="22"/>
        </w:rPr>
        <w:t>Albany Homes UK Limited</w:t>
      </w:r>
      <w:r w:rsidR="00C07034">
        <w:rPr>
          <w:rFonts w:asciiTheme="minorHAnsi" w:hAnsiTheme="minorHAnsi"/>
          <w:b/>
          <w:sz w:val="22"/>
          <w:szCs w:val="22"/>
        </w:rPr>
        <w:t xml:space="preserve"> (“the Appellant”)</w:t>
      </w:r>
    </w:p>
    <w:p w14:paraId="1D15EC35" w14:textId="77777777" w:rsidR="00CC394F" w:rsidRPr="00291BE4" w:rsidRDefault="00CC394F" w:rsidP="00011819">
      <w:pPr>
        <w:spacing w:line="276" w:lineRule="auto"/>
        <w:rPr>
          <w:rFonts w:asciiTheme="minorHAnsi" w:hAnsiTheme="minorHAnsi"/>
          <w:b/>
          <w:sz w:val="22"/>
          <w:szCs w:val="22"/>
        </w:rPr>
      </w:pPr>
    </w:p>
    <w:p w14:paraId="6D1369B8" w14:textId="379C5475" w:rsidR="00CC394F" w:rsidRPr="00291BE4" w:rsidRDefault="00CC394F" w:rsidP="00011819">
      <w:pPr>
        <w:spacing w:line="276" w:lineRule="auto"/>
        <w:rPr>
          <w:rFonts w:asciiTheme="minorHAnsi" w:hAnsiTheme="minorHAnsi"/>
          <w:b/>
          <w:sz w:val="22"/>
          <w:szCs w:val="22"/>
        </w:rPr>
      </w:pPr>
      <w:r w:rsidRPr="00291BE4">
        <w:rPr>
          <w:rFonts w:asciiTheme="minorHAnsi" w:hAnsiTheme="minorHAnsi"/>
          <w:b/>
          <w:sz w:val="22"/>
          <w:szCs w:val="22"/>
        </w:rPr>
        <w:t>LOCAL PLANNING AUTHORITY</w:t>
      </w:r>
      <w:r w:rsidR="00C07034">
        <w:rPr>
          <w:rFonts w:asciiTheme="minorHAnsi" w:hAnsiTheme="minorHAnsi"/>
          <w:b/>
          <w:sz w:val="22"/>
          <w:szCs w:val="22"/>
        </w:rPr>
        <w:t>:</w:t>
      </w:r>
      <w:r w:rsidR="00AF17A5" w:rsidRPr="00291BE4">
        <w:rPr>
          <w:rFonts w:asciiTheme="minorHAnsi" w:hAnsiTheme="minorHAnsi"/>
          <w:b/>
          <w:sz w:val="22"/>
          <w:szCs w:val="22"/>
        </w:rPr>
        <w:t xml:space="preserve"> London Borough of </w:t>
      </w:r>
      <w:r w:rsidR="008D5471">
        <w:rPr>
          <w:rFonts w:asciiTheme="minorHAnsi" w:hAnsiTheme="minorHAnsi"/>
          <w:b/>
          <w:sz w:val="22"/>
          <w:szCs w:val="22"/>
        </w:rPr>
        <w:t>Camden</w:t>
      </w:r>
      <w:r w:rsidR="00C07034">
        <w:rPr>
          <w:rFonts w:asciiTheme="minorHAnsi" w:hAnsiTheme="minorHAnsi"/>
          <w:b/>
          <w:sz w:val="22"/>
          <w:szCs w:val="22"/>
        </w:rPr>
        <w:t xml:space="preserve"> </w:t>
      </w:r>
      <w:r w:rsidR="008E5DBE">
        <w:rPr>
          <w:rFonts w:asciiTheme="minorHAnsi" w:hAnsiTheme="minorHAnsi"/>
          <w:b/>
          <w:sz w:val="22"/>
          <w:szCs w:val="22"/>
        </w:rPr>
        <w:t>(“</w:t>
      </w:r>
      <w:r w:rsidR="00C07034">
        <w:rPr>
          <w:rFonts w:asciiTheme="minorHAnsi" w:hAnsiTheme="minorHAnsi"/>
          <w:b/>
          <w:sz w:val="22"/>
          <w:szCs w:val="22"/>
        </w:rPr>
        <w:t>the Council”)</w:t>
      </w:r>
    </w:p>
    <w:p w14:paraId="1CCBA817" w14:textId="77777777" w:rsidR="00CC394F" w:rsidRPr="00291BE4" w:rsidRDefault="00CC394F" w:rsidP="00011819">
      <w:pPr>
        <w:spacing w:line="276" w:lineRule="auto"/>
        <w:rPr>
          <w:rFonts w:asciiTheme="minorHAnsi" w:hAnsiTheme="minorHAnsi"/>
          <w:sz w:val="22"/>
          <w:szCs w:val="22"/>
        </w:rPr>
      </w:pPr>
    </w:p>
    <w:p w14:paraId="4BFC31BA" w14:textId="77777777" w:rsidR="00CC394F" w:rsidRPr="00291BE4" w:rsidRDefault="00CC394F" w:rsidP="00011819">
      <w:pPr>
        <w:spacing w:line="276" w:lineRule="auto"/>
        <w:rPr>
          <w:rFonts w:asciiTheme="minorHAnsi" w:hAnsiTheme="minorHAnsi"/>
          <w:sz w:val="22"/>
          <w:szCs w:val="22"/>
        </w:rPr>
      </w:pPr>
      <w:r w:rsidRPr="00291BE4">
        <w:rPr>
          <w:rFonts w:asciiTheme="minorHAnsi" w:hAnsiTheme="minorHAnsi"/>
          <w:sz w:val="22"/>
          <w:szCs w:val="22"/>
        </w:rPr>
        <w:t>This statement addresses the following areas of common ground:</w:t>
      </w:r>
    </w:p>
    <w:p w14:paraId="250C8F54" w14:textId="0360EB11"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Description of the site </w:t>
      </w:r>
      <w:r w:rsidR="008E5DBE">
        <w:rPr>
          <w:rFonts w:asciiTheme="minorHAnsi" w:hAnsiTheme="minorHAnsi"/>
          <w:sz w:val="22"/>
          <w:szCs w:val="22"/>
        </w:rPr>
        <w:t>and area</w:t>
      </w:r>
    </w:p>
    <w:p w14:paraId="6DE34C6D" w14:textId="0BCA6F09" w:rsidR="00CC394F" w:rsidRPr="00291BE4" w:rsidRDefault="008E5DBE" w:rsidP="00C208E9">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Designations</w:t>
      </w:r>
    </w:p>
    <w:p w14:paraId="43F7D34E" w14:textId="77777777" w:rsidR="00CC394F" w:rsidRPr="00291BE4" w:rsidRDefault="004436C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Planning h</w:t>
      </w:r>
      <w:r w:rsidR="00CC394F" w:rsidRPr="00291BE4">
        <w:rPr>
          <w:rFonts w:asciiTheme="minorHAnsi" w:hAnsiTheme="minorHAnsi"/>
          <w:sz w:val="22"/>
          <w:szCs w:val="22"/>
        </w:rPr>
        <w:t>istory of the site</w:t>
      </w:r>
      <w:r w:rsidR="00291BE4">
        <w:rPr>
          <w:rFonts w:asciiTheme="minorHAnsi" w:hAnsiTheme="minorHAnsi"/>
          <w:sz w:val="22"/>
          <w:szCs w:val="22"/>
        </w:rPr>
        <w:t xml:space="preserve"> and the application</w:t>
      </w:r>
    </w:p>
    <w:p w14:paraId="15722BC8" w14:textId="5665383B"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Development plan (including relevant policies) </w:t>
      </w:r>
    </w:p>
    <w:p w14:paraId="58066654" w14:textId="70125F98"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Relevance of any supplementary planning guidance published by LPA </w:t>
      </w:r>
    </w:p>
    <w:p w14:paraId="08909A15" w14:textId="77777777" w:rsidR="004436CF" w:rsidRDefault="00C30851"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Relevant national policy</w:t>
      </w:r>
    </w:p>
    <w:p w14:paraId="2E73CAE2" w14:textId="77777777" w:rsidR="00002990" w:rsidRDefault="00002990" w:rsidP="00C208E9">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Evidence</w:t>
      </w:r>
    </w:p>
    <w:p w14:paraId="2B3AFCDF" w14:textId="77777777" w:rsidR="00D12778" w:rsidRPr="00002990" w:rsidRDefault="00D12778" w:rsidP="00C208E9">
      <w:pPr>
        <w:pStyle w:val="ListParagraph"/>
        <w:numPr>
          <w:ilvl w:val="0"/>
          <w:numId w:val="1"/>
        </w:numPr>
        <w:spacing w:line="276" w:lineRule="auto"/>
        <w:rPr>
          <w:rFonts w:asciiTheme="minorHAnsi" w:hAnsiTheme="minorHAnsi"/>
          <w:sz w:val="22"/>
          <w:szCs w:val="22"/>
        </w:rPr>
      </w:pPr>
      <w:r w:rsidRPr="00002990">
        <w:rPr>
          <w:rFonts w:asciiTheme="minorHAnsi" w:hAnsiTheme="minorHAnsi"/>
          <w:sz w:val="22"/>
          <w:szCs w:val="22"/>
        </w:rPr>
        <w:t>Areas of agreement</w:t>
      </w:r>
    </w:p>
    <w:p w14:paraId="1103B667" w14:textId="77777777" w:rsidR="00D12778" w:rsidRPr="00291BE4" w:rsidRDefault="00D12778"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Areas of disagreement</w:t>
      </w:r>
    </w:p>
    <w:p w14:paraId="56795A85" w14:textId="77777777" w:rsidR="009E7805" w:rsidRPr="009E7805" w:rsidRDefault="009E7805"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Conditions</w:t>
      </w:r>
    </w:p>
    <w:p w14:paraId="089276A3" w14:textId="77777777" w:rsidR="009E7805" w:rsidRPr="009E7805" w:rsidRDefault="00CC394F" w:rsidP="00C208E9">
      <w:pPr>
        <w:pStyle w:val="ListParagraph"/>
        <w:numPr>
          <w:ilvl w:val="0"/>
          <w:numId w:val="1"/>
        </w:numPr>
        <w:spacing w:line="276" w:lineRule="auto"/>
        <w:rPr>
          <w:rFonts w:asciiTheme="minorHAnsi" w:hAnsiTheme="minorHAnsi"/>
          <w:sz w:val="22"/>
          <w:szCs w:val="22"/>
          <w:u w:val="single"/>
        </w:rPr>
      </w:pPr>
      <w:r w:rsidRPr="00291BE4">
        <w:rPr>
          <w:rFonts w:asciiTheme="minorHAnsi" w:hAnsiTheme="minorHAnsi"/>
          <w:sz w:val="22"/>
          <w:szCs w:val="22"/>
        </w:rPr>
        <w:t>Section 106 agreement</w:t>
      </w:r>
      <w:r w:rsidR="004436CF" w:rsidRPr="00291BE4">
        <w:rPr>
          <w:rFonts w:asciiTheme="minorHAnsi" w:hAnsiTheme="minorHAnsi"/>
          <w:sz w:val="22"/>
          <w:szCs w:val="22"/>
        </w:rPr>
        <w:t>s</w:t>
      </w:r>
    </w:p>
    <w:p w14:paraId="75DE0847" w14:textId="77777777" w:rsidR="004436CF" w:rsidRPr="009E7805" w:rsidRDefault="00002990" w:rsidP="00C208E9">
      <w:pPr>
        <w:pStyle w:val="ListParagraph"/>
        <w:numPr>
          <w:ilvl w:val="0"/>
          <w:numId w:val="1"/>
        </w:numPr>
        <w:spacing w:line="276" w:lineRule="auto"/>
        <w:rPr>
          <w:rFonts w:asciiTheme="minorHAnsi" w:hAnsiTheme="minorHAnsi"/>
          <w:sz w:val="22"/>
          <w:szCs w:val="22"/>
          <w:u w:val="single"/>
        </w:rPr>
      </w:pPr>
      <w:r>
        <w:rPr>
          <w:rFonts w:asciiTheme="minorHAnsi" w:hAnsiTheme="minorHAnsi"/>
          <w:sz w:val="22"/>
          <w:szCs w:val="22"/>
        </w:rPr>
        <w:t>CIL</w:t>
      </w:r>
    </w:p>
    <w:p w14:paraId="61F08D6B" w14:textId="77777777" w:rsidR="004436CF" w:rsidRPr="00291BE4" w:rsidRDefault="004436CF" w:rsidP="00011819">
      <w:pPr>
        <w:pStyle w:val="ListParagraph"/>
        <w:spacing w:line="276" w:lineRule="auto"/>
        <w:ind w:left="360"/>
        <w:rPr>
          <w:rFonts w:asciiTheme="minorHAnsi" w:hAnsiTheme="minorHAnsi"/>
          <w:sz w:val="22"/>
          <w:szCs w:val="22"/>
          <w:u w:val="single"/>
        </w:rPr>
      </w:pPr>
    </w:p>
    <w:p w14:paraId="646E2500" w14:textId="3D244706" w:rsidR="004436CF" w:rsidRPr="00291BE4" w:rsidRDefault="00CC394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 xml:space="preserve">Description of the </w:t>
      </w:r>
      <w:r w:rsidR="000607E9">
        <w:rPr>
          <w:rFonts w:asciiTheme="minorHAnsi" w:hAnsiTheme="minorHAnsi"/>
          <w:sz w:val="22"/>
          <w:szCs w:val="22"/>
          <w:u w:val="single"/>
        </w:rPr>
        <w:t>site and area</w:t>
      </w:r>
    </w:p>
    <w:p w14:paraId="7FFF0060" w14:textId="02DA91C9" w:rsidR="004436CF" w:rsidRDefault="000607E9" w:rsidP="000607E9">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 xml:space="preserve">Jack Straw’s Castle </w:t>
      </w:r>
      <w:r w:rsidRPr="000607E9">
        <w:rPr>
          <w:rFonts w:asciiTheme="minorHAnsi" w:hAnsiTheme="minorHAnsi" w:cs="Arial"/>
          <w:sz w:val="22"/>
          <w:szCs w:val="22"/>
        </w:rPr>
        <w:t>is a large landmark building</w:t>
      </w:r>
      <w:r>
        <w:rPr>
          <w:rFonts w:asciiTheme="minorHAnsi" w:hAnsiTheme="minorHAnsi" w:cs="Arial"/>
          <w:sz w:val="22"/>
          <w:szCs w:val="22"/>
        </w:rPr>
        <w:t xml:space="preserve">, </w:t>
      </w:r>
      <w:r w:rsidRPr="000607E9">
        <w:rPr>
          <w:rFonts w:asciiTheme="minorHAnsi" w:hAnsiTheme="minorHAnsi" w:cs="Arial"/>
          <w:sz w:val="22"/>
          <w:szCs w:val="22"/>
        </w:rPr>
        <w:t>built in 1962</w:t>
      </w:r>
      <w:r>
        <w:rPr>
          <w:rFonts w:asciiTheme="minorHAnsi" w:hAnsiTheme="minorHAnsi" w:cs="Arial"/>
          <w:sz w:val="22"/>
          <w:szCs w:val="22"/>
        </w:rPr>
        <w:t xml:space="preserve"> and designed by Raymond Erith,</w:t>
      </w:r>
      <w:r w:rsidRPr="000607E9">
        <w:rPr>
          <w:rFonts w:asciiTheme="minorHAnsi" w:hAnsiTheme="minorHAnsi" w:cs="Arial"/>
          <w:sz w:val="22"/>
          <w:szCs w:val="22"/>
        </w:rPr>
        <w:t xml:space="preserve"> in </w:t>
      </w:r>
      <w:r>
        <w:rPr>
          <w:rFonts w:asciiTheme="minorHAnsi" w:hAnsiTheme="minorHAnsi" w:cs="Arial"/>
          <w:sz w:val="22"/>
          <w:szCs w:val="22"/>
        </w:rPr>
        <w:t xml:space="preserve">the </w:t>
      </w:r>
      <w:r w:rsidRPr="000607E9">
        <w:rPr>
          <w:rFonts w:asciiTheme="minorHAnsi" w:hAnsiTheme="minorHAnsi" w:cs="Arial"/>
          <w:sz w:val="22"/>
          <w:szCs w:val="22"/>
        </w:rPr>
        <w:t>style of 19thC coaching inn at the brow of the hill near Whitestone Pond adjoining Hampstead Heath. Originally built as a public house with function rooms, it is now primarily residential</w:t>
      </w:r>
      <w:r w:rsidR="006640BA">
        <w:rPr>
          <w:rFonts w:asciiTheme="minorHAnsi" w:hAnsiTheme="minorHAnsi" w:cs="Arial"/>
          <w:sz w:val="22"/>
          <w:szCs w:val="22"/>
        </w:rPr>
        <w:t xml:space="preserve"> with vacant commercial on basement and ground floors</w:t>
      </w:r>
      <w:r w:rsidRPr="000607E9">
        <w:rPr>
          <w:rFonts w:asciiTheme="minorHAnsi" w:hAnsiTheme="minorHAnsi" w:cs="Arial"/>
          <w:sz w:val="22"/>
          <w:szCs w:val="22"/>
        </w:rPr>
        <w:t xml:space="preserve">. </w:t>
      </w:r>
      <w:r>
        <w:rPr>
          <w:rFonts w:asciiTheme="minorHAnsi" w:hAnsiTheme="minorHAnsi" w:cs="Arial"/>
          <w:sz w:val="22"/>
          <w:szCs w:val="22"/>
        </w:rPr>
        <w:t>There is a consent at ground and basement levels for B1 or D2 use.</w:t>
      </w:r>
    </w:p>
    <w:p w14:paraId="5031CA2B" w14:textId="18679607" w:rsidR="000607E9" w:rsidRPr="009F2D7A" w:rsidRDefault="000607E9" w:rsidP="007C3305">
      <w:pPr>
        <w:pStyle w:val="ListParagraph"/>
        <w:numPr>
          <w:ilvl w:val="1"/>
          <w:numId w:val="2"/>
        </w:numPr>
        <w:autoSpaceDE w:val="0"/>
        <w:autoSpaceDN w:val="0"/>
        <w:adjustRightInd w:val="0"/>
        <w:spacing w:line="276" w:lineRule="auto"/>
        <w:rPr>
          <w:rFonts w:asciiTheme="minorHAnsi" w:hAnsiTheme="minorHAnsi" w:cs="Arial"/>
          <w:sz w:val="22"/>
          <w:szCs w:val="22"/>
        </w:rPr>
      </w:pPr>
      <w:r w:rsidRPr="009F2D7A">
        <w:rPr>
          <w:rFonts w:asciiTheme="minorHAnsi" w:hAnsiTheme="minorHAnsi" w:cs="Arial"/>
          <w:sz w:val="22"/>
          <w:szCs w:val="22"/>
        </w:rPr>
        <w:t xml:space="preserve">The Site </w:t>
      </w:r>
      <w:r w:rsidR="006640BA">
        <w:rPr>
          <w:rFonts w:asciiTheme="minorHAnsi" w:hAnsiTheme="minorHAnsi" w:cs="Arial"/>
          <w:sz w:val="22"/>
          <w:szCs w:val="22"/>
        </w:rPr>
        <w:t>is a carpark comprising</w:t>
      </w:r>
      <w:r w:rsidRPr="009F2D7A">
        <w:rPr>
          <w:rFonts w:asciiTheme="minorHAnsi" w:hAnsiTheme="minorHAnsi" w:cs="Arial"/>
          <w:sz w:val="22"/>
          <w:szCs w:val="22"/>
        </w:rPr>
        <w:t xml:space="preserve"> 11 car parking spaces for permit holders of </w:t>
      </w:r>
      <w:r w:rsidR="006640BA">
        <w:rPr>
          <w:rFonts w:asciiTheme="minorHAnsi" w:hAnsiTheme="minorHAnsi" w:cs="Arial"/>
          <w:sz w:val="22"/>
          <w:szCs w:val="22"/>
        </w:rPr>
        <w:t xml:space="preserve">flats within </w:t>
      </w:r>
      <w:r w:rsidRPr="009F2D7A">
        <w:rPr>
          <w:rFonts w:asciiTheme="minorHAnsi" w:hAnsiTheme="minorHAnsi" w:cs="Arial"/>
          <w:sz w:val="22"/>
          <w:szCs w:val="22"/>
        </w:rPr>
        <w:t>the abutting Jack Straw’s</w:t>
      </w:r>
      <w:r w:rsidR="009F2D7A" w:rsidRPr="009F2D7A">
        <w:rPr>
          <w:rFonts w:asciiTheme="minorHAnsi" w:hAnsiTheme="minorHAnsi" w:cs="Arial"/>
          <w:sz w:val="22"/>
          <w:szCs w:val="22"/>
        </w:rPr>
        <w:t xml:space="preserve"> </w:t>
      </w:r>
      <w:r w:rsidRPr="009F2D7A">
        <w:rPr>
          <w:rFonts w:asciiTheme="minorHAnsi" w:hAnsiTheme="minorHAnsi" w:cs="Arial"/>
          <w:sz w:val="22"/>
          <w:szCs w:val="22"/>
        </w:rPr>
        <w:t>Castle. The car park is accessed to the north via the Heath Brow slip road, located off North End Way</w:t>
      </w:r>
      <w:r w:rsidR="009F2D7A" w:rsidRPr="009F2D7A">
        <w:rPr>
          <w:rFonts w:asciiTheme="minorHAnsi" w:hAnsiTheme="minorHAnsi" w:cs="Arial"/>
          <w:sz w:val="22"/>
          <w:szCs w:val="22"/>
        </w:rPr>
        <w:t xml:space="preserve"> </w:t>
      </w:r>
      <w:r w:rsidRPr="009F2D7A">
        <w:rPr>
          <w:rFonts w:asciiTheme="minorHAnsi" w:hAnsiTheme="minorHAnsi" w:cs="Arial"/>
          <w:sz w:val="22"/>
          <w:szCs w:val="22"/>
        </w:rPr>
        <w:t xml:space="preserve">(A502) running to the east of the </w:t>
      </w:r>
      <w:r w:rsidRPr="009F2D7A">
        <w:rPr>
          <w:rFonts w:asciiTheme="minorHAnsi" w:hAnsiTheme="minorHAnsi" w:cs="Arial"/>
          <w:sz w:val="22"/>
          <w:szCs w:val="22"/>
        </w:rPr>
        <w:lastRenderedPageBreak/>
        <w:t>Site. The car park sits below grade established by North End Way;</w:t>
      </w:r>
      <w:r w:rsidR="009F2D7A" w:rsidRPr="009F2D7A">
        <w:rPr>
          <w:rFonts w:asciiTheme="minorHAnsi" w:hAnsiTheme="minorHAnsi" w:cs="Arial"/>
          <w:sz w:val="22"/>
          <w:szCs w:val="22"/>
        </w:rPr>
        <w:t xml:space="preserve"> </w:t>
      </w:r>
      <w:r w:rsidRPr="009F2D7A">
        <w:rPr>
          <w:rFonts w:asciiTheme="minorHAnsi" w:hAnsiTheme="minorHAnsi" w:cs="Arial"/>
          <w:sz w:val="22"/>
          <w:szCs w:val="22"/>
        </w:rPr>
        <w:t>accordingly, a 1.5m concrete bank bounds the Site to the east.</w:t>
      </w:r>
    </w:p>
    <w:p w14:paraId="236B4C37" w14:textId="0A738B1A" w:rsidR="000607E9" w:rsidRPr="009F2D7A" w:rsidRDefault="000607E9" w:rsidP="007A1B87">
      <w:pPr>
        <w:pStyle w:val="ListParagraph"/>
        <w:numPr>
          <w:ilvl w:val="1"/>
          <w:numId w:val="2"/>
        </w:numPr>
        <w:autoSpaceDE w:val="0"/>
        <w:autoSpaceDN w:val="0"/>
        <w:adjustRightInd w:val="0"/>
        <w:spacing w:line="276" w:lineRule="auto"/>
        <w:rPr>
          <w:rFonts w:asciiTheme="minorHAnsi" w:hAnsiTheme="minorHAnsi" w:cs="Arial"/>
          <w:sz w:val="22"/>
          <w:szCs w:val="22"/>
        </w:rPr>
      </w:pPr>
      <w:r w:rsidRPr="009F2D7A">
        <w:rPr>
          <w:rFonts w:asciiTheme="minorHAnsi" w:hAnsiTheme="minorHAnsi" w:cs="Arial"/>
          <w:sz w:val="22"/>
          <w:szCs w:val="22"/>
        </w:rPr>
        <w:t>The lowered car parking originally facilitated vehicular access to the public house cellars. The building</w:t>
      </w:r>
      <w:r w:rsidR="009F2D7A" w:rsidRPr="009F2D7A">
        <w:rPr>
          <w:rFonts w:asciiTheme="minorHAnsi" w:hAnsiTheme="minorHAnsi" w:cs="Arial"/>
          <w:sz w:val="22"/>
          <w:szCs w:val="22"/>
        </w:rPr>
        <w:t xml:space="preserve"> </w:t>
      </w:r>
      <w:r w:rsidRPr="009F2D7A">
        <w:rPr>
          <w:rFonts w:asciiTheme="minorHAnsi" w:hAnsiTheme="minorHAnsi" w:cs="Arial"/>
          <w:sz w:val="22"/>
          <w:szCs w:val="22"/>
        </w:rPr>
        <w:t>has subsequently been converted to residential dwelling units and the doors are used as access for</w:t>
      </w:r>
      <w:r w:rsidR="009F2D7A" w:rsidRPr="009F2D7A">
        <w:rPr>
          <w:rFonts w:asciiTheme="minorHAnsi" w:hAnsiTheme="minorHAnsi" w:cs="Arial"/>
          <w:sz w:val="22"/>
          <w:szCs w:val="22"/>
        </w:rPr>
        <w:t xml:space="preserve"> </w:t>
      </w:r>
      <w:r w:rsidRPr="009F2D7A">
        <w:rPr>
          <w:rFonts w:asciiTheme="minorHAnsi" w:hAnsiTheme="minorHAnsi" w:cs="Arial"/>
          <w:sz w:val="22"/>
          <w:szCs w:val="22"/>
        </w:rPr>
        <w:t>refuse.</w:t>
      </w:r>
    </w:p>
    <w:p w14:paraId="66579E50" w14:textId="0DAC10A8" w:rsidR="000607E9" w:rsidRPr="000607E9" w:rsidRDefault="000607E9" w:rsidP="000607E9">
      <w:pPr>
        <w:pStyle w:val="ListParagraph"/>
        <w:numPr>
          <w:ilvl w:val="1"/>
          <w:numId w:val="2"/>
        </w:numPr>
        <w:autoSpaceDE w:val="0"/>
        <w:autoSpaceDN w:val="0"/>
        <w:adjustRightInd w:val="0"/>
        <w:spacing w:line="276" w:lineRule="auto"/>
        <w:rPr>
          <w:rFonts w:asciiTheme="minorHAnsi" w:hAnsiTheme="minorHAnsi" w:cs="Arial"/>
          <w:sz w:val="22"/>
          <w:szCs w:val="22"/>
        </w:rPr>
      </w:pPr>
      <w:r w:rsidRPr="000607E9">
        <w:rPr>
          <w:rFonts w:asciiTheme="minorHAnsi" w:hAnsiTheme="minorHAnsi" w:cs="Arial"/>
          <w:sz w:val="22"/>
          <w:szCs w:val="22"/>
        </w:rPr>
        <w:t>A low-rise wooden fence bounds the Site to the north and east at grade.</w:t>
      </w:r>
    </w:p>
    <w:p w14:paraId="1C36283E" w14:textId="1D6C7F83" w:rsidR="000607E9" w:rsidRPr="009F2D7A" w:rsidRDefault="000607E9" w:rsidP="00995CF1">
      <w:pPr>
        <w:pStyle w:val="ListParagraph"/>
        <w:numPr>
          <w:ilvl w:val="1"/>
          <w:numId w:val="2"/>
        </w:numPr>
        <w:autoSpaceDE w:val="0"/>
        <w:autoSpaceDN w:val="0"/>
        <w:adjustRightInd w:val="0"/>
        <w:spacing w:line="276" w:lineRule="auto"/>
        <w:rPr>
          <w:rFonts w:asciiTheme="minorHAnsi" w:hAnsiTheme="minorHAnsi" w:cs="Arial"/>
          <w:sz w:val="22"/>
          <w:szCs w:val="22"/>
        </w:rPr>
      </w:pPr>
      <w:r w:rsidRPr="009F2D7A">
        <w:rPr>
          <w:rFonts w:asciiTheme="minorHAnsi" w:hAnsiTheme="minorHAnsi" w:cs="Arial"/>
          <w:sz w:val="22"/>
          <w:szCs w:val="22"/>
        </w:rPr>
        <w:t>The northern elevation of the Castle presented to the Site comprises a one storey brick plinth (lower</w:t>
      </w:r>
      <w:r w:rsidR="009F2D7A" w:rsidRPr="009F2D7A">
        <w:rPr>
          <w:rFonts w:asciiTheme="minorHAnsi" w:hAnsiTheme="minorHAnsi" w:cs="Arial"/>
          <w:sz w:val="22"/>
          <w:szCs w:val="22"/>
        </w:rPr>
        <w:t xml:space="preserve"> </w:t>
      </w:r>
      <w:r w:rsidRPr="009F2D7A">
        <w:rPr>
          <w:rFonts w:asciiTheme="minorHAnsi" w:hAnsiTheme="minorHAnsi" w:cs="Arial"/>
          <w:sz w:val="22"/>
          <w:szCs w:val="22"/>
        </w:rPr>
        <w:t xml:space="preserve">ground floor) with timber weatherboarding from ground </w:t>
      </w:r>
      <w:r w:rsidR="006640BA">
        <w:rPr>
          <w:rFonts w:asciiTheme="minorHAnsi" w:hAnsiTheme="minorHAnsi" w:cs="Arial"/>
          <w:sz w:val="22"/>
          <w:szCs w:val="22"/>
        </w:rPr>
        <w:t>floor up</w:t>
      </w:r>
      <w:r w:rsidRPr="009F2D7A">
        <w:rPr>
          <w:rFonts w:asciiTheme="minorHAnsi" w:hAnsiTheme="minorHAnsi" w:cs="Arial"/>
          <w:sz w:val="22"/>
          <w:szCs w:val="22"/>
        </w:rPr>
        <w:t xml:space="preserve"> to second floor. The elevation is</w:t>
      </w:r>
      <w:r w:rsidR="009F2D7A" w:rsidRPr="009F2D7A">
        <w:rPr>
          <w:rFonts w:asciiTheme="minorHAnsi" w:hAnsiTheme="minorHAnsi" w:cs="Arial"/>
          <w:sz w:val="22"/>
          <w:szCs w:val="22"/>
        </w:rPr>
        <w:t xml:space="preserve"> </w:t>
      </w:r>
      <w:r w:rsidRPr="009F2D7A">
        <w:rPr>
          <w:rFonts w:asciiTheme="minorHAnsi" w:hAnsiTheme="minorHAnsi" w:cs="Arial"/>
          <w:sz w:val="22"/>
          <w:szCs w:val="22"/>
        </w:rPr>
        <w:t>fenestrated with several sash windows of varying proportion. The rear (west) section of the elevation is</w:t>
      </w:r>
      <w:r w:rsidR="009F2D7A" w:rsidRPr="009F2D7A">
        <w:rPr>
          <w:rFonts w:asciiTheme="minorHAnsi" w:hAnsiTheme="minorHAnsi" w:cs="Arial"/>
          <w:sz w:val="22"/>
          <w:szCs w:val="22"/>
        </w:rPr>
        <w:t xml:space="preserve"> </w:t>
      </w:r>
      <w:r w:rsidRPr="009F2D7A">
        <w:rPr>
          <w:rFonts w:asciiTheme="minorHAnsi" w:hAnsiTheme="minorHAnsi" w:cs="Arial"/>
          <w:sz w:val="22"/>
          <w:szCs w:val="22"/>
        </w:rPr>
        <w:t>rendered and fenestrated with a singular sash window.</w:t>
      </w:r>
    </w:p>
    <w:p w14:paraId="340CDEB4" w14:textId="000DB00D" w:rsidR="000607E9" w:rsidRPr="009F2D7A" w:rsidRDefault="000607E9" w:rsidP="0065502E">
      <w:pPr>
        <w:pStyle w:val="ListParagraph"/>
        <w:numPr>
          <w:ilvl w:val="1"/>
          <w:numId w:val="2"/>
        </w:numPr>
        <w:autoSpaceDE w:val="0"/>
        <w:autoSpaceDN w:val="0"/>
        <w:adjustRightInd w:val="0"/>
        <w:spacing w:line="276" w:lineRule="auto"/>
        <w:rPr>
          <w:rFonts w:asciiTheme="minorHAnsi" w:hAnsiTheme="minorHAnsi" w:cs="Arial"/>
          <w:sz w:val="22"/>
          <w:szCs w:val="22"/>
        </w:rPr>
      </w:pPr>
      <w:r w:rsidRPr="009F2D7A">
        <w:rPr>
          <w:rFonts w:asciiTheme="minorHAnsi" w:hAnsiTheme="minorHAnsi" w:cs="Arial"/>
          <w:sz w:val="22"/>
          <w:szCs w:val="22"/>
        </w:rPr>
        <w:t>To the rear (west) the car park is bounded by a low-rise brick wall and dense hedge, and mature trees.</w:t>
      </w:r>
      <w:r w:rsidR="009F2D7A" w:rsidRPr="009F2D7A">
        <w:rPr>
          <w:rFonts w:asciiTheme="minorHAnsi" w:hAnsiTheme="minorHAnsi" w:cs="Arial"/>
          <w:sz w:val="22"/>
          <w:szCs w:val="22"/>
        </w:rPr>
        <w:t xml:space="preserve"> </w:t>
      </w:r>
      <w:r w:rsidRPr="009F2D7A">
        <w:rPr>
          <w:rFonts w:asciiTheme="minorHAnsi" w:hAnsiTheme="minorHAnsi" w:cs="Arial"/>
          <w:sz w:val="22"/>
          <w:szCs w:val="22"/>
        </w:rPr>
        <w:t>Immediately beyond is a pay and display public car park for Hampstead Heath</w:t>
      </w:r>
      <w:r w:rsidR="006640BA">
        <w:rPr>
          <w:rFonts w:asciiTheme="minorHAnsi" w:hAnsiTheme="minorHAnsi" w:cs="Arial"/>
          <w:sz w:val="22"/>
          <w:szCs w:val="22"/>
        </w:rPr>
        <w:t xml:space="preserve"> operated by the City of London</w:t>
      </w:r>
      <w:r w:rsidRPr="009F2D7A">
        <w:rPr>
          <w:rFonts w:asciiTheme="minorHAnsi" w:hAnsiTheme="minorHAnsi" w:cs="Arial"/>
          <w:sz w:val="22"/>
          <w:szCs w:val="22"/>
        </w:rPr>
        <w:t>. The car park opening</w:t>
      </w:r>
      <w:r w:rsidR="009F2D7A" w:rsidRPr="009F2D7A">
        <w:rPr>
          <w:rFonts w:asciiTheme="minorHAnsi" w:hAnsiTheme="minorHAnsi" w:cs="Arial"/>
          <w:sz w:val="22"/>
          <w:szCs w:val="22"/>
        </w:rPr>
        <w:t xml:space="preserve"> </w:t>
      </w:r>
      <w:r w:rsidRPr="009F2D7A">
        <w:rPr>
          <w:rFonts w:asciiTheme="minorHAnsi" w:hAnsiTheme="minorHAnsi" w:cs="Arial"/>
          <w:sz w:val="22"/>
          <w:szCs w:val="22"/>
        </w:rPr>
        <w:t>hours are generally between 7am and 8:30pm.</w:t>
      </w:r>
    </w:p>
    <w:p w14:paraId="33C583D4" w14:textId="1230990C" w:rsidR="000607E9" w:rsidRPr="009F2D7A" w:rsidRDefault="004230AB" w:rsidP="00426B11">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T</w:t>
      </w:r>
      <w:r w:rsidR="000607E9" w:rsidRPr="009F2D7A">
        <w:rPr>
          <w:rFonts w:asciiTheme="minorHAnsi" w:hAnsiTheme="minorHAnsi" w:cs="Arial"/>
          <w:sz w:val="22"/>
          <w:szCs w:val="22"/>
        </w:rPr>
        <w:t xml:space="preserve">he Site is </w:t>
      </w:r>
      <w:r>
        <w:rPr>
          <w:rFonts w:asciiTheme="minorHAnsi" w:hAnsiTheme="minorHAnsi" w:cs="Arial"/>
          <w:sz w:val="22"/>
          <w:szCs w:val="22"/>
        </w:rPr>
        <w:t xml:space="preserve">bordered by </w:t>
      </w:r>
      <w:r w:rsidR="000607E9" w:rsidRPr="009F2D7A">
        <w:rPr>
          <w:rFonts w:asciiTheme="minorHAnsi" w:hAnsiTheme="minorHAnsi" w:cs="Arial"/>
          <w:sz w:val="22"/>
          <w:szCs w:val="22"/>
        </w:rPr>
        <w:t>Hampstead Heath</w:t>
      </w:r>
      <w:r w:rsidR="009F2D7A" w:rsidRPr="009F2D7A">
        <w:rPr>
          <w:rFonts w:asciiTheme="minorHAnsi" w:hAnsiTheme="minorHAnsi" w:cs="Arial"/>
          <w:sz w:val="22"/>
          <w:szCs w:val="22"/>
        </w:rPr>
        <w:t xml:space="preserve"> </w:t>
      </w:r>
      <w:r w:rsidR="000607E9" w:rsidRPr="009F2D7A">
        <w:rPr>
          <w:rFonts w:asciiTheme="minorHAnsi" w:hAnsiTheme="minorHAnsi" w:cs="Arial"/>
          <w:sz w:val="22"/>
          <w:szCs w:val="22"/>
        </w:rPr>
        <w:t xml:space="preserve">to the </w:t>
      </w:r>
      <w:r>
        <w:rPr>
          <w:rFonts w:asciiTheme="minorHAnsi" w:hAnsiTheme="minorHAnsi" w:cs="Arial"/>
          <w:sz w:val="22"/>
          <w:szCs w:val="22"/>
        </w:rPr>
        <w:t xml:space="preserve">west and </w:t>
      </w:r>
      <w:r w:rsidR="000607E9" w:rsidRPr="009F2D7A">
        <w:rPr>
          <w:rFonts w:asciiTheme="minorHAnsi" w:hAnsiTheme="minorHAnsi" w:cs="Arial"/>
          <w:sz w:val="22"/>
          <w:szCs w:val="22"/>
        </w:rPr>
        <w:t>north</w:t>
      </w:r>
      <w:r>
        <w:rPr>
          <w:rFonts w:asciiTheme="minorHAnsi" w:hAnsiTheme="minorHAnsi" w:cs="Arial"/>
          <w:sz w:val="22"/>
          <w:szCs w:val="22"/>
        </w:rPr>
        <w:t xml:space="preserve"> comprising open grassland and woods</w:t>
      </w:r>
      <w:r w:rsidR="000607E9" w:rsidRPr="009F2D7A">
        <w:rPr>
          <w:rFonts w:asciiTheme="minorHAnsi" w:hAnsiTheme="minorHAnsi" w:cs="Arial"/>
          <w:sz w:val="22"/>
          <w:szCs w:val="22"/>
        </w:rPr>
        <w:t>. The Grade II listed boundary wall of Heath House bounds the east side of North End</w:t>
      </w:r>
      <w:r w:rsidR="009F2D7A" w:rsidRPr="009F2D7A">
        <w:rPr>
          <w:rFonts w:asciiTheme="minorHAnsi" w:hAnsiTheme="minorHAnsi" w:cs="Arial"/>
          <w:sz w:val="22"/>
          <w:szCs w:val="22"/>
        </w:rPr>
        <w:t xml:space="preserve"> </w:t>
      </w:r>
      <w:r w:rsidR="000607E9" w:rsidRPr="009F2D7A">
        <w:rPr>
          <w:rFonts w:asciiTheme="minorHAnsi" w:hAnsiTheme="minorHAnsi" w:cs="Arial"/>
          <w:sz w:val="22"/>
          <w:szCs w:val="22"/>
        </w:rPr>
        <w:t xml:space="preserve">Way. The Grade II* Listed Heath House is set back within its respective plot. </w:t>
      </w:r>
      <w:r>
        <w:rPr>
          <w:rFonts w:asciiTheme="minorHAnsi" w:hAnsiTheme="minorHAnsi" w:cs="Arial"/>
          <w:sz w:val="22"/>
          <w:szCs w:val="22"/>
        </w:rPr>
        <w:t>The Grade II listed Old Courthouse abuts Jack Straws Castle on its south flank wall.</w:t>
      </w:r>
      <w:r w:rsidR="000607E9" w:rsidRPr="009F2D7A">
        <w:rPr>
          <w:rFonts w:asciiTheme="minorHAnsi" w:hAnsiTheme="minorHAnsi" w:cs="Arial"/>
          <w:sz w:val="22"/>
          <w:szCs w:val="22"/>
        </w:rPr>
        <w:cr/>
      </w:r>
    </w:p>
    <w:p w14:paraId="74BE4E2B" w14:textId="77777777" w:rsidR="00C07034" w:rsidRPr="00291BE4" w:rsidRDefault="00C07034" w:rsidP="00D212BC">
      <w:pPr>
        <w:pStyle w:val="ListParagraph"/>
        <w:autoSpaceDE w:val="0"/>
        <w:autoSpaceDN w:val="0"/>
        <w:adjustRightInd w:val="0"/>
        <w:spacing w:line="276" w:lineRule="auto"/>
        <w:ind w:left="1080"/>
        <w:rPr>
          <w:rFonts w:asciiTheme="minorHAnsi" w:hAnsiTheme="minorHAnsi" w:cs="Arial"/>
          <w:sz w:val="22"/>
          <w:szCs w:val="22"/>
        </w:rPr>
      </w:pPr>
    </w:p>
    <w:p w14:paraId="43C9CC05" w14:textId="51445092" w:rsidR="001F276E" w:rsidRPr="00291BE4" w:rsidRDefault="008E5DBE"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Designations</w:t>
      </w:r>
    </w:p>
    <w:p w14:paraId="35FC2AE5" w14:textId="19F3C757" w:rsidR="009F2D7A" w:rsidRPr="009F2D7A" w:rsidRDefault="009F2D7A" w:rsidP="009F2D7A">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Jack Straw’s Castle</w:t>
      </w:r>
      <w:r w:rsidR="000607E9" w:rsidRPr="000607E9">
        <w:rPr>
          <w:rFonts w:asciiTheme="minorHAnsi" w:hAnsiTheme="minorHAnsi" w:cs="Arial"/>
          <w:sz w:val="22"/>
          <w:szCs w:val="22"/>
        </w:rPr>
        <w:t xml:space="preserve"> is </w:t>
      </w:r>
      <w:r>
        <w:rPr>
          <w:rFonts w:asciiTheme="minorHAnsi" w:hAnsiTheme="minorHAnsi" w:cs="Arial"/>
          <w:sz w:val="22"/>
          <w:szCs w:val="22"/>
        </w:rPr>
        <w:t xml:space="preserve">listed Grade </w:t>
      </w:r>
      <w:r w:rsidR="00D41E91">
        <w:rPr>
          <w:rFonts w:asciiTheme="minorHAnsi" w:hAnsiTheme="minorHAnsi" w:cs="Arial"/>
          <w:sz w:val="22"/>
          <w:szCs w:val="22"/>
        </w:rPr>
        <w:t>II</w:t>
      </w:r>
      <w:r>
        <w:rPr>
          <w:rFonts w:asciiTheme="minorHAnsi" w:hAnsiTheme="minorHAnsi" w:cs="Arial"/>
          <w:sz w:val="22"/>
          <w:szCs w:val="22"/>
        </w:rPr>
        <w:t>.</w:t>
      </w:r>
    </w:p>
    <w:p w14:paraId="56F63CCE" w14:textId="50E263FA" w:rsidR="003870DD" w:rsidRDefault="009F2D7A" w:rsidP="000607E9">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The Site is</w:t>
      </w:r>
      <w:r w:rsidR="000607E9" w:rsidRPr="000607E9">
        <w:rPr>
          <w:rFonts w:asciiTheme="minorHAnsi" w:hAnsiTheme="minorHAnsi" w:cs="Arial"/>
          <w:sz w:val="22"/>
          <w:szCs w:val="22"/>
        </w:rPr>
        <w:t xml:space="preserve"> located in the Hampstead Conservation Area.</w:t>
      </w:r>
    </w:p>
    <w:p w14:paraId="5B365964" w14:textId="70C72E94" w:rsidR="009238B6" w:rsidRDefault="009238B6" w:rsidP="000607E9">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The Site is not located with</w:t>
      </w:r>
      <w:r w:rsidR="00697B36">
        <w:rPr>
          <w:rFonts w:asciiTheme="minorHAnsi" w:hAnsiTheme="minorHAnsi" w:cs="Arial"/>
          <w:sz w:val="22"/>
          <w:szCs w:val="22"/>
        </w:rPr>
        <w:t>in</w:t>
      </w:r>
      <w:r>
        <w:rPr>
          <w:rFonts w:asciiTheme="minorHAnsi" w:hAnsiTheme="minorHAnsi" w:cs="Arial"/>
          <w:sz w:val="22"/>
          <w:szCs w:val="22"/>
        </w:rPr>
        <w:t xml:space="preserve"> Metropolitan Open Land</w:t>
      </w:r>
      <w:r w:rsidR="006640BA">
        <w:rPr>
          <w:rFonts w:asciiTheme="minorHAnsi" w:hAnsiTheme="minorHAnsi" w:cs="Arial"/>
          <w:sz w:val="22"/>
          <w:szCs w:val="22"/>
        </w:rPr>
        <w:t xml:space="preserve"> (MOL) but the adjoining Hampstead Heath </w:t>
      </w:r>
      <w:r w:rsidR="004230AB">
        <w:rPr>
          <w:rFonts w:asciiTheme="minorHAnsi" w:hAnsiTheme="minorHAnsi" w:cs="Arial"/>
          <w:sz w:val="22"/>
          <w:szCs w:val="22"/>
        </w:rPr>
        <w:t xml:space="preserve">and associated carpark </w:t>
      </w:r>
      <w:r w:rsidR="006640BA">
        <w:rPr>
          <w:rFonts w:asciiTheme="minorHAnsi" w:hAnsiTheme="minorHAnsi" w:cs="Arial"/>
          <w:sz w:val="22"/>
          <w:szCs w:val="22"/>
        </w:rPr>
        <w:t>is on MOL and public open space</w:t>
      </w:r>
      <w:r>
        <w:rPr>
          <w:rFonts w:asciiTheme="minorHAnsi" w:hAnsiTheme="minorHAnsi" w:cs="Arial"/>
          <w:sz w:val="22"/>
          <w:szCs w:val="22"/>
        </w:rPr>
        <w:t>.</w:t>
      </w:r>
    </w:p>
    <w:p w14:paraId="65179E35" w14:textId="77777777" w:rsidR="000607E9" w:rsidRPr="00386E7E" w:rsidRDefault="000607E9" w:rsidP="000607E9">
      <w:pPr>
        <w:pStyle w:val="ListParagraph"/>
        <w:autoSpaceDE w:val="0"/>
        <w:autoSpaceDN w:val="0"/>
        <w:adjustRightInd w:val="0"/>
        <w:spacing w:line="276" w:lineRule="auto"/>
        <w:ind w:left="644"/>
        <w:rPr>
          <w:rFonts w:asciiTheme="minorHAnsi" w:hAnsiTheme="minorHAnsi" w:cs="Arial"/>
          <w:sz w:val="22"/>
          <w:szCs w:val="22"/>
        </w:rPr>
      </w:pPr>
    </w:p>
    <w:p w14:paraId="4768CEDF" w14:textId="72F87600" w:rsidR="00E14791" w:rsidRDefault="00E14791" w:rsidP="000607E9">
      <w:pPr>
        <w:pStyle w:val="ListParagraph"/>
        <w:rPr>
          <w:rFonts w:asciiTheme="minorHAnsi" w:hAnsiTheme="minorHAnsi" w:cs="Arial"/>
          <w:sz w:val="22"/>
          <w:szCs w:val="22"/>
        </w:rPr>
      </w:pPr>
    </w:p>
    <w:p w14:paraId="1AD50B45" w14:textId="77777777" w:rsidR="002D5F40" w:rsidRPr="00291BE4" w:rsidRDefault="00CC394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Planning History of the site</w:t>
      </w:r>
      <w:r w:rsidR="00291BE4">
        <w:rPr>
          <w:rFonts w:asciiTheme="minorHAnsi" w:hAnsiTheme="minorHAnsi"/>
          <w:sz w:val="22"/>
          <w:szCs w:val="22"/>
          <w:u w:val="single"/>
        </w:rPr>
        <w:t xml:space="preserve"> and the application</w:t>
      </w:r>
    </w:p>
    <w:p w14:paraId="3FDA0C50" w14:textId="77777777" w:rsidR="002512AC" w:rsidRPr="002512AC" w:rsidRDefault="008738F0" w:rsidP="002512AC">
      <w:pPr>
        <w:pStyle w:val="ListParagraph"/>
        <w:numPr>
          <w:ilvl w:val="1"/>
          <w:numId w:val="2"/>
        </w:numPr>
        <w:autoSpaceDE w:val="0"/>
        <w:autoSpaceDN w:val="0"/>
        <w:adjustRightInd w:val="0"/>
        <w:spacing w:line="276" w:lineRule="auto"/>
        <w:rPr>
          <w:rFonts w:asciiTheme="minorHAnsi" w:hAnsiTheme="minorHAnsi" w:cs="Arial"/>
          <w:sz w:val="22"/>
          <w:szCs w:val="22"/>
        </w:rPr>
      </w:pPr>
      <w:r w:rsidRPr="002512AC">
        <w:rPr>
          <w:rFonts w:asciiTheme="minorHAnsi" w:hAnsiTheme="minorHAnsi" w:cs="Arial"/>
          <w:sz w:val="22"/>
          <w:szCs w:val="22"/>
        </w:rPr>
        <w:t xml:space="preserve">In 1962, planning permission was granted for the demolition of the remaining part of the early Jack Straw’s Castle and its rebuilding to designs by Raymond Erith. </w:t>
      </w:r>
    </w:p>
    <w:p w14:paraId="34B231F6" w14:textId="1A79FA86" w:rsidR="002512AC" w:rsidRPr="002512AC" w:rsidRDefault="004230AB" w:rsidP="002512AC">
      <w:pPr>
        <w:pStyle w:val="ListParagraph"/>
        <w:numPr>
          <w:ilvl w:val="1"/>
          <w:numId w:val="2"/>
        </w:numPr>
        <w:autoSpaceDE w:val="0"/>
        <w:autoSpaceDN w:val="0"/>
        <w:adjustRightInd w:val="0"/>
        <w:spacing w:line="276" w:lineRule="auto"/>
        <w:rPr>
          <w:rFonts w:asciiTheme="minorHAnsi" w:hAnsiTheme="minorHAnsi" w:cs="Arial"/>
          <w:sz w:val="22"/>
          <w:szCs w:val="22"/>
        </w:rPr>
      </w:pPr>
      <w:r>
        <w:rPr>
          <w:rFonts w:asciiTheme="minorHAnsi" w:hAnsiTheme="minorHAnsi" w:cs="Arial"/>
          <w:sz w:val="22"/>
          <w:szCs w:val="22"/>
        </w:rPr>
        <w:t>In 2002 planning pe</w:t>
      </w:r>
      <w:r w:rsidR="002512AC">
        <w:rPr>
          <w:rFonts w:asciiTheme="minorHAnsi" w:hAnsiTheme="minorHAnsi" w:cs="Arial"/>
          <w:sz w:val="22"/>
          <w:szCs w:val="22"/>
        </w:rPr>
        <w:t xml:space="preserve">rmission </w:t>
      </w:r>
      <w:r>
        <w:rPr>
          <w:rFonts w:asciiTheme="minorHAnsi" w:hAnsiTheme="minorHAnsi" w:cs="Arial"/>
          <w:sz w:val="22"/>
          <w:szCs w:val="22"/>
        </w:rPr>
        <w:t xml:space="preserve">and listed building consent was granted </w:t>
      </w:r>
      <w:r w:rsidR="002512AC">
        <w:rPr>
          <w:rFonts w:asciiTheme="minorHAnsi" w:hAnsiTheme="minorHAnsi" w:cs="Arial"/>
          <w:sz w:val="22"/>
          <w:szCs w:val="22"/>
        </w:rPr>
        <w:t xml:space="preserve">to convert </w:t>
      </w:r>
      <w:r>
        <w:rPr>
          <w:rFonts w:asciiTheme="minorHAnsi" w:hAnsiTheme="minorHAnsi" w:cs="Arial"/>
          <w:sz w:val="22"/>
          <w:szCs w:val="22"/>
        </w:rPr>
        <w:t xml:space="preserve">the building </w:t>
      </w:r>
      <w:r w:rsidR="002512AC">
        <w:rPr>
          <w:rFonts w:asciiTheme="minorHAnsi" w:hAnsiTheme="minorHAnsi" w:cs="Arial"/>
          <w:sz w:val="22"/>
          <w:szCs w:val="22"/>
        </w:rPr>
        <w:t>in</w:t>
      </w:r>
      <w:r w:rsidR="008738F0" w:rsidRPr="002512AC">
        <w:rPr>
          <w:rFonts w:asciiTheme="minorHAnsi" w:hAnsiTheme="minorHAnsi" w:cs="Arial"/>
          <w:sz w:val="22"/>
          <w:szCs w:val="22"/>
        </w:rPr>
        <w:t>to residential use (</w:t>
      </w:r>
      <w:r w:rsidR="000C4928">
        <w:rPr>
          <w:rFonts w:asciiTheme="minorHAnsi" w:hAnsiTheme="minorHAnsi" w:cs="Arial"/>
          <w:sz w:val="22"/>
          <w:szCs w:val="22"/>
        </w:rPr>
        <w:t xml:space="preserve">Council </w:t>
      </w:r>
      <w:r>
        <w:rPr>
          <w:rFonts w:asciiTheme="minorHAnsi" w:hAnsiTheme="minorHAnsi" w:cs="Arial"/>
          <w:sz w:val="22"/>
          <w:szCs w:val="22"/>
        </w:rPr>
        <w:t xml:space="preserve">refs </w:t>
      </w:r>
      <w:r w:rsidR="008738F0" w:rsidRPr="002512AC">
        <w:rPr>
          <w:rFonts w:asciiTheme="minorHAnsi" w:hAnsiTheme="minorHAnsi" w:cs="Arial"/>
          <w:sz w:val="22"/>
          <w:szCs w:val="22"/>
        </w:rPr>
        <w:t xml:space="preserve">PWX0102190 and LWX0102191). </w:t>
      </w:r>
      <w:r w:rsidR="0014753F" w:rsidRPr="002512AC">
        <w:rPr>
          <w:rFonts w:asciiTheme="minorHAnsi" w:hAnsiTheme="minorHAnsi" w:cs="Arial"/>
          <w:sz w:val="22"/>
          <w:szCs w:val="22"/>
        </w:rPr>
        <w:t xml:space="preserve"> </w:t>
      </w:r>
    </w:p>
    <w:p w14:paraId="79F07E3B" w14:textId="7048097E" w:rsidR="002512AC" w:rsidRPr="002512AC" w:rsidRDefault="002512AC" w:rsidP="000C4928">
      <w:pPr>
        <w:pStyle w:val="ListParagraph"/>
        <w:numPr>
          <w:ilvl w:val="1"/>
          <w:numId w:val="2"/>
        </w:numPr>
        <w:autoSpaceDE w:val="0"/>
        <w:autoSpaceDN w:val="0"/>
        <w:adjustRightInd w:val="0"/>
        <w:spacing w:line="276" w:lineRule="auto"/>
        <w:rPr>
          <w:rFonts w:asciiTheme="minorHAnsi" w:hAnsiTheme="minorHAnsi"/>
          <w:sz w:val="22"/>
          <w:szCs w:val="22"/>
          <w:u w:val="single"/>
        </w:rPr>
      </w:pPr>
      <w:r w:rsidRPr="002512AC">
        <w:rPr>
          <w:rFonts w:asciiTheme="minorHAnsi" w:hAnsiTheme="minorHAnsi" w:cs="Arial"/>
          <w:sz w:val="22"/>
          <w:szCs w:val="22"/>
        </w:rPr>
        <w:t>In 2003, permission</w:t>
      </w:r>
      <w:r w:rsidR="004230AB">
        <w:rPr>
          <w:rFonts w:asciiTheme="minorHAnsi" w:hAnsiTheme="minorHAnsi" w:cs="Arial"/>
          <w:sz w:val="22"/>
          <w:szCs w:val="22"/>
        </w:rPr>
        <w:t>/lb consent</w:t>
      </w:r>
      <w:r w:rsidRPr="002512AC">
        <w:rPr>
          <w:rFonts w:asciiTheme="minorHAnsi" w:hAnsiTheme="minorHAnsi" w:cs="Arial"/>
          <w:sz w:val="22"/>
          <w:szCs w:val="22"/>
        </w:rPr>
        <w:t xml:space="preserve"> was refused for the “Erection of roofed enclosure over existing car park, and erection of 2 two storey houses with rooftop conservatories and paved roof terrace above this enclosure” (PWX0302151 / LWX0302156)</w:t>
      </w:r>
      <w:r w:rsidR="004230AB">
        <w:rPr>
          <w:rFonts w:asciiTheme="minorHAnsi" w:hAnsiTheme="minorHAnsi" w:cs="Arial"/>
          <w:sz w:val="22"/>
          <w:szCs w:val="22"/>
        </w:rPr>
        <w:t xml:space="preserve"> and also</w:t>
      </w:r>
      <w:r>
        <w:rPr>
          <w:rFonts w:asciiTheme="minorHAnsi" w:hAnsiTheme="minorHAnsi" w:cs="Arial"/>
          <w:sz w:val="22"/>
          <w:szCs w:val="22"/>
        </w:rPr>
        <w:t xml:space="preserve"> </w:t>
      </w:r>
      <w:r w:rsidR="004230AB" w:rsidRPr="004230AB">
        <w:rPr>
          <w:rFonts w:asciiTheme="minorHAnsi" w:hAnsiTheme="minorHAnsi" w:cs="Arial"/>
          <w:sz w:val="22"/>
          <w:szCs w:val="22"/>
        </w:rPr>
        <w:t xml:space="preserve">for the “Erection of roofed enclosure over existing car park, and erection of 2 two storey houses with </w:t>
      </w:r>
      <w:r w:rsidR="004230AB">
        <w:rPr>
          <w:rFonts w:asciiTheme="minorHAnsi" w:hAnsiTheme="minorHAnsi" w:cs="Arial"/>
          <w:sz w:val="22"/>
          <w:szCs w:val="22"/>
        </w:rPr>
        <w:t>pitched roofs</w:t>
      </w:r>
      <w:r w:rsidR="000C4928" w:rsidRPr="000C4928">
        <w:t xml:space="preserve"> </w:t>
      </w:r>
      <w:r w:rsidR="000C4928" w:rsidRPr="000C4928">
        <w:rPr>
          <w:rFonts w:asciiTheme="minorHAnsi" w:hAnsiTheme="minorHAnsi" w:cs="Arial"/>
          <w:sz w:val="22"/>
          <w:szCs w:val="22"/>
        </w:rPr>
        <w:t>and paved roof terrace above this enclosure</w:t>
      </w:r>
      <w:r w:rsidR="004230AB">
        <w:rPr>
          <w:rFonts w:asciiTheme="minorHAnsi" w:hAnsiTheme="minorHAnsi" w:cs="Arial"/>
          <w:sz w:val="22"/>
          <w:szCs w:val="22"/>
        </w:rPr>
        <w:t>.”</w:t>
      </w:r>
      <w:r w:rsidR="004230AB" w:rsidRPr="004230AB">
        <w:rPr>
          <w:rFonts w:asciiTheme="minorHAnsi" w:hAnsiTheme="minorHAnsi" w:cs="Arial"/>
          <w:sz w:val="22"/>
          <w:szCs w:val="22"/>
        </w:rPr>
        <w:t xml:space="preserve"> </w:t>
      </w:r>
      <w:r w:rsidR="000C4928">
        <w:rPr>
          <w:rFonts w:asciiTheme="minorHAnsi" w:hAnsiTheme="minorHAnsi" w:cs="Arial"/>
          <w:sz w:val="22"/>
          <w:szCs w:val="22"/>
        </w:rPr>
        <w:t>(</w:t>
      </w:r>
      <w:r w:rsidR="000C4928" w:rsidRPr="000C4928">
        <w:rPr>
          <w:rFonts w:asciiTheme="minorHAnsi" w:hAnsiTheme="minorHAnsi" w:cs="Arial"/>
          <w:sz w:val="22"/>
          <w:szCs w:val="22"/>
        </w:rPr>
        <w:t>2003/1396/P, 2003/1397/L</w:t>
      </w:r>
      <w:r w:rsidR="000C4928">
        <w:rPr>
          <w:rFonts w:asciiTheme="minorHAnsi" w:hAnsiTheme="minorHAnsi" w:cs="Arial"/>
          <w:sz w:val="22"/>
          <w:szCs w:val="22"/>
        </w:rPr>
        <w:t>).</w:t>
      </w:r>
      <w:r w:rsidR="000C4928" w:rsidRPr="000C4928">
        <w:rPr>
          <w:rFonts w:asciiTheme="minorHAnsi" w:hAnsiTheme="minorHAnsi" w:cs="Arial"/>
          <w:sz w:val="22"/>
          <w:szCs w:val="22"/>
        </w:rPr>
        <w:t xml:space="preserve"> </w:t>
      </w:r>
      <w:r>
        <w:rPr>
          <w:rFonts w:asciiTheme="minorHAnsi" w:hAnsiTheme="minorHAnsi" w:cs="Arial"/>
          <w:sz w:val="22"/>
          <w:szCs w:val="22"/>
        </w:rPr>
        <w:t>Appeal</w:t>
      </w:r>
      <w:r w:rsidR="004230AB">
        <w:rPr>
          <w:rFonts w:asciiTheme="minorHAnsi" w:hAnsiTheme="minorHAnsi" w:cs="Arial"/>
          <w:sz w:val="22"/>
          <w:szCs w:val="22"/>
        </w:rPr>
        <w:t>s</w:t>
      </w:r>
      <w:r>
        <w:rPr>
          <w:rFonts w:asciiTheme="minorHAnsi" w:hAnsiTheme="minorHAnsi" w:cs="Arial"/>
          <w:sz w:val="22"/>
          <w:szCs w:val="22"/>
        </w:rPr>
        <w:t xml:space="preserve"> against th</w:t>
      </w:r>
      <w:r w:rsidR="004230AB">
        <w:rPr>
          <w:rFonts w:asciiTheme="minorHAnsi" w:hAnsiTheme="minorHAnsi" w:cs="Arial"/>
          <w:sz w:val="22"/>
          <w:szCs w:val="22"/>
        </w:rPr>
        <w:t>e</w:t>
      </w:r>
      <w:r>
        <w:rPr>
          <w:rFonts w:asciiTheme="minorHAnsi" w:hAnsiTheme="minorHAnsi" w:cs="Arial"/>
          <w:sz w:val="22"/>
          <w:szCs w:val="22"/>
        </w:rPr>
        <w:t>s</w:t>
      </w:r>
      <w:r w:rsidR="004230AB">
        <w:rPr>
          <w:rFonts w:asciiTheme="minorHAnsi" w:hAnsiTheme="minorHAnsi" w:cs="Arial"/>
          <w:sz w:val="22"/>
          <w:szCs w:val="22"/>
        </w:rPr>
        <w:t>e</w:t>
      </w:r>
      <w:r>
        <w:rPr>
          <w:rFonts w:asciiTheme="minorHAnsi" w:hAnsiTheme="minorHAnsi" w:cs="Arial"/>
          <w:sz w:val="22"/>
          <w:szCs w:val="22"/>
        </w:rPr>
        <w:t xml:space="preserve"> refusal</w:t>
      </w:r>
      <w:r w:rsidR="004230AB">
        <w:rPr>
          <w:rFonts w:asciiTheme="minorHAnsi" w:hAnsiTheme="minorHAnsi" w:cs="Arial"/>
          <w:sz w:val="22"/>
          <w:szCs w:val="22"/>
        </w:rPr>
        <w:t>s</w:t>
      </w:r>
      <w:r>
        <w:rPr>
          <w:rFonts w:asciiTheme="minorHAnsi" w:hAnsiTheme="minorHAnsi" w:cs="Arial"/>
          <w:sz w:val="22"/>
          <w:szCs w:val="22"/>
        </w:rPr>
        <w:t xml:space="preserve"> w</w:t>
      </w:r>
      <w:r w:rsidR="004230AB">
        <w:rPr>
          <w:rFonts w:asciiTheme="minorHAnsi" w:hAnsiTheme="minorHAnsi" w:cs="Arial"/>
          <w:sz w:val="22"/>
          <w:szCs w:val="22"/>
        </w:rPr>
        <w:t>ere</w:t>
      </w:r>
      <w:r>
        <w:rPr>
          <w:rFonts w:asciiTheme="minorHAnsi" w:hAnsiTheme="minorHAnsi" w:cs="Arial"/>
          <w:sz w:val="22"/>
          <w:szCs w:val="22"/>
        </w:rPr>
        <w:t xml:space="preserve"> dismissed</w:t>
      </w:r>
      <w:r w:rsidR="000C4928">
        <w:rPr>
          <w:rFonts w:asciiTheme="minorHAnsi" w:hAnsiTheme="minorHAnsi" w:cs="Arial"/>
          <w:sz w:val="22"/>
          <w:szCs w:val="22"/>
        </w:rPr>
        <w:t xml:space="preserve"> in December 2003</w:t>
      </w:r>
      <w:r>
        <w:rPr>
          <w:rFonts w:asciiTheme="minorHAnsi" w:hAnsiTheme="minorHAnsi" w:cs="Arial"/>
          <w:sz w:val="22"/>
          <w:szCs w:val="22"/>
        </w:rPr>
        <w:t>.</w:t>
      </w:r>
    </w:p>
    <w:p w14:paraId="528FEB47" w14:textId="68C469E6" w:rsidR="002512AC" w:rsidRPr="002512AC" w:rsidRDefault="002512AC" w:rsidP="000C4928">
      <w:pPr>
        <w:pStyle w:val="ListParagraph"/>
        <w:numPr>
          <w:ilvl w:val="1"/>
          <w:numId w:val="2"/>
        </w:numPr>
        <w:autoSpaceDE w:val="0"/>
        <w:autoSpaceDN w:val="0"/>
        <w:adjustRightInd w:val="0"/>
        <w:spacing w:line="276" w:lineRule="auto"/>
        <w:rPr>
          <w:rFonts w:asciiTheme="minorHAnsi" w:hAnsiTheme="minorHAnsi"/>
          <w:sz w:val="22"/>
          <w:szCs w:val="22"/>
          <w:u w:val="single"/>
        </w:rPr>
      </w:pPr>
      <w:r w:rsidRPr="002512AC">
        <w:rPr>
          <w:rFonts w:asciiTheme="minorHAnsi" w:hAnsiTheme="minorHAnsi" w:cs="Arial"/>
          <w:sz w:val="22"/>
          <w:szCs w:val="22"/>
        </w:rPr>
        <w:t>In 2004 permission was refused for the “</w:t>
      </w:r>
      <w:r w:rsidR="000C4928">
        <w:rPr>
          <w:rFonts w:asciiTheme="minorHAnsi" w:hAnsiTheme="minorHAnsi" w:cs="Arial"/>
          <w:sz w:val="22"/>
          <w:szCs w:val="22"/>
        </w:rPr>
        <w:t>E</w:t>
      </w:r>
      <w:r w:rsidRPr="002512AC">
        <w:rPr>
          <w:rFonts w:asciiTheme="minorHAnsi" w:hAnsiTheme="minorHAnsi" w:cs="Arial"/>
          <w:sz w:val="22"/>
          <w:szCs w:val="22"/>
        </w:rPr>
        <w:t xml:space="preserve">rection of a 2 storey dwelling house with associated garden and forecourt car space in rear part of car park, and new boundary railings/walls and relocated entrance to remaining car park at front of site” (2004/0705/P / 2004/0707/L). </w:t>
      </w:r>
      <w:r>
        <w:rPr>
          <w:rFonts w:asciiTheme="minorHAnsi" w:hAnsiTheme="minorHAnsi" w:cs="Arial"/>
          <w:sz w:val="22"/>
          <w:szCs w:val="22"/>
        </w:rPr>
        <w:t>An appeal against this refusal was dismissed</w:t>
      </w:r>
      <w:r w:rsidR="000C4928" w:rsidRPr="000C4928">
        <w:t xml:space="preserve"> </w:t>
      </w:r>
      <w:r w:rsidR="000C4928" w:rsidRPr="000C4928">
        <w:rPr>
          <w:rFonts w:asciiTheme="minorHAnsi" w:hAnsiTheme="minorHAnsi" w:cs="Arial"/>
          <w:sz w:val="22"/>
          <w:szCs w:val="22"/>
        </w:rPr>
        <w:t>in December 200</w:t>
      </w:r>
      <w:r w:rsidR="000C4928">
        <w:rPr>
          <w:rFonts w:asciiTheme="minorHAnsi" w:hAnsiTheme="minorHAnsi" w:cs="Arial"/>
          <w:sz w:val="22"/>
          <w:szCs w:val="22"/>
        </w:rPr>
        <w:t>4</w:t>
      </w:r>
      <w:r>
        <w:rPr>
          <w:rFonts w:asciiTheme="minorHAnsi" w:hAnsiTheme="minorHAnsi" w:cs="Arial"/>
          <w:sz w:val="22"/>
          <w:szCs w:val="22"/>
        </w:rPr>
        <w:t>.</w:t>
      </w:r>
    </w:p>
    <w:p w14:paraId="43DE2187" w14:textId="4472AAD0" w:rsidR="0074799B" w:rsidRPr="0074799B" w:rsidRDefault="0074799B" w:rsidP="002512AC">
      <w:pPr>
        <w:pStyle w:val="ListParagraph"/>
        <w:numPr>
          <w:ilvl w:val="1"/>
          <w:numId w:val="2"/>
        </w:numPr>
        <w:autoSpaceDE w:val="0"/>
        <w:autoSpaceDN w:val="0"/>
        <w:adjustRightInd w:val="0"/>
        <w:spacing w:line="276" w:lineRule="auto"/>
        <w:rPr>
          <w:rFonts w:asciiTheme="minorHAnsi" w:hAnsiTheme="minorHAnsi"/>
          <w:sz w:val="22"/>
          <w:szCs w:val="22"/>
          <w:u w:val="single"/>
        </w:rPr>
      </w:pPr>
      <w:r>
        <w:rPr>
          <w:rFonts w:asciiTheme="minorHAnsi" w:hAnsiTheme="minorHAnsi"/>
          <w:sz w:val="22"/>
          <w:szCs w:val="22"/>
        </w:rPr>
        <w:t>A</w:t>
      </w:r>
      <w:r w:rsidR="00697B36">
        <w:rPr>
          <w:rFonts w:asciiTheme="minorHAnsi" w:hAnsiTheme="minorHAnsi"/>
          <w:sz w:val="22"/>
          <w:szCs w:val="22"/>
        </w:rPr>
        <w:t xml:space="preserve">pplications </w:t>
      </w:r>
      <w:r w:rsidR="00697B36" w:rsidRPr="0074799B">
        <w:rPr>
          <w:rFonts w:asciiTheme="minorHAnsi" w:hAnsiTheme="minorHAnsi" w:cs="Arial"/>
          <w:sz w:val="22"/>
          <w:szCs w:val="22"/>
        </w:rPr>
        <w:t>for p</w:t>
      </w:r>
      <w:r w:rsidR="002512AC" w:rsidRPr="0074799B">
        <w:rPr>
          <w:rFonts w:asciiTheme="minorHAnsi" w:hAnsiTheme="minorHAnsi" w:cs="Arial"/>
          <w:sz w:val="22"/>
          <w:szCs w:val="22"/>
        </w:rPr>
        <w:t xml:space="preserve">lanning permission and listed building consent </w:t>
      </w:r>
      <w:r w:rsidRPr="0074799B">
        <w:rPr>
          <w:rFonts w:asciiTheme="minorHAnsi" w:hAnsiTheme="minorHAnsi" w:cs="Arial"/>
          <w:sz w:val="22"/>
          <w:szCs w:val="22"/>
        </w:rPr>
        <w:t xml:space="preserve">for </w:t>
      </w:r>
      <w:r>
        <w:rPr>
          <w:rFonts w:asciiTheme="minorHAnsi" w:hAnsiTheme="minorHAnsi" w:cs="Arial"/>
          <w:sz w:val="22"/>
          <w:szCs w:val="22"/>
        </w:rPr>
        <w:t>“</w:t>
      </w:r>
      <w:r w:rsidRPr="0074799B">
        <w:rPr>
          <w:rFonts w:asciiTheme="minorHAnsi" w:hAnsiTheme="minorHAnsi" w:cs="Arial"/>
          <w:sz w:val="22"/>
          <w:szCs w:val="22"/>
        </w:rPr>
        <w:t>Erection of two x 4 bedroom 3 storey plus basement residential dwelling houses on rear part of carpark, and associated landscaping, refuse and cycle stores and reconfigured carparking on remainder of carpark</w:t>
      </w:r>
      <w:r>
        <w:rPr>
          <w:rFonts w:asciiTheme="minorHAnsi" w:hAnsiTheme="minorHAnsi" w:cs="Arial"/>
          <w:sz w:val="22"/>
          <w:szCs w:val="22"/>
        </w:rPr>
        <w:t>”</w:t>
      </w:r>
      <w:r w:rsidRPr="0074799B">
        <w:rPr>
          <w:rFonts w:asciiTheme="minorHAnsi" w:hAnsiTheme="minorHAnsi" w:cs="Arial"/>
          <w:sz w:val="22"/>
          <w:szCs w:val="22"/>
        </w:rPr>
        <w:t xml:space="preserve"> </w:t>
      </w:r>
      <w:r w:rsidR="002512AC" w:rsidRPr="0074799B">
        <w:rPr>
          <w:rFonts w:asciiTheme="minorHAnsi" w:hAnsiTheme="minorHAnsi" w:cs="Arial"/>
          <w:sz w:val="22"/>
          <w:szCs w:val="22"/>
        </w:rPr>
        <w:t>were</w:t>
      </w:r>
      <w:r w:rsidR="002512AC">
        <w:rPr>
          <w:rFonts w:asciiTheme="minorHAnsi" w:hAnsiTheme="minorHAnsi"/>
          <w:sz w:val="22"/>
          <w:szCs w:val="22"/>
        </w:rPr>
        <w:t xml:space="preserve"> </w:t>
      </w:r>
      <w:r w:rsidR="000C4928">
        <w:rPr>
          <w:rFonts w:asciiTheme="minorHAnsi" w:hAnsiTheme="minorHAnsi"/>
          <w:sz w:val="22"/>
          <w:szCs w:val="22"/>
        </w:rPr>
        <w:t>submitted</w:t>
      </w:r>
      <w:r w:rsidR="002512AC">
        <w:rPr>
          <w:rFonts w:asciiTheme="minorHAnsi" w:hAnsiTheme="minorHAnsi"/>
          <w:sz w:val="22"/>
          <w:szCs w:val="22"/>
        </w:rPr>
        <w:t xml:space="preserve"> in April 2017</w:t>
      </w:r>
      <w:r>
        <w:rPr>
          <w:rFonts w:asciiTheme="minorHAnsi" w:hAnsiTheme="minorHAnsi"/>
          <w:sz w:val="22"/>
          <w:szCs w:val="22"/>
        </w:rPr>
        <w:t xml:space="preserve"> (</w:t>
      </w:r>
      <w:r w:rsidRPr="00D41E91">
        <w:rPr>
          <w:rFonts w:asciiTheme="minorHAnsi" w:hAnsiTheme="minorHAnsi"/>
          <w:sz w:val="22"/>
          <w:szCs w:val="22"/>
        </w:rPr>
        <w:t>2017/2064/P and 2017/2211/L</w:t>
      </w:r>
      <w:r>
        <w:rPr>
          <w:rFonts w:asciiTheme="minorHAnsi" w:hAnsiTheme="minorHAnsi"/>
          <w:sz w:val="22"/>
          <w:szCs w:val="22"/>
        </w:rPr>
        <w:t>)</w:t>
      </w:r>
      <w:r w:rsidR="002512AC">
        <w:rPr>
          <w:rFonts w:asciiTheme="minorHAnsi" w:hAnsiTheme="minorHAnsi"/>
          <w:sz w:val="22"/>
          <w:szCs w:val="22"/>
        </w:rPr>
        <w:t xml:space="preserve">. </w:t>
      </w:r>
      <w:r>
        <w:rPr>
          <w:rFonts w:asciiTheme="minorHAnsi" w:hAnsiTheme="minorHAnsi"/>
          <w:sz w:val="22"/>
          <w:szCs w:val="22"/>
        </w:rPr>
        <w:t>Appeals were submitted on the grounds of non-determination but withdrawn in July 2019.</w:t>
      </w:r>
    </w:p>
    <w:p w14:paraId="54BD1212" w14:textId="6F756489" w:rsidR="0014753F" w:rsidRPr="00386E7E" w:rsidRDefault="0074799B" w:rsidP="002512AC">
      <w:pPr>
        <w:pStyle w:val="ListParagraph"/>
        <w:numPr>
          <w:ilvl w:val="1"/>
          <w:numId w:val="2"/>
        </w:numPr>
        <w:autoSpaceDE w:val="0"/>
        <w:autoSpaceDN w:val="0"/>
        <w:adjustRightInd w:val="0"/>
        <w:spacing w:line="276" w:lineRule="auto"/>
        <w:rPr>
          <w:rFonts w:asciiTheme="minorHAnsi" w:hAnsiTheme="minorHAnsi"/>
          <w:sz w:val="22"/>
          <w:szCs w:val="22"/>
          <w:u w:val="single"/>
        </w:rPr>
      </w:pPr>
      <w:r>
        <w:rPr>
          <w:rFonts w:asciiTheme="minorHAnsi" w:hAnsiTheme="minorHAnsi"/>
          <w:sz w:val="22"/>
          <w:szCs w:val="22"/>
        </w:rPr>
        <w:t>The current applications were submitted in June 2020, and refused by the Council in September 2020.</w:t>
      </w:r>
      <w:r w:rsidR="002512AC">
        <w:rPr>
          <w:rFonts w:asciiTheme="minorHAnsi" w:hAnsiTheme="minorHAnsi"/>
          <w:sz w:val="22"/>
          <w:szCs w:val="22"/>
        </w:rPr>
        <w:t xml:space="preserve"> </w:t>
      </w:r>
    </w:p>
    <w:p w14:paraId="19ED8637" w14:textId="77777777" w:rsidR="00645809" w:rsidRPr="00645809" w:rsidRDefault="00645809" w:rsidP="00645809">
      <w:pPr>
        <w:pStyle w:val="ListParagraph"/>
        <w:spacing w:line="276" w:lineRule="auto"/>
        <w:ind w:left="644"/>
        <w:jc w:val="both"/>
        <w:rPr>
          <w:rFonts w:asciiTheme="minorHAnsi" w:hAnsiTheme="minorHAnsi" w:cs="Arial"/>
          <w:sz w:val="22"/>
          <w:szCs w:val="22"/>
        </w:rPr>
      </w:pPr>
    </w:p>
    <w:p w14:paraId="03914F4F" w14:textId="77777777" w:rsidR="00326E9B"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 xml:space="preserve">Development plan </w:t>
      </w:r>
      <w:r w:rsidR="00D60F56" w:rsidRPr="00291BE4">
        <w:rPr>
          <w:rFonts w:asciiTheme="minorHAnsi" w:hAnsiTheme="minorHAnsi"/>
          <w:sz w:val="22"/>
          <w:szCs w:val="22"/>
          <w:u w:val="single"/>
        </w:rPr>
        <w:t>policies and designations</w:t>
      </w:r>
    </w:p>
    <w:p w14:paraId="789C366E" w14:textId="77777777" w:rsidR="00215101" w:rsidRDefault="00215101" w:rsidP="007A3F9B">
      <w:pPr>
        <w:pStyle w:val="ListParagraph"/>
        <w:spacing w:line="276" w:lineRule="auto"/>
        <w:ind w:left="360"/>
        <w:rPr>
          <w:rFonts w:asciiTheme="minorHAnsi" w:hAnsiTheme="minorHAnsi"/>
          <w:sz w:val="22"/>
          <w:szCs w:val="22"/>
          <w:u w:val="single"/>
        </w:rPr>
      </w:pPr>
    </w:p>
    <w:p w14:paraId="1BE104A9" w14:textId="4234E450" w:rsidR="00326E9B" w:rsidRPr="00326E9B" w:rsidRDefault="00326E9B" w:rsidP="00C208E9">
      <w:pPr>
        <w:pStyle w:val="ListParagraph"/>
        <w:numPr>
          <w:ilvl w:val="1"/>
          <w:numId w:val="2"/>
        </w:numPr>
        <w:spacing w:line="276" w:lineRule="auto"/>
        <w:rPr>
          <w:rFonts w:asciiTheme="minorHAnsi" w:hAnsiTheme="minorHAnsi"/>
          <w:sz w:val="22"/>
          <w:szCs w:val="22"/>
          <w:u w:val="single"/>
        </w:rPr>
      </w:pPr>
      <w:r w:rsidRPr="00326E9B">
        <w:rPr>
          <w:rFonts w:asciiTheme="minorHAnsi" w:hAnsiTheme="minorHAnsi"/>
          <w:sz w:val="22"/>
          <w:szCs w:val="22"/>
        </w:rPr>
        <w:t>For the purposes of Section 38</w:t>
      </w:r>
      <w:r w:rsidR="008A4287">
        <w:rPr>
          <w:rFonts w:asciiTheme="minorHAnsi" w:hAnsiTheme="minorHAnsi"/>
          <w:sz w:val="22"/>
          <w:szCs w:val="22"/>
        </w:rPr>
        <w:t xml:space="preserve"> of the Planning and Compulsory Purchase Act 2004</w:t>
      </w:r>
      <w:r w:rsidRPr="00326E9B">
        <w:rPr>
          <w:rFonts w:asciiTheme="minorHAnsi" w:hAnsiTheme="minorHAnsi"/>
          <w:sz w:val="22"/>
          <w:szCs w:val="22"/>
        </w:rPr>
        <w:t xml:space="preserve"> the Development Plan for the London Borough of </w:t>
      </w:r>
      <w:r w:rsidR="00B3785F">
        <w:rPr>
          <w:rFonts w:asciiTheme="minorHAnsi" w:hAnsiTheme="minorHAnsi"/>
          <w:sz w:val="22"/>
          <w:szCs w:val="22"/>
        </w:rPr>
        <w:t xml:space="preserve">Camden </w:t>
      </w:r>
      <w:r w:rsidRPr="00326E9B">
        <w:rPr>
          <w:rFonts w:asciiTheme="minorHAnsi" w:hAnsiTheme="minorHAnsi"/>
          <w:sz w:val="22"/>
          <w:szCs w:val="22"/>
        </w:rPr>
        <w:t>comprises:</w:t>
      </w:r>
    </w:p>
    <w:p w14:paraId="60D5EBD0" w14:textId="2FA289CD" w:rsidR="002512AC" w:rsidRPr="002512AC" w:rsidRDefault="00326E9B" w:rsidP="002512AC">
      <w:pPr>
        <w:pStyle w:val="ListParagraph"/>
        <w:numPr>
          <w:ilvl w:val="2"/>
          <w:numId w:val="2"/>
        </w:numPr>
        <w:spacing w:line="276" w:lineRule="auto"/>
        <w:rPr>
          <w:rFonts w:asciiTheme="minorHAnsi" w:hAnsiTheme="minorHAnsi"/>
          <w:sz w:val="22"/>
          <w:szCs w:val="22"/>
          <w:u w:val="single"/>
        </w:rPr>
      </w:pPr>
      <w:r w:rsidRPr="00326E9B">
        <w:rPr>
          <w:rFonts w:asciiTheme="minorHAnsi" w:hAnsiTheme="minorHAnsi"/>
          <w:sz w:val="22"/>
          <w:szCs w:val="22"/>
        </w:rPr>
        <w:t>The London Plan (201</w:t>
      </w:r>
      <w:r w:rsidR="00B3785F">
        <w:rPr>
          <w:rFonts w:asciiTheme="minorHAnsi" w:hAnsiTheme="minorHAnsi"/>
          <w:sz w:val="22"/>
          <w:szCs w:val="22"/>
        </w:rPr>
        <w:t>6</w:t>
      </w:r>
      <w:r w:rsidRPr="00326E9B">
        <w:rPr>
          <w:rFonts w:asciiTheme="minorHAnsi" w:hAnsiTheme="minorHAnsi"/>
          <w:sz w:val="22"/>
          <w:szCs w:val="22"/>
        </w:rPr>
        <w:t xml:space="preserve">) </w:t>
      </w:r>
    </w:p>
    <w:p w14:paraId="50901E16" w14:textId="2CF68FB0" w:rsidR="00326E9B" w:rsidRPr="000C4928" w:rsidRDefault="002512AC" w:rsidP="002512AC">
      <w:pPr>
        <w:pStyle w:val="ListParagraph"/>
        <w:numPr>
          <w:ilvl w:val="2"/>
          <w:numId w:val="2"/>
        </w:numPr>
        <w:spacing w:line="276" w:lineRule="auto"/>
        <w:rPr>
          <w:rFonts w:asciiTheme="minorHAnsi" w:hAnsiTheme="minorHAnsi"/>
          <w:sz w:val="22"/>
          <w:szCs w:val="22"/>
          <w:u w:val="single"/>
        </w:rPr>
      </w:pPr>
      <w:r>
        <w:rPr>
          <w:rFonts w:asciiTheme="minorHAnsi" w:hAnsiTheme="minorHAnsi"/>
          <w:sz w:val="22"/>
          <w:szCs w:val="22"/>
        </w:rPr>
        <w:t xml:space="preserve">Camden Local Plan (2017) </w:t>
      </w:r>
    </w:p>
    <w:p w14:paraId="09F32D74" w14:textId="011629F9" w:rsidR="000C4928" w:rsidRPr="000C4928" w:rsidRDefault="000C4928" w:rsidP="00FC26A1">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 xml:space="preserve">Hampstead </w:t>
      </w:r>
      <w:r w:rsidRPr="000C4928">
        <w:rPr>
          <w:rFonts w:asciiTheme="minorHAnsi" w:hAnsiTheme="minorHAnsi"/>
          <w:sz w:val="22"/>
          <w:szCs w:val="22"/>
        </w:rPr>
        <w:t>Neighbourhood Plan (2018)</w:t>
      </w:r>
    </w:p>
    <w:p w14:paraId="4CE02B41" w14:textId="0CA77BB8" w:rsidR="00B3785F" w:rsidRPr="00B3785F" w:rsidRDefault="00B3785F" w:rsidP="00652290">
      <w:pPr>
        <w:pStyle w:val="ListParagraph"/>
        <w:numPr>
          <w:ilvl w:val="1"/>
          <w:numId w:val="2"/>
        </w:numPr>
        <w:spacing w:line="276" w:lineRule="auto"/>
        <w:rPr>
          <w:rFonts w:ascii="Calibri" w:hAnsi="Calibri"/>
          <w:color w:val="212121"/>
          <w:sz w:val="22"/>
          <w:szCs w:val="22"/>
        </w:rPr>
      </w:pPr>
      <w:r w:rsidRPr="007A7879">
        <w:rPr>
          <w:rFonts w:ascii="Calibri" w:hAnsi="Calibri"/>
          <w:color w:val="212121"/>
          <w:sz w:val="22"/>
          <w:szCs w:val="22"/>
        </w:rPr>
        <w:t xml:space="preserve">The Council has also adopted </w:t>
      </w:r>
      <w:r w:rsidR="002A3CFC">
        <w:rPr>
          <w:rFonts w:ascii="Calibri" w:hAnsi="Calibri"/>
          <w:color w:val="212121"/>
          <w:sz w:val="22"/>
          <w:szCs w:val="22"/>
        </w:rPr>
        <w:t>a number of</w:t>
      </w:r>
      <w:r w:rsidRPr="007A7879">
        <w:rPr>
          <w:rFonts w:ascii="Calibri" w:hAnsi="Calibri"/>
          <w:color w:val="212121"/>
          <w:sz w:val="22"/>
          <w:szCs w:val="22"/>
        </w:rPr>
        <w:t xml:space="preserve"> Planning Guidance documents.</w:t>
      </w:r>
    </w:p>
    <w:p w14:paraId="324A8524" w14:textId="771FD05A" w:rsidR="00652290" w:rsidRPr="00652290" w:rsidRDefault="00652290" w:rsidP="00652290">
      <w:pPr>
        <w:pStyle w:val="ListParagraph"/>
        <w:numPr>
          <w:ilvl w:val="1"/>
          <w:numId w:val="2"/>
        </w:numPr>
        <w:spacing w:line="276" w:lineRule="auto"/>
        <w:rPr>
          <w:rFonts w:cs="Arial"/>
          <w:color w:val="0B0C0C"/>
          <w:sz w:val="41"/>
          <w:szCs w:val="41"/>
        </w:rPr>
      </w:pPr>
      <w:r>
        <w:rPr>
          <w:rFonts w:ascii="Calibri" w:hAnsi="Calibri"/>
          <w:color w:val="212121"/>
          <w:sz w:val="22"/>
          <w:szCs w:val="22"/>
        </w:rPr>
        <w:t>The following</w:t>
      </w:r>
      <w:r w:rsidR="002A3CFC">
        <w:rPr>
          <w:rFonts w:ascii="Calibri" w:hAnsi="Calibri"/>
          <w:color w:val="212121"/>
          <w:sz w:val="22"/>
          <w:szCs w:val="22"/>
        </w:rPr>
        <w:t xml:space="preserve"> Local Plan</w:t>
      </w:r>
      <w:r>
        <w:rPr>
          <w:rFonts w:ascii="Calibri" w:hAnsi="Calibri"/>
          <w:color w:val="212121"/>
          <w:sz w:val="22"/>
          <w:szCs w:val="22"/>
        </w:rPr>
        <w:t xml:space="preserve"> </w:t>
      </w:r>
      <w:r w:rsidR="002A3CFC">
        <w:rPr>
          <w:rFonts w:ascii="Calibri" w:hAnsi="Calibri"/>
          <w:color w:val="212121"/>
          <w:sz w:val="22"/>
          <w:szCs w:val="22"/>
        </w:rPr>
        <w:t>policies</w:t>
      </w:r>
      <w:r>
        <w:rPr>
          <w:rFonts w:ascii="Calibri" w:hAnsi="Calibri"/>
          <w:color w:val="212121"/>
          <w:sz w:val="22"/>
          <w:szCs w:val="22"/>
        </w:rPr>
        <w:t xml:space="preserve"> are relevant to this appeal</w:t>
      </w:r>
    </w:p>
    <w:p w14:paraId="432408DD" w14:textId="77777777" w:rsidR="00326E9B" w:rsidRPr="00291BE4" w:rsidRDefault="00326E9B" w:rsidP="00011819">
      <w:pPr>
        <w:widowControl w:val="0"/>
        <w:autoSpaceDE w:val="0"/>
        <w:autoSpaceDN w:val="0"/>
        <w:adjustRightInd w:val="0"/>
        <w:spacing w:line="276" w:lineRule="auto"/>
        <w:ind w:left="709" w:right="-476"/>
        <w:contextualSpacing/>
        <w:jc w:val="both"/>
        <w:rPr>
          <w:rFonts w:asciiTheme="minorHAnsi" w:hAnsiTheme="minorHAnsi" w:cs="Arial"/>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326E9B" w:rsidRPr="00291BE4" w14:paraId="6F93AB3D" w14:textId="77777777" w:rsidTr="00326E9B">
        <w:tc>
          <w:tcPr>
            <w:tcW w:w="7796" w:type="dxa"/>
            <w:shd w:val="clear" w:color="auto" w:fill="auto"/>
          </w:tcPr>
          <w:p w14:paraId="0FFC1C02" w14:textId="3439E47F" w:rsidR="00326E9B" w:rsidRPr="00291BE4" w:rsidRDefault="007A7879" w:rsidP="00011819">
            <w:pPr>
              <w:spacing w:line="276" w:lineRule="auto"/>
              <w:rPr>
                <w:rFonts w:asciiTheme="minorHAnsi" w:hAnsiTheme="minorHAnsi" w:cs="Arial"/>
                <w:b/>
                <w:sz w:val="22"/>
                <w:szCs w:val="22"/>
              </w:rPr>
            </w:pPr>
            <w:r>
              <w:rPr>
                <w:rFonts w:asciiTheme="minorHAnsi" w:hAnsiTheme="minorHAnsi" w:cs="Arial"/>
                <w:b/>
                <w:sz w:val="22"/>
                <w:szCs w:val="22"/>
              </w:rPr>
              <w:t>Camden</w:t>
            </w:r>
            <w:r w:rsidR="00326E9B" w:rsidRPr="00291BE4">
              <w:rPr>
                <w:rFonts w:asciiTheme="minorHAnsi" w:hAnsiTheme="minorHAnsi" w:cs="Arial"/>
                <w:b/>
                <w:sz w:val="22"/>
                <w:szCs w:val="22"/>
              </w:rPr>
              <w:t xml:space="preserve"> </w:t>
            </w:r>
            <w:r w:rsidR="00C73639">
              <w:rPr>
                <w:rFonts w:asciiTheme="minorHAnsi" w:hAnsiTheme="minorHAnsi" w:cs="Arial"/>
                <w:b/>
                <w:sz w:val="22"/>
                <w:szCs w:val="22"/>
              </w:rPr>
              <w:t>Local Plan (2017)</w:t>
            </w:r>
          </w:p>
          <w:p w14:paraId="55CB33EB" w14:textId="77777777" w:rsidR="00326E9B" w:rsidRPr="00291BE4" w:rsidRDefault="00326E9B" w:rsidP="00011819">
            <w:pPr>
              <w:spacing w:line="276" w:lineRule="auto"/>
              <w:rPr>
                <w:rFonts w:asciiTheme="minorHAnsi" w:hAnsiTheme="minorHAnsi" w:cs="Arial"/>
                <w:sz w:val="22"/>
                <w:szCs w:val="22"/>
              </w:rPr>
            </w:pPr>
          </w:p>
        </w:tc>
      </w:tr>
      <w:tr w:rsidR="00326E9B" w:rsidRPr="00291BE4" w14:paraId="539B6B85" w14:textId="77777777" w:rsidTr="00326E9B">
        <w:tc>
          <w:tcPr>
            <w:tcW w:w="7796" w:type="dxa"/>
            <w:shd w:val="clear" w:color="auto" w:fill="auto"/>
          </w:tcPr>
          <w:p w14:paraId="07A3D004"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G1 Delivery and location of growth </w:t>
            </w:r>
          </w:p>
          <w:p w14:paraId="326FDC1B"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H1 Maximising housing supply  </w:t>
            </w:r>
          </w:p>
          <w:p w14:paraId="085BC98F"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H4 Maximising the supply of affordable housing  </w:t>
            </w:r>
          </w:p>
          <w:p w14:paraId="44502CF2"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H6 Housing choice and mix  </w:t>
            </w:r>
          </w:p>
          <w:p w14:paraId="52D90A04"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H7 Large and small homes   </w:t>
            </w:r>
          </w:p>
          <w:p w14:paraId="6B622DF1"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C6 Access for all  </w:t>
            </w:r>
          </w:p>
          <w:p w14:paraId="3089655F"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A1 Managing the impact of development   </w:t>
            </w:r>
          </w:p>
          <w:p w14:paraId="2202B9DE"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A2 Open space   </w:t>
            </w:r>
          </w:p>
          <w:p w14:paraId="5DA130A5"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A3 Biodiversity   </w:t>
            </w:r>
          </w:p>
          <w:p w14:paraId="0BD41039"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A5 Basements </w:t>
            </w:r>
          </w:p>
          <w:p w14:paraId="617F0BDC"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D1 Design   </w:t>
            </w:r>
          </w:p>
          <w:p w14:paraId="61F6D6C1"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D2 Heritage </w:t>
            </w:r>
          </w:p>
          <w:p w14:paraId="5599902A"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CC1 Climate change mitigation  </w:t>
            </w:r>
          </w:p>
          <w:p w14:paraId="7F3C843B"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CC2 Adapting to climate change  </w:t>
            </w:r>
          </w:p>
          <w:p w14:paraId="4FA9B7A1"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CC3 Water and flooding  </w:t>
            </w:r>
          </w:p>
          <w:p w14:paraId="3CF6806B"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CC4 Air quality </w:t>
            </w:r>
          </w:p>
          <w:p w14:paraId="57A9560C"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CC5 Waste </w:t>
            </w:r>
          </w:p>
          <w:p w14:paraId="1656E7A6"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T1 Prioritising walking, cycling and public transport   </w:t>
            </w:r>
          </w:p>
          <w:p w14:paraId="1F018441"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T2 Parking and car-free development   </w:t>
            </w:r>
          </w:p>
          <w:p w14:paraId="183B66E4"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T4 Sustainable movement of goods and materials  </w:t>
            </w:r>
          </w:p>
          <w:p w14:paraId="79949169" w14:textId="09DDD6F8" w:rsidR="00326E9B" w:rsidRPr="00291BE4" w:rsidRDefault="000C4928" w:rsidP="000C4928">
            <w:pPr>
              <w:spacing w:line="276" w:lineRule="auto"/>
              <w:rPr>
                <w:rFonts w:asciiTheme="minorHAnsi" w:hAnsiTheme="minorHAnsi" w:cs="Arial"/>
                <w:sz w:val="22"/>
                <w:szCs w:val="22"/>
              </w:rPr>
            </w:pPr>
            <w:r w:rsidRPr="000C4928">
              <w:rPr>
                <w:rFonts w:asciiTheme="minorHAnsi" w:hAnsiTheme="minorHAnsi"/>
                <w:sz w:val="22"/>
                <w:szCs w:val="22"/>
              </w:rPr>
              <w:t>DM1 Delivery and monitoring</w:t>
            </w:r>
          </w:p>
        </w:tc>
      </w:tr>
      <w:tr w:rsidR="000C4928" w:rsidRPr="00291BE4" w14:paraId="73097A67" w14:textId="77777777" w:rsidTr="00326E9B">
        <w:tc>
          <w:tcPr>
            <w:tcW w:w="7796" w:type="dxa"/>
            <w:shd w:val="clear" w:color="auto" w:fill="auto"/>
          </w:tcPr>
          <w:p w14:paraId="4FF6594D" w14:textId="77777777" w:rsidR="000C4928" w:rsidRPr="000C4928" w:rsidRDefault="000C4928" w:rsidP="000C4928">
            <w:pPr>
              <w:spacing w:line="276" w:lineRule="auto"/>
              <w:rPr>
                <w:rFonts w:asciiTheme="minorHAnsi" w:hAnsiTheme="minorHAnsi"/>
                <w:b/>
                <w:sz w:val="22"/>
                <w:szCs w:val="22"/>
              </w:rPr>
            </w:pPr>
            <w:r w:rsidRPr="000C4928">
              <w:rPr>
                <w:rFonts w:asciiTheme="minorHAnsi" w:hAnsiTheme="minorHAnsi"/>
                <w:b/>
                <w:sz w:val="22"/>
                <w:szCs w:val="22"/>
              </w:rPr>
              <w:t>Hampstead Neighbourhood Plan (2018)</w:t>
            </w:r>
          </w:p>
          <w:p w14:paraId="32CCBA07" w14:textId="4DF1CA9A" w:rsidR="000C4928" w:rsidRPr="000C4928" w:rsidRDefault="000C4928" w:rsidP="000C4928">
            <w:pPr>
              <w:spacing w:line="276" w:lineRule="auto"/>
              <w:rPr>
                <w:rFonts w:asciiTheme="minorHAnsi" w:hAnsiTheme="minorHAnsi"/>
                <w:sz w:val="22"/>
                <w:szCs w:val="22"/>
              </w:rPr>
            </w:pPr>
          </w:p>
        </w:tc>
      </w:tr>
      <w:tr w:rsidR="000C4928" w:rsidRPr="00291BE4" w14:paraId="5F16CC15" w14:textId="77777777" w:rsidTr="00326E9B">
        <w:tc>
          <w:tcPr>
            <w:tcW w:w="7796" w:type="dxa"/>
            <w:shd w:val="clear" w:color="auto" w:fill="auto"/>
          </w:tcPr>
          <w:p w14:paraId="6A5675D4" w14:textId="77777777" w:rsid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DH1 Design</w:t>
            </w:r>
          </w:p>
          <w:p w14:paraId="0565CA3F"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DH2 Conservation areas and listed buildings  </w:t>
            </w:r>
          </w:p>
          <w:p w14:paraId="2D0C8697"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BA1 Basement Impact Assessments  </w:t>
            </w:r>
          </w:p>
          <w:p w14:paraId="54940F11" w14:textId="77777777"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 xml:space="preserve">TT1 Traffic volumes and vehicle size  </w:t>
            </w:r>
          </w:p>
          <w:p w14:paraId="319C9542" w14:textId="5625802F" w:rsidR="000C4928" w:rsidRPr="000C4928" w:rsidRDefault="000C4928" w:rsidP="000C4928">
            <w:pPr>
              <w:spacing w:line="276" w:lineRule="auto"/>
              <w:rPr>
                <w:rFonts w:asciiTheme="minorHAnsi" w:hAnsiTheme="minorHAnsi"/>
                <w:sz w:val="22"/>
                <w:szCs w:val="22"/>
              </w:rPr>
            </w:pPr>
            <w:r w:rsidRPr="000C4928">
              <w:rPr>
                <w:rFonts w:asciiTheme="minorHAnsi" w:hAnsiTheme="minorHAnsi"/>
                <w:sz w:val="22"/>
                <w:szCs w:val="22"/>
              </w:rPr>
              <w:t>TT4 Cycle and car ownership</w:t>
            </w:r>
          </w:p>
        </w:tc>
      </w:tr>
    </w:tbl>
    <w:p w14:paraId="7F4DB15A" w14:textId="77777777" w:rsidR="00326E9B" w:rsidRPr="00326E9B" w:rsidRDefault="00326E9B" w:rsidP="00011819">
      <w:pPr>
        <w:spacing w:line="276" w:lineRule="auto"/>
        <w:ind w:right="-193"/>
        <w:jc w:val="both"/>
        <w:rPr>
          <w:rFonts w:asciiTheme="minorHAnsi" w:hAnsiTheme="minorHAnsi"/>
          <w:sz w:val="22"/>
          <w:szCs w:val="22"/>
        </w:rPr>
      </w:pPr>
    </w:p>
    <w:p w14:paraId="6299D8A8" w14:textId="77777777" w:rsidR="00326E9B"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Supplementary Planning Guidance</w:t>
      </w:r>
    </w:p>
    <w:p w14:paraId="71EBC946" w14:textId="219BFE3C" w:rsidR="00326E9B" w:rsidRPr="00326E9B" w:rsidRDefault="007A7879" w:rsidP="00C208E9">
      <w:pPr>
        <w:pStyle w:val="ListParagraph"/>
        <w:numPr>
          <w:ilvl w:val="1"/>
          <w:numId w:val="2"/>
        </w:numPr>
        <w:spacing w:line="276" w:lineRule="auto"/>
        <w:rPr>
          <w:rFonts w:asciiTheme="minorHAnsi" w:hAnsiTheme="minorHAnsi"/>
          <w:sz w:val="22"/>
          <w:szCs w:val="22"/>
        </w:rPr>
      </w:pPr>
      <w:r>
        <w:rPr>
          <w:rFonts w:asciiTheme="minorHAnsi" w:hAnsiTheme="minorHAnsi"/>
          <w:sz w:val="22"/>
          <w:szCs w:val="22"/>
        </w:rPr>
        <w:t>Camden</w:t>
      </w:r>
      <w:r w:rsidR="00326E9B" w:rsidRPr="00326E9B">
        <w:rPr>
          <w:rFonts w:asciiTheme="minorHAnsi" w:hAnsiTheme="minorHAnsi"/>
          <w:sz w:val="22"/>
          <w:szCs w:val="22"/>
        </w:rPr>
        <w:t xml:space="preserve"> adopted Planning Guidance  </w:t>
      </w:r>
    </w:p>
    <w:p w14:paraId="70457469" w14:textId="6442A54C"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Access for all (2019) </w:t>
      </w:r>
    </w:p>
    <w:p w14:paraId="338FC8D2"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Amenity (2018) </w:t>
      </w:r>
    </w:p>
    <w:p w14:paraId="2E17F0B0"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Basements (2018) </w:t>
      </w:r>
    </w:p>
    <w:p w14:paraId="677965F4"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Biodiversity (2018) </w:t>
      </w:r>
    </w:p>
    <w:p w14:paraId="37492F90"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Design (2019) </w:t>
      </w:r>
    </w:p>
    <w:p w14:paraId="0DB26CB3"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Developer contributions (2019) </w:t>
      </w:r>
    </w:p>
    <w:p w14:paraId="1100CA26"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Energy efficiency (2019) </w:t>
      </w:r>
    </w:p>
    <w:p w14:paraId="6657D358"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Interim Housing (2019) </w:t>
      </w:r>
    </w:p>
    <w:p w14:paraId="5253B201"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CPG2 Housing (2016, amended 2019) </w:t>
      </w:r>
    </w:p>
    <w:p w14:paraId="6FE0C4CD"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Transport (2019) </w:t>
      </w:r>
    </w:p>
    <w:p w14:paraId="1CEAD0A7" w14:textId="77777777" w:rsidR="00FF4839" w:rsidRPr="00FF4839" w:rsidRDefault="00FF4839" w:rsidP="00FF4839">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 xml:space="preserve">CPG Trees (2019) </w:t>
      </w:r>
    </w:p>
    <w:p w14:paraId="12D24ED3" w14:textId="16056727" w:rsidR="007A7879" w:rsidRPr="00FF4839" w:rsidRDefault="00FF4839" w:rsidP="005B531C">
      <w:pPr>
        <w:pStyle w:val="ListParagraph"/>
        <w:numPr>
          <w:ilvl w:val="2"/>
          <w:numId w:val="2"/>
        </w:numPr>
        <w:spacing w:line="276" w:lineRule="auto"/>
        <w:rPr>
          <w:rFonts w:asciiTheme="minorHAnsi" w:hAnsiTheme="minorHAnsi"/>
          <w:sz w:val="22"/>
          <w:szCs w:val="22"/>
        </w:rPr>
      </w:pPr>
      <w:r w:rsidRPr="00FF4839">
        <w:rPr>
          <w:rFonts w:asciiTheme="minorHAnsi" w:hAnsiTheme="minorHAnsi"/>
          <w:sz w:val="22"/>
          <w:szCs w:val="22"/>
        </w:rPr>
        <w:t>CPG Water and flooding (2019)</w:t>
      </w:r>
    </w:p>
    <w:p w14:paraId="440E4A9B" w14:textId="010FA3FD" w:rsidR="00326E9B" w:rsidRPr="00326E9B" w:rsidRDefault="007A7879" w:rsidP="00C208E9">
      <w:pPr>
        <w:pStyle w:val="ListParagraph"/>
        <w:numPr>
          <w:ilvl w:val="1"/>
          <w:numId w:val="2"/>
        </w:numPr>
        <w:spacing w:line="276" w:lineRule="auto"/>
        <w:rPr>
          <w:rFonts w:asciiTheme="minorHAnsi" w:hAnsiTheme="minorHAnsi"/>
          <w:sz w:val="22"/>
          <w:szCs w:val="22"/>
        </w:rPr>
      </w:pPr>
      <w:r>
        <w:rPr>
          <w:rFonts w:asciiTheme="minorHAnsi" w:hAnsiTheme="minorHAnsi"/>
          <w:sz w:val="22"/>
          <w:szCs w:val="22"/>
        </w:rPr>
        <w:t>Camden</w:t>
      </w:r>
      <w:r w:rsidR="00326E9B" w:rsidRPr="00326E9B">
        <w:rPr>
          <w:rFonts w:asciiTheme="minorHAnsi" w:hAnsiTheme="minorHAnsi"/>
          <w:sz w:val="22"/>
          <w:szCs w:val="22"/>
        </w:rPr>
        <w:t xml:space="preserve"> Other Supplementary Planning Guidance</w:t>
      </w:r>
    </w:p>
    <w:p w14:paraId="6ED9372E" w14:textId="0DDEE010" w:rsidR="00326E9B" w:rsidRPr="0036380C" w:rsidRDefault="002A3CFC" w:rsidP="00C208E9">
      <w:pPr>
        <w:pStyle w:val="ListParagraph"/>
        <w:numPr>
          <w:ilvl w:val="2"/>
          <w:numId w:val="2"/>
        </w:numPr>
        <w:spacing w:line="276" w:lineRule="auto"/>
        <w:rPr>
          <w:rFonts w:asciiTheme="minorHAnsi" w:hAnsiTheme="minorHAnsi"/>
          <w:sz w:val="22"/>
          <w:szCs w:val="22"/>
        </w:rPr>
      </w:pPr>
      <w:r w:rsidRPr="007A7879">
        <w:rPr>
          <w:rFonts w:asciiTheme="minorHAnsi" w:hAnsiTheme="minorHAnsi"/>
          <w:sz w:val="22"/>
          <w:szCs w:val="22"/>
        </w:rPr>
        <w:t>H</w:t>
      </w:r>
      <w:r>
        <w:rPr>
          <w:rFonts w:asciiTheme="minorHAnsi" w:hAnsiTheme="minorHAnsi"/>
          <w:sz w:val="22"/>
          <w:szCs w:val="22"/>
        </w:rPr>
        <w:t xml:space="preserve">ampstead </w:t>
      </w:r>
      <w:r w:rsidR="007A7879" w:rsidRPr="007A7879">
        <w:rPr>
          <w:rFonts w:asciiTheme="minorHAnsi" w:hAnsiTheme="minorHAnsi"/>
          <w:sz w:val="22"/>
          <w:szCs w:val="22"/>
        </w:rPr>
        <w:t xml:space="preserve">Conservation Area </w:t>
      </w:r>
      <w:r>
        <w:rPr>
          <w:rFonts w:asciiTheme="minorHAnsi" w:hAnsiTheme="minorHAnsi"/>
          <w:sz w:val="22"/>
          <w:szCs w:val="22"/>
        </w:rPr>
        <w:t>Statement (2001</w:t>
      </w:r>
      <w:r w:rsidR="007A7879" w:rsidRPr="007A7879">
        <w:rPr>
          <w:rFonts w:asciiTheme="minorHAnsi" w:hAnsiTheme="minorHAnsi"/>
          <w:sz w:val="22"/>
          <w:szCs w:val="22"/>
        </w:rPr>
        <w:t>)</w:t>
      </w:r>
    </w:p>
    <w:p w14:paraId="1E26DB33" w14:textId="77777777" w:rsidR="00326E9B" w:rsidRPr="0036380C" w:rsidRDefault="00326E9B" w:rsidP="00D212BC">
      <w:pPr>
        <w:pStyle w:val="ListParagraph"/>
        <w:spacing w:line="276" w:lineRule="auto"/>
        <w:ind w:left="1080"/>
        <w:rPr>
          <w:rFonts w:asciiTheme="minorHAnsi" w:hAnsiTheme="minorHAnsi"/>
          <w:sz w:val="22"/>
          <w:szCs w:val="22"/>
        </w:rPr>
      </w:pPr>
    </w:p>
    <w:p w14:paraId="53B3E4E7" w14:textId="77777777" w:rsidR="004436CF" w:rsidRPr="005F504A" w:rsidRDefault="004436CF" w:rsidP="00C208E9">
      <w:pPr>
        <w:pStyle w:val="ListParagraph"/>
        <w:numPr>
          <w:ilvl w:val="0"/>
          <w:numId w:val="2"/>
        </w:numPr>
        <w:spacing w:line="276" w:lineRule="auto"/>
        <w:rPr>
          <w:rFonts w:asciiTheme="minorHAnsi" w:hAnsiTheme="minorHAnsi"/>
          <w:sz w:val="22"/>
          <w:szCs w:val="22"/>
          <w:u w:val="single"/>
        </w:rPr>
      </w:pPr>
      <w:r w:rsidRPr="005F504A">
        <w:rPr>
          <w:rFonts w:asciiTheme="minorHAnsi" w:hAnsiTheme="minorHAnsi"/>
          <w:sz w:val="22"/>
          <w:szCs w:val="22"/>
          <w:u w:val="single"/>
        </w:rPr>
        <w:t>National Policy</w:t>
      </w:r>
    </w:p>
    <w:p w14:paraId="376166A8" w14:textId="0EE4C760" w:rsidR="007D3D3E" w:rsidRDefault="007D3D3E" w:rsidP="00D41E91">
      <w:p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Both the National Planning Policy Framework and the Planning P</w:t>
      </w:r>
      <w:r w:rsidR="00697B36">
        <w:rPr>
          <w:rFonts w:asciiTheme="minorHAnsi" w:hAnsiTheme="minorHAnsi" w:cs="Arial"/>
          <w:iCs/>
          <w:sz w:val="22"/>
          <w:szCs w:val="22"/>
        </w:rPr>
        <w:t>ractice</w:t>
      </w:r>
      <w:r w:rsidRPr="005F504A">
        <w:rPr>
          <w:rFonts w:asciiTheme="minorHAnsi" w:hAnsiTheme="minorHAnsi" w:cs="Arial"/>
          <w:iCs/>
          <w:sz w:val="22"/>
          <w:szCs w:val="22"/>
        </w:rPr>
        <w:t xml:space="preserve"> Guidance are material considerations in the determination of this application.  While none of the content can be dismissed as irrelevant</w:t>
      </w:r>
      <w:r w:rsidR="00FF4839">
        <w:rPr>
          <w:rFonts w:asciiTheme="minorHAnsi" w:hAnsiTheme="minorHAnsi" w:cs="Arial"/>
          <w:iCs/>
          <w:sz w:val="22"/>
          <w:szCs w:val="22"/>
        </w:rPr>
        <w:t>,</w:t>
      </w:r>
      <w:r w:rsidRPr="005F504A">
        <w:rPr>
          <w:rFonts w:asciiTheme="minorHAnsi" w:hAnsiTheme="minorHAnsi" w:cs="Arial"/>
          <w:iCs/>
          <w:sz w:val="22"/>
          <w:szCs w:val="22"/>
        </w:rPr>
        <w:t xml:space="preserve"> it is considered that specific parts of each one are particularly relevant as follows</w:t>
      </w:r>
      <w:r w:rsidR="00D41E91">
        <w:rPr>
          <w:rFonts w:asciiTheme="minorHAnsi" w:hAnsiTheme="minorHAnsi" w:cs="Arial"/>
          <w:iCs/>
          <w:sz w:val="22"/>
          <w:szCs w:val="22"/>
        </w:rPr>
        <w:t>:</w:t>
      </w:r>
    </w:p>
    <w:p w14:paraId="38331EC9" w14:textId="77777777" w:rsidR="00D41E91" w:rsidRPr="005F504A" w:rsidRDefault="00D41E91" w:rsidP="00D41E91">
      <w:pPr>
        <w:spacing w:line="276" w:lineRule="auto"/>
        <w:ind w:right="-476"/>
        <w:jc w:val="both"/>
        <w:rPr>
          <w:rFonts w:asciiTheme="minorHAnsi" w:hAnsiTheme="minorHAnsi" w:cs="Arial"/>
          <w:iCs/>
          <w:sz w:val="22"/>
          <w:szCs w:val="22"/>
        </w:rPr>
      </w:pPr>
    </w:p>
    <w:p w14:paraId="2EAC14B9" w14:textId="77777777" w:rsidR="003126B1" w:rsidRPr="00F82095" w:rsidRDefault="007D3D3E" w:rsidP="00C208E9">
      <w:pPr>
        <w:numPr>
          <w:ilvl w:val="1"/>
          <w:numId w:val="2"/>
        </w:num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NPPF</w:t>
      </w:r>
    </w:p>
    <w:p w14:paraId="1AA3C0F2" w14:textId="7DA4F23B" w:rsidR="005F378C" w:rsidRPr="00F82095" w:rsidRDefault="005F378C" w:rsidP="00D1365E">
      <w:pPr>
        <w:spacing w:line="276" w:lineRule="auto"/>
        <w:ind w:right="-476"/>
        <w:jc w:val="both"/>
        <w:rPr>
          <w:rFonts w:asciiTheme="minorHAnsi" w:hAnsiTheme="minorHAnsi" w:cs="Arial"/>
          <w:iCs/>
          <w:sz w:val="22"/>
          <w:szCs w:val="22"/>
        </w:rPr>
      </w:pPr>
    </w:p>
    <w:p w14:paraId="17AEAC31" w14:textId="43C8BB72"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8,</w:t>
      </w:r>
      <w:r w:rsidRPr="00F82095">
        <w:rPr>
          <w:rFonts w:asciiTheme="minorHAnsi" w:hAnsiTheme="minorHAnsi"/>
          <w:sz w:val="22"/>
          <w:szCs w:val="22"/>
        </w:rPr>
        <w:t xml:space="preserve"> which  defines ‘sustainable development’ as having three dimensions; economic, social and environmental</w:t>
      </w:r>
    </w:p>
    <w:p w14:paraId="58280E7C" w14:textId="5CA2BBCA"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1</w:t>
      </w:r>
      <w:r w:rsidR="00C73639">
        <w:rPr>
          <w:rFonts w:asciiTheme="minorHAnsi" w:hAnsiTheme="minorHAnsi"/>
          <w:sz w:val="22"/>
          <w:szCs w:val="22"/>
        </w:rPr>
        <w:t>0</w:t>
      </w:r>
      <w:r w:rsidRPr="00F82095">
        <w:rPr>
          <w:rFonts w:asciiTheme="minorHAnsi" w:hAnsiTheme="minorHAnsi"/>
          <w:sz w:val="22"/>
          <w:szCs w:val="22"/>
        </w:rPr>
        <w:t xml:space="preserve"> and the presumption in favour of sustainable development, which states that “For decision-taking this means: </w:t>
      </w:r>
      <w:r w:rsidR="00C73639">
        <w:rPr>
          <w:rFonts w:asciiTheme="minorHAnsi" w:hAnsiTheme="minorHAnsi"/>
          <w:sz w:val="22"/>
          <w:szCs w:val="22"/>
        </w:rPr>
        <w:t xml:space="preserve"> </w:t>
      </w:r>
      <w:r w:rsidR="00C73639" w:rsidRPr="00C73639">
        <w:rPr>
          <w:rFonts w:asciiTheme="minorHAnsi" w:hAnsiTheme="minorHAnsi"/>
          <w:sz w:val="22"/>
          <w:szCs w:val="22"/>
        </w:rPr>
        <w:t>approving development proposals that accord with an up-to-date development plan without delay; or d) where there are no relevant development plan policies, or the policies which are most important for determining the application are out-of-date7 , granting permission unless: i. the application of policies in this Framework that protect areas or assets of particular importance provides a clear reason for re</w:t>
      </w:r>
      <w:r w:rsidR="00C73639">
        <w:rPr>
          <w:rFonts w:asciiTheme="minorHAnsi" w:hAnsiTheme="minorHAnsi"/>
          <w:sz w:val="22"/>
          <w:szCs w:val="22"/>
        </w:rPr>
        <w:t>fusing the development proposed</w:t>
      </w:r>
      <w:r w:rsidR="00C73639" w:rsidRPr="00C73639">
        <w:rPr>
          <w:rFonts w:asciiTheme="minorHAnsi" w:hAnsiTheme="minorHAnsi"/>
          <w:sz w:val="22"/>
          <w:szCs w:val="22"/>
        </w:rPr>
        <w:t xml:space="preserve"> ; or ii. any adverse impacts of doing so would significantly and demonstrably outweigh the benefits, when assessed against the policies in this Framework taken as a whole</w:t>
      </w:r>
      <w:r w:rsidRPr="00F82095">
        <w:rPr>
          <w:rFonts w:asciiTheme="minorHAnsi" w:hAnsiTheme="minorHAnsi"/>
          <w:sz w:val="22"/>
          <w:szCs w:val="22"/>
        </w:rPr>
        <w:t>”.</w:t>
      </w:r>
    </w:p>
    <w:p w14:paraId="0BFA05B7" w14:textId="474F99CF"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59</w:t>
      </w:r>
      <w:r w:rsidRPr="00F82095">
        <w:rPr>
          <w:rFonts w:asciiTheme="minorHAnsi" w:hAnsiTheme="minorHAnsi"/>
          <w:sz w:val="22"/>
          <w:szCs w:val="22"/>
        </w:rPr>
        <w:t xml:space="preserve"> which sets out actions for local planning authorities to “boost significantly the supply of housing”.</w:t>
      </w:r>
    </w:p>
    <w:p w14:paraId="032C7BB2" w14:textId="631F913D"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68</w:t>
      </w:r>
      <w:r w:rsidRPr="00F82095">
        <w:rPr>
          <w:rFonts w:asciiTheme="minorHAnsi" w:hAnsiTheme="minorHAnsi"/>
          <w:sz w:val="22"/>
          <w:szCs w:val="22"/>
        </w:rPr>
        <w:t xml:space="preserve"> which requires local planning authorities to plan for a mix of housing based on current and future demographic needs, market trends etc.</w:t>
      </w:r>
    </w:p>
    <w:p w14:paraId="611D59C9" w14:textId="258F643B"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124</w:t>
      </w:r>
      <w:r w:rsidRPr="00F82095">
        <w:rPr>
          <w:rFonts w:asciiTheme="minorHAnsi" w:hAnsiTheme="minorHAnsi"/>
          <w:sz w:val="22"/>
          <w:szCs w:val="22"/>
        </w:rPr>
        <w:t xml:space="preserve"> which states that “</w:t>
      </w:r>
      <w:r w:rsidR="00C73639" w:rsidRPr="00C73639">
        <w:rPr>
          <w:rFonts w:asciiTheme="minorHAnsi" w:hAnsiTheme="minorHAnsi"/>
          <w:sz w:val="22"/>
          <w:szCs w:val="22"/>
        </w:rPr>
        <w:t>The creation of high quality buildings and places is fundamental to what the planning and dev</w:t>
      </w:r>
      <w:r w:rsidR="00C73639">
        <w:rPr>
          <w:rFonts w:asciiTheme="minorHAnsi" w:hAnsiTheme="minorHAnsi"/>
          <w:sz w:val="22"/>
          <w:szCs w:val="22"/>
        </w:rPr>
        <w:t>elopment process should achieve</w:t>
      </w:r>
      <w:r w:rsidRPr="00F82095">
        <w:rPr>
          <w:rFonts w:asciiTheme="minorHAnsi" w:hAnsiTheme="minorHAnsi"/>
          <w:sz w:val="22"/>
          <w:szCs w:val="22"/>
        </w:rPr>
        <w:t>”.</w:t>
      </w:r>
    </w:p>
    <w:p w14:paraId="0955226E" w14:textId="1FBA23F6" w:rsidR="00D1365E" w:rsidRPr="001F30AB" w:rsidRDefault="00D1365E" w:rsidP="001F30AB">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1F30AB">
        <w:rPr>
          <w:rFonts w:asciiTheme="minorHAnsi" w:hAnsiTheme="minorHAnsi"/>
          <w:sz w:val="22"/>
          <w:szCs w:val="22"/>
        </w:rPr>
        <w:t>131</w:t>
      </w:r>
      <w:r w:rsidRPr="00F82095">
        <w:rPr>
          <w:rFonts w:asciiTheme="minorHAnsi" w:hAnsiTheme="minorHAnsi"/>
          <w:sz w:val="22"/>
          <w:szCs w:val="22"/>
        </w:rPr>
        <w:t xml:space="preserve"> which states that “</w:t>
      </w:r>
      <w:r w:rsidR="001F30AB" w:rsidRPr="001F30AB">
        <w:rPr>
          <w:rFonts w:asciiTheme="minorHAnsi" w:hAnsiTheme="minorHAnsi"/>
          <w:sz w:val="22"/>
          <w:szCs w:val="22"/>
        </w:rPr>
        <w:t>In determining applications, great weight should be given to outstanding or innovative designs which promote high levels of sustainability, or help raise the standard of design more generally in an area, so long as they fit in with the overall form and layout of their surroundings</w:t>
      </w:r>
      <w:r w:rsidRPr="00F82095">
        <w:rPr>
          <w:rFonts w:asciiTheme="minorHAnsi" w:hAnsiTheme="minorHAnsi"/>
          <w:sz w:val="22"/>
          <w:szCs w:val="22"/>
        </w:rPr>
        <w:t>”.</w:t>
      </w:r>
    </w:p>
    <w:p w14:paraId="4DA3DD16" w14:textId="4AF80AB7"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1</w:t>
      </w:r>
      <w:r w:rsidR="001F30AB">
        <w:rPr>
          <w:rFonts w:asciiTheme="minorHAnsi" w:hAnsiTheme="minorHAnsi"/>
          <w:sz w:val="22"/>
          <w:szCs w:val="22"/>
        </w:rPr>
        <w:t>89</w:t>
      </w:r>
      <w:r w:rsidRPr="00F82095">
        <w:rPr>
          <w:rFonts w:asciiTheme="minorHAnsi" w:hAnsiTheme="minorHAnsi"/>
          <w:sz w:val="22"/>
          <w:szCs w:val="22"/>
        </w:rPr>
        <w:t xml:space="preserve"> which provides guidance to applicants on the approach that should be taken to assessing the potential impact of a proposal on a Heritage Asset.</w:t>
      </w:r>
    </w:p>
    <w:p w14:paraId="2CB59482" w14:textId="673D2C91" w:rsidR="00D1365E" w:rsidRPr="00F82095" w:rsidRDefault="00D1365E" w:rsidP="00D1365E">
      <w:pPr>
        <w:numPr>
          <w:ilvl w:val="2"/>
          <w:numId w:val="2"/>
        </w:numPr>
        <w:spacing w:line="276" w:lineRule="auto"/>
        <w:ind w:right="-476"/>
        <w:jc w:val="both"/>
        <w:rPr>
          <w:rFonts w:asciiTheme="minorHAnsi" w:hAnsiTheme="minorHAnsi"/>
          <w:sz w:val="22"/>
          <w:szCs w:val="22"/>
        </w:rPr>
      </w:pPr>
      <w:r w:rsidRPr="00F82095">
        <w:rPr>
          <w:rFonts w:asciiTheme="minorHAnsi" w:hAnsiTheme="minorHAnsi"/>
          <w:sz w:val="22"/>
          <w:szCs w:val="22"/>
        </w:rPr>
        <w:t>Paragraph 1</w:t>
      </w:r>
      <w:r w:rsidR="001F30AB">
        <w:rPr>
          <w:rFonts w:asciiTheme="minorHAnsi" w:hAnsiTheme="minorHAnsi"/>
          <w:sz w:val="22"/>
          <w:szCs w:val="22"/>
        </w:rPr>
        <w:t>92</w:t>
      </w:r>
      <w:r w:rsidRPr="00F82095">
        <w:rPr>
          <w:rFonts w:asciiTheme="minorHAnsi" w:hAnsiTheme="minorHAnsi"/>
          <w:sz w:val="22"/>
          <w:szCs w:val="22"/>
        </w:rPr>
        <w:t xml:space="preserve"> which set</w:t>
      </w:r>
      <w:r w:rsidR="00F82095">
        <w:rPr>
          <w:rFonts w:asciiTheme="minorHAnsi" w:hAnsiTheme="minorHAnsi"/>
          <w:sz w:val="22"/>
          <w:szCs w:val="22"/>
        </w:rPr>
        <w:t>s</w:t>
      </w:r>
      <w:r w:rsidRPr="00F82095">
        <w:rPr>
          <w:rFonts w:asciiTheme="minorHAnsi" w:hAnsiTheme="minorHAnsi"/>
          <w:sz w:val="22"/>
          <w:szCs w:val="22"/>
        </w:rPr>
        <w:t xml:space="preserve"> out the approach local planning authorities should take to determining planning applications that affect a Heritage Asset.</w:t>
      </w:r>
    </w:p>
    <w:p w14:paraId="510C3B8D" w14:textId="04892181" w:rsidR="003126B1" w:rsidRPr="00F82095" w:rsidRDefault="003126B1" w:rsidP="00C208E9">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cs="Arial"/>
          <w:iCs/>
          <w:sz w:val="22"/>
          <w:szCs w:val="22"/>
        </w:rPr>
        <w:t>P</w:t>
      </w:r>
      <w:r w:rsidR="008F3534" w:rsidRPr="00F82095">
        <w:rPr>
          <w:rFonts w:asciiTheme="minorHAnsi" w:hAnsiTheme="minorHAnsi" w:cs="Arial"/>
          <w:iCs/>
          <w:sz w:val="22"/>
          <w:szCs w:val="22"/>
        </w:rPr>
        <w:t>aragraph</w:t>
      </w:r>
      <w:r w:rsidR="00FF4839">
        <w:rPr>
          <w:rFonts w:asciiTheme="minorHAnsi" w:hAnsiTheme="minorHAnsi" w:cs="Arial"/>
          <w:iCs/>
          <w:sz w:val="22"/>
          <w:szCs w:val="22"/>
        </w:rPr>
        <w:t>s</w:t>
      </w:r>
      <w:r w:rsidR="008F3534" w:rsidRPr="00F82095">
        <w:rPr>
          <w:rFonts w:asciiTheme="minorHAnsi" w:hAnsiTheme="minorHAnsi" w:cs="Arial"/>
          <w:iCs/>
          <w:sz w:val="22"/>
          <w:szCs w:val="22"/>
        </w:rPr>
        <w:t xml:space="preserve"> 1</w:t>
      </w:r>
      <w:r w:rsidR="001F30AB">
        <w:rPr>
          <w:rFonts w:asciiTheme="minorHAnsi" w:hAnsiTheme="minorHAnsi" w:cs="Arial"/>
          <w:iCs/>
          <w:sz w:val="22"/>
          <w:szCs w:val="22"/>
        </w:rPr>
        <w:t>93</w:t>
      </w:r>
      <w:r w:rsidR="00FF4839">
        <w:rPr>
          <w:rFonts w:asciiTheme="minorHAnsi" w:hAnsiTheme="minorHAnsi" w:cs="Arial"/>
          <w:iCs/>
          <w:sz w:val="22"/>
          <w:szCs w:val="22"/>
        </w:rPr>
        <w:t>-196</w:t>
      </w:r>
      <w:r w:rsidR="008F3534" w:rsidRPr="00F82095">
        <w:rPr>
          <w:rFonts w:asciiTheme="minorHAnsi" w:hAnsiTheme="minorHAnsi" w:cs="Arial"/>
          <w:iCs/>
          <w:sz w:val="22"/>
          <w:szCs w:val="22"/>
        </w:rPr>
        <w:t xml:space="preserve"> </w:t>
      </w:r>
      <w:r w:rsidR="00FF4839">
        <w:rPr>
          <w:rFonts w:asciiTheme="minorHAnsi" w:hAnsiTheme="minorHAnsi" w:cs="Arial"/>
          <w:iCs/>
          <w:sz w:val="22"/>
          <w:szCs w:val="22"/>
        </w:rPr>
        <w:t xml:space="preserve">which </w:t>
      </w:r>
      <w:r w:rsidRPr="00F82095">
        <w:rPr>
          <w:rFonts w:asciiTheme="minorHAnsi" w:hAnsiTheme="minorHAnsi" w:cs="Arial"/>
          <w:iCs/>
          <w:sz w:val="22"/>
          <w:szCs w:val="22"/>
        </w:rPr>
        <w:t>advi</w:t>
      </w:r>
      <w:r w:rsidR="00FF4839">
        <w:rPr>
          <w:rFonts w:asciiTheme="minorHAnsi" w:hAnsiTheme="minorHAnsi" w:cs="Arial"/>
          <w:iCs/>
          <w:sz w:val="22"/>
          <w:szCs w:val="22"/>
        </w:rPr>
        <w:t>s</w:t>
      </w:r>
      <w:r w:rsidRPr="00F82095">
        <w:rPr>
          <w:rFonts w:asciiTheme="minorHAnsi" w:hAnsiTheme="minorHAnsi" w:cs="Arial"/>
          <w:iCs/>
          <w:sz w:val="22"/>
          <w:szCs w:val="22"/>
        </w:rPr>
        <w:t>e</w:t>
      </w:r>
      <w:r w:rsidR="00FF4839">
        <w:rPr>
          <w:rFonts w:asciiTheme="minorHAnsi" w:hAnsiTheme="minorHAnsi" w:cs="Arial"/>
          <w:iCs/>
          <w:sz w:val="22"/>
          <w:szCs w:val="22"/>
        </w:rPr>
        <w:t>s</w:t>
      </w:r>
      <w:r w:rsidRPr="00F82095">
        <w:rPr>
          <w:rFonts w:asciiTheme="minorHAnsi" w:hAnsiTheme="minorHAnsi" w:cs="Arial"/>
          <w:iCs/>
          <w:sz w:val="22"/>
          <w:szCs w:val="22"/>
        </w:rPr>
        <w:t xml:space="preserve"> </w:t>
      </w:r>
      <w:r w:rsidR="00FF4839">
        <w:rPr>
          <w:rFonts w:asciiTheme="minorHAnsi" w:hAnsiTheme="minorHAnsi" w:cs="Arial"/>
          <w:iCs/>
          <w:sz w:val="22"/>
          <w:szCs w:val="22"/>
        </w:rPr>
        <w:t xml:space="preserve">on considering impacts on heritage assets and states </w:t>
      </w:r>
      <w:r w:rsidR="008F3534" w:rsidRPr="00F82095">
        <w:rPr>
          <w:rFonts w:asciiTheme="minorHAnsi" w:hAnsiTheme="minorHAnsi" w:cs="Arial"/>
          <w:iCs/>
          <w:sz w:val="22"/>
          <w:szCs w:val="22"/>
        </w:rPr>
        <w:t>that</w:t>
      </w:r>
      <w:r w:rsidR="00FF4839">
        <w:rPr>
          <w:rFonts w:asciiTheme="minorHAnsi" w:hAnsiTheme="minorHAnsi" w:cs="Arial"/>
          <w:iCs/>
          <w:sz w:val="22"/>
          <w:szCs w:val="22"/>
        </w:rPr>
        <w:t>,</w:t>
      </w:r>
      <w:r w:rsidR="008F3534" w:rsidRPr="00F82095">
        <w:rPr>
          <w:rFonts w:asciiTheme="minorHAnsi" w:hAnsiTheme="minorHAnsi" w:cs="Arial"/>
          <w:iCs/>
          <w:sz w:val="22"/>
          <w:szCs w:val="22"/>
        </w:rPr>
        <w:t xml:space="preserve"> when planning decision makers are considering the impact of a proposed development on the significance of a designated heritage asset, weight should be given </w:t>
      </w:r>
      <w:r w:rsidR="00E57836" w:rsidRPr="00F82095">
        <w:rPr>
          <w:rFonts w:asciiTheme="minorHAnsi" w:hAnsiTheme="minorHAnsi" w:cs="Arial"/>
          <w:iCs/>
          <w:sz w:val="22"/>
          <w:szCs w:val="22"/>
        </w:rPr>
        <w:t xml:space="preserve">to </w:t>
      </w:r>
      <w:r w:rsidR="008F3534" w:rsidRPr="00F82095">
        <w:rPr>
          <w:rFonts w:asciiTheme="minorHAnsi" w:hAnsiTheme="minorHAnsi" w:cs="Arial"/>
          <w:iCs/>
          <w:sz w:val="22"/>
          <w:szCs w:val="22"/>
        </w:rPr>
        <w:t>the asset’s conservation.</w:t>
      </w:r>
    </w:p>
    <w:p w14:paraId="195D1D01" w14:textId="4E12835C"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cs="Arial"/>
          <w:iCs/>
          <w:sz w:val="22"/>
          <w:szCs w:val="22"/>
        </w:rPr>
        <w:t xml:space="preserve">Paragraphs </w:t>
      </w:r>
      <w:r w:rsidR="001F30AB">
        <w:rPr>
          <w:rFonts w:asciiTheme="minorHAnsi" w:hAnsiTheme="minorHAnsi"/>
          <w:sz w:val="22"/>
          <w:szCs w:val="22"/>
        </w:rPr>
        <w:t>200-201</w:t>
      </w:r>
      <w:r w:rsidRPr="00F82095">
        <w:rPr>
          <w:rFonts w:asciiTheme="minorHAnsi" w:hAnsiTheme="minorHAnsi"/>
          <w:sz w:val="22"/>
          <w:szCs w:val="22"/>
        </w:rPr>
        <w:t xml:space="preserve"> which explain</w:t>
      </w:r>
      <w:r w:rsidR="00F82095">
        <w:rPr>
          <w:rFonts w:asciiTheme="minorHAnsi" w:hAnsiTheme="minorHAnsi"/>
          <w:sz w:val="22"/>
          <w:szCs w:val="22"/>
        </w:rPr>
        <w:t>s</w:t>
      </w:r>
      <w:r w:rsidRPr="00F82095">
        <w:rPr>
          <w:rFonts w:asciiTheme="minorHAnsi" w:hAnsiTheme="minorHAnsi"/>
          <w:sz w:val="22"/>
          <w:szCs w:val="22"/>
        </w:rPr>
        <w:t xml:space="preserve"> the approach to be taken by LPAs to development within Conservation Areas</w:t>
      </w:r>
    </w:p>
    <w:p w14:paraId="0A47FB3F" w14:textId="1B361986" w:rsidR="00D1365E" w:rsidRPr="00F82095" w:rsidRDefault="00D1365E" w:rsidP="001F30AB">
      <w:pPr>
        <w:spacing w:line="276" w:lineRule="auto"/>
        <w:ind w:left="1881" w:right="-476"/>
        <w:jc w:val="both"/>
        <w:rPr>
          <w:rFonts w:asciiTheme="minorHAnsi" w:hAnsiTheme="minorHAnsi" w:cs="Arial"/>
          <w:iCs/>
          <w:sz w:val="22"/>
          <w:szCs w:val="22"/>
        </w:rPr>
      </w:pPr>
    </w:p>
    <w:p w14:paraId="0BAD4114" w14:textId="77777777" w:rsidR="005F378C" w:rsidRPr="005F504A" w:rsidRDefault="005F378C" w:rsidP="00D1365E">
      <w:pPr>
        <w:spacing w:line="276" w:lineRule="auto"/>
        <w:ind w:left="1800" w:right="-476"/>
        <w:jc w:val="both"/>
        <w:rPr>
          <w:rFonts w:asciiTheme="minorHAnsi" w:hAnsiTheme="minorHAnsi" w:cs="Arial"/>
          <w:iCs/>
          <w:sz w:val="22"/>
          <w:szCs w:val="22"/>
        </w:rPr>
      </w:pPr>
    </w:p>
    <w:p w14:paraId="10A6549D" w14:textId="18DFBB3C" w:rsidR="007D3D3E" w:rsidRPr="005F504A" w:rsidRDefault="007D3D3E" w:rsidP="00BA3AC7">
      <w:pPr>
        <w:numPr>
          <w:ilvl w:val="1"/>
          <w:numId w:val="2"/>
        </w:num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PPG</w:t>
      </w:r>
    </w:p>
    <w:p w14:paraId="5808D54A" w14:textId="77777777" w:rsidR="00BA3AC7" w:rsidRPr="005F504A" w:rsidRDefault="007D3D3E" w:rsidP="005F504A">
      <w:pPr>
        <w:numPr>
          <w:ilvl w:val="2"/>
          <w:numId w:val="2"/>
        </w:numPr>
        <w:spacing w:line="276" w:lineRule="auto"/>
        <w:ind w:right="-476"/>
        <w:jc w:val="both"/>
        <w:rPr>
          <w:rFonts w:asciiTheme="minorHAnsi" w:hAnsiTheme="minorHAnsi"/>
          <w:sz w:val="22"/>
          <w:szCs w:val="22"/>
        </w:rPr>
      </w:pPr>
      <w:r w:rsidRPr="005F504A">
        <w:rPr>
          <w:rFonts w:asciiTheme="minorHAnsi" w:hAnsiTheme="minorHAnsi"/>
          <w:sz w:val="22"/>
          <w:szCs w:val="22"/>
        </w:rPr>
        <w:t>Paragraph: 008</w:t>
      </w:r>
      <w:r w:rsidR="00BA3AC7" w:rsidRPr="005F504A">
        <w:rPr>
          <w:rFonts w:asciiTheme="minorHAnsi" w:hAnsiTheme="minorHAnsi"/>
          <w:sz w:val="22"/>
          <w:szCs w:val="22"/>
        </w:rPr>
        <w:t xml:space="preserve"> Reference ID: 18a-008-20140306 Paragraph: 009 Reference ID: 18a-009-20140306 and the guidance on ‘significance’</w:t>
      </w:r>
      <w:r w:rsidR="005F504A" w:rsidRPr="005F504A">
        <w:rPr>
          <w:rFonts w:asciiTheme="minorHAnsi" w:hAnsiTheme="minorHAnsi"/>
          <w:sz w:val="22"/>
          <w:szCs w:val="22"/>
        </w:rPr>
        <w:t xml:space="preserve"> in terms of heritage;</w:t>
      </w:r>
    </w:p>
    <w:p w14:paraId="65EB51F2" w14:textId="77777777" w:rsidR="005F504A" w:rsidRPr="005F504A" w:rsidRDefault="007D3D3E" w:rsidP="005F504A">
      <w:pPr>
        <w:numPr>
          <w:ilvl w:val="2"/>
          <w:numId w:val="2"/>
        </w:numPr>
        <w:spacing w:line="276" w:lineRule="auto"/>
        <w:ind w:right="-476"/>
        <w:jc w:val="both"/>
        <w:rPr>
          <w:rFonts w:asciiTheme="minorHAnsi" w:hAnsiTheme="minorHAnsi"/>
          <w:sz w:val="22"/>
          <w:szCs w:val="22"/>
        </w:rPr>
      </w:pPr>
      <w:r w:rsidRPr="005F504A">
        <w:rPr>
          <w:rFonts w:asciiTheme="minorHAnsi" w:hAnsiTheme="minorHAnsi"/>
          <w:sz w:val="22"/>
          <w:szCs w:val="22"/>
        </w:rPr>
        <w:t xml:space="preserve">Paragraph: 013 Reference ID: 18a-013-20140306 </w:t>
      </w:r>
      <w:r w:rsidR="00BA3AC7" w:rsidRPr="005F504A">
        <w:rPr>
          <w:rFonts w:asciiTheme="minorHAnsi" w:hAnsiTheme="minorHAnsi"/>
          <w:sz w:val="22"/>
          <w:szCs w:val="22"/>
        </w:rPr>
        <w:t>and the guidance on the setting of a heritage asset</w:t>
      </w:r>
      <w:r w:rsidR="005F504A" w:rsidRPr="005F504A">
        <w:rPr>
          <w:rFonts w:asciiTheme="minorHAnsi" w:hAnsiTheme="minorHAnsi"/>
          <w:sz w:val="22"/>
          <w:szCs w:val="22"/>
        </w:rPr>
        <w:t>;</w:t>
      </w:r>
    </w:p>
    <w:p w14:paraId="3CFE4CD2" w14:textId="77777777" w:rsidR="005F504A" w:rsidRPr="005F504A" w:rsidRDefault="005F504A" w:rsidP="005F504A">
      <w:pPr>
        <w:numPr>
          <w:ilvl w:val="2"/>
          <w:numId w:val="2"/>
        </w:numPr>
        <w:spacing w:line="276" w:lineRule="auto"/>
        <w:ind w:right="-476"/>
        <w:jc w:val="both"/>
        <w:rPr>
          <w:rFonts w:asciiTheme="minorHAnsi" w:hAnsiTheme="minorHAnsi"/>
          <w:sz w:val="22"/>
          <w:szCs w:val="22"/>
        </w:rPr>
      </w:pPr>
      <w:r w:rsidRPr="005F504A">
        <w:rPr>
          <w:rFonts w:asciiTheme="minorHAnsi" w:hAnsiTheme="minorHAnsi"/>
          <w:sz w:val="22"/>
          <w:szCs w:val="22"/>
        </w:rPr>
        <w:t>Paragraph: 023 Reference ID: 18a-023-20140306  and the guidance on the designation of a conservation area;</w:t>
      </w:r>
    </w:p>
    <w:p w14:paraId="02D5FBEB" w14:textId="77777777" w:rsidR="005F504A" w:rsidRPr="00F82095" w:rsidRDefault="007D3D3E" w:rsidP="005F504A">
      <w:pPr>
        <w:numPr>
          <w:ilvl w:val="2"/>
          <w:numId w:val="2"/>
        </w:numPr>
        <w:spacing w:line="276" w:lineRule="auto"/>
        <w:ind w:right="-476"/>
        <w:jc w:val="both"/>
        <w:rPr>
          <w:rFonts w:asciiTheme="minorHAnsi" w:hAnsiTheme="minorHAnsi"/>
          <w:sz w:val="22"/>
          <w:szCs w:val="22"/>
        </w:rPr>
      </w:pPr>
      <w:r w:rsidRPr="00F82095">
        <w:rPr>
          <w:rFonts w:asciiTheme="minorHAnsi" w:hAnsiTheme="minorHAnsi"/>
          <w:sz w:val="22"/>
          <w:szCs w:val="22"/>
        </w:rPr>
        <w:t>Paragraph: 018 Reference ID: 18a-018-20140306</w:t>
      </w:r>
      <w:r w:rsidR="005F504A" w:rsidRPr="00F82095">
        <w:rPr>
          <w:rFonts w:asciiTheme="minorHAnsi" w:hAnsiTheme="minorHAnsi"/>
          <w:sz w:val="22"/>
          <w:szCs w:val="22"/>
        </w:rPr>
        <w:t xml:space="preserve"> and the contribution of unlisted buildings to conservation areas;</w:t>
      </w:r>
    </w:p>
    <w:p w14:paraId="289EB6DF" w14:textId="51C0FF6D"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018 (Ref: 3-018-20140306) which sets out the importance of “assessing a site’s suitability, availability, and achievability”.</w:t>
      </w:r>
    </w:p>
    <w:p w14:paraId="681A49BD" w14:textId="74BAC1F7"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019 (Ref: 3-019-20140305) which provides guidance on the factors that should be considered when assessing the suitability of sites for development. It identifies considerations of physical limitations or problems such as access or infrastructure</w:t>
      </w:r>
      <w:r w:rsidR="00FF4839">
        <w:rPr>
          <w:rFonts w:asciiTheme="minorHAnsi" w:hAnsiTheme="minorHAnsi"/>
          <w:sz w:val="22"/>
          <w:szCs w:val="22"/>
        </w:rPr>
        <w:t>.</w:t>
      </w:r>
    </w:p>
    <w:p w14:paraId="4A0C37AF" w14:textId="77777777" w:rsidR="00D1365E" w:rsidRDefault="00D1365E" w:rsidP="00D1365E">
      <w:pPr>
        <w:numPr>
          <w:ilvl w:val="2"/>
          <w:numId w:val="2"/>
        </w:numPr>
        <w:spacing w:line="276" w:lineRule="auto"/>
        <w:ind w:right="-476"/>
        <w:jc w:val="both"/>
        <w:rPr>
          <w:rFonts w:asciiTheme="minorHAnsi" w:hAnsiTheme="minorHAnsi"/>
          <w:sz w:val="22"/>
          <w:szCs w:val="22"/>
        </w:rPr>
      </w:pPr>
      <w:r w:rsidRPr="00F82095">
        <w:rPr>
          <w:rFonts w:asciiTheme="minorHAnsi" w:hAnsiTheme="minorHAnsi"/>
          <w:sz w:val="22"/>
          <w:szCs w:val="22"/>
        </w:rPr>
        <w:t xml:space="preserve">Paragraph: 020 Reference ID: 18a-020-20140306 and public heritage benefits derived from developments.  </w:t>
      </w:r>
    </w:p>
    <w:p w14:paraId="5A1EB972" w14:textId="77777777" w:rsidR="00D41E91" w:rsidRPr="00F82095" w:rsidRDefault="00D41E91" w:rsidP="00D41E91">
      <w:pPr>
        <w:spacing w:line="276" w:lineRule="auto"/>
        <w:ind w:left="1881" w:right="-476"/>
        <w:jc w:val="both"/>
        <w:rPr>
          <w:rFonts w:asciiTheme="minorHAnsi" w:hAnsiTheme="minorHAnsi"/>
          <w:sz w:val="22"/>
          <w:szCs w:val="22"/>
        </w:rPr>
      </w:pPr>
    </w:p>
    <w:p w14:paraId="3671668F" w14:textId="77777777" w:rsidR="007D3D3E" w:rsidRPr="005F504A" w:rsidRDefault="007D3D3E" w:rsidP="007D3D3E">
      <w:pPr>
        <w:rPr>
          <w:rFonts w:asciiTheme="minorHAnsi" w:hAnsiTheme="minorHAnsi"/>
          <w:b/>
          <w:sz w:val="22"/>
          <w:szCs w:val="22"/>
        </w:rPr>
      </w:pPr>
    </w:p>
    <w:p w14:paraId="377842D5" w14:textId="77777777" w:rsidR="00002990" w:rsidRDefault="00002990"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Evidence</w:t>
      </w:r>
    </w:p>
    <w:p w14:paraId="1BA8B8C7" w14:textId="3BD85119" w:rsidR="00D212BC" w:rsidRPr="00D212BC" w:rsidRDefault="00002990"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The Council intends to produce evidence </w:t>
      </w:r>
      <w:r w:rsidR="00D212BC">
        <w:rPr>
          <w:rFonts w:asciiTheme="minorHAnsi" w:hAnsiTheme="minorHAnsi"/>
          <w:sz w:val="22"/>
          <w:szCs w:val="22"/>
        </w:rPr>
        <w:t xml:space="preserve">in </w:t>
      </w:r>
      <w:r w:rsidR="00D41E91">
        <w:rPr>
          <w:rFonts w:asciiTheme="minorHAnsi" w:hAnsiTheme="minorHAnsi"/>
          <w:sz w:val="22"/>
          <w:szCs w:val="22"/>
        </w:rPr>
        <w:t>relation to the following areas:</w:t>
      </w:r>
    </w:p>
    <w:p w14:paraId="0E190BE9" w14:textId="06D1F36B" w:rsidR="00890B64" w:rsidRPr="00890B64" w:rsidRDefault="00890B64" w:rsidP="00890B64">
      <w:pPr>
        <w:pStyle w:val="ListParagraph"/>
        <w:numPr>
          <w:ilvl w:val="2"/>
          <w:numId w:val="2"/>
        </w:numPr>
        <w:spacing w:line="276" w:lineRule="auto"/>
        <w:rPr>
          <w:rFonts w:asciiTheme="minorHAnsi" w:hAnsiTheme="minorHAnsi"/>
          <w:sz w:val="22"/>
          <w:szCs w:val="22"/>
        </w:rPr>
      </w:pPr>
      <w:r w:rsidRPr="00890B64">
        <w:rPr>
          <w:rFonts w:asciiTheme="minorHAnsi" w:hAnsiTheme="minorHAnsi"/>
          <w:sz w:val="22"/>
          <w:szCs w:val="22"/>
        </w:rPr>
        <w:t xml:space="preserve">Planning </w:t>
      </w:r>
    </w:p>
    <w:p w14:paraId="71EAA848" w14:textId="77777777" w:rsidR="00890B64" w:rsidRPr="00890B64" w:rsidRDefault="00890B64" w:rsidP="00890B64">
      <w:pPr>
        <w:pStyle w:val="ListParagraph"/>
        <w:numPr>
          <w:ilvl w:val="2"/>
          <w:numId w:val="2"/>
        </w:numPr>
        <w:spacing w:line="276" w:lineRule="auto"/>
        <w:rPr>
          <w:rFonts w:asciiTheme="minorHAnsi" w:hAnsiTheme="minorHAnsi"/>
          <w:sz w:val="22"/>
          <w:szCs w:val="22"/>
        </w:rPr>
      </w:pPr>
      <w:r w:rsidRPr="00890B64">
        <w:rPr>
          <w:rFonts w:asciiTheme="minorHAnsi" w:hAnsiTheme="minorHAnsi"/>
          <w:sz w:val="22"/>
          <w:szCs w:val="22"/>
        </w:rPr>
        <w:t>Architecture and design</w:t>
      </w:r>
    </w:p>
    <w:p w14:paraId="5561C641" w14:textId="2A7AD783" w:rsidR="00D212BC" w:rsidRPr="00890B64" w:rsidRDefault="00890B64" w:rsidP="003640B9">
      <w:pPr>
        <w:pStyle w:val="ListParagraph"/>
        <w:numPr>
          <w:ilvl w:val="2"/>
          <w:numId w:val="2"/>
        </w:numPr>
        <w:spacing w:line="276" w:lineRule="auto"/>
        <w:rPr>
          <w:rFonts w:asciiTheme="minorHAnsi" w:hAnsiTheme="minorHAnsi"/>
          <w:sz w:val="22"/>
          <w:szCs w:val="22"/>
          <w:u w:val="single"/>
        </w:rPr>
      </w:pPr>
      <w:r w:rsidRPr="00890B64">
        <w:rPr>
          <w:rFonts w:asciiTheme="minorHAnsi" w:hAnsiTheme="minorHAnsi"/>
          <w:sz w:val="22"/>
          <w:szCs w:val="22"/>
        </w:rPr>
        <w:t>Heritage and conservation</w:t>
      </w:r>
    </w:p>
    <w:p w14:paraId="19CAA76F" w14:textId="74ABFDD3" w:rsidR="00336257" w:rsidRPr="0036380C" w:rsidRDefault="00002990" w:rsidP="00C208E9">
      <w:pPr>
        <w:pStyle w:val="ListParagraph"/>
        <w:numPr>
          <w:ilvl w:val="1"/>
          <w:numId w:val="2"/>
        </w:numPr>
        <w:spacing w:line="276" w:lineRule="auto"/>
        <w:rPr>
          <w:rFonts w:asciiTheme="minorHAnsi" w:hAnsiTheme="minorHAnsi"/>
          <w:i/>
          <w:sz w:val="22"/>
          <w:szCs w:val="22"/>
          <w:u w:val="single"/>
        </w:rPr>
      </w:pPr>
      <w:r>
        <w:rPr>
          <w:rFonts w:asciiTheme="minorHAnsi" w:hAnsiTheme="minorHAnsi"/>
          <w:sz w:val="22"/>
          <w:szCs w:val="22"/>
        </w:rPr>
        <w:t>The Appellant intends to produce evidence as follows</w:t>
      </w:r>
      <w:r w:rsidR="00D41E91">
        <w:rPr>
          <w:rFonts w:asciiTheme="minorHAnsi" w:hAnsiTheme="minorHAnsi"/>
          <w:sz w:val="22"/>
          <w:szCs w:val="22"/>
        </w:rPr>
        <w:t>:</w:t>
      </w:r>
    </w:p>
    <w:p w14:paraId="0E860D9E" w14:textId="29490655" w:rsidR="00336257" w:rsidRPr="00645809"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 xml:space="preserve">Planning </w:t>
      </w:r>
    </w:p>
    <w:p w14:paraId="47C51408" w14:textId="057DF237" w:rsidR="00336257" w:rsidRPr="00645809"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Architecture</w:t>
      </w:r>
      <w:r w:rsidR="001F30AB">
        <w:rPr>
          <w:rFonts w:asciiTheme="minorHAnsi" w:hAnsiTheme="minorHAnsi"/>
          <w:sz w:val="22"/>
          <w:szCs w:val="22"/>
        </w:rPr>
        <w:t xml:space="preserve"> and design</w:t>
      </w:r>
    </w:p>
    <w:p w14:paraId="6E9E4222" w14:textId="77777777" w:rsidR="00336257" w:rsidRPr="00645809"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Heritage and conservation</w:t>
      </w:r>
    </w:p>
    <w:p w14:paraId="0B9D4D3D" w14:textId="77777777" w:rsidR="008A4287" w:rsidRPr="008F3534" w:rsidRDefault="008A4287" w:rsidP="00D212BC">
      <w:pPr>
        <w:pStyle w:val="ListParagraph"/>
        <w:spacing w:line="276" w:lineRule="auto"/>
        <w:ind w:left="1080"/>
        <w:rPr>
          <w:rFonts w:asciiTheme="minorHAnsi" w:hAnsiTheme="minorHAnsi"/>
          <w:i/>
          <w:sz w:val="22"/>
          <w:szCs w:val="22"/>
          <w:u w:val="single"/>
        </w:rPr>
      </w:pPr>
    </w:p>
    <w:p w14:paraId="2CA8CFAA" w14:textId="77777777" w:rsidR="00D12778" w:rsidRPr="00291BE4" w:rsidRDefault="00D12778"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Areas of Agreement</w:t>
      </w:r>
    </w:p>
    <w:p w14:paraId="63337091" w14:textId="75BC2A6F" w:rsidR="00EA2A9F" w:rsidRPr="004E6EDB" w:rsidRDefault="008D2BFB" w:rsidP="00C208E9">
      <w:pPr>
        <w:pStyle w:val="ListParagraph"/>
        <w:numPr>
          <w:ilvl w:val="1"/>
          <w:numId w:val="2"/>
        </w:numPr>
        <w:spacing w:line="276" w:lineRule="auto"/>
        <w:rPr>
          <w:rFonts w:asciiTheme="minorHAnsi" w:hAnsiTheme="minorHAnsi"/>
          <w:sz w:val="22"/>
          <w:szCs w:val="22"/>
          <w:u w:val="single"/>
        </w:rPr>
      </w:pPr>
      <w:r w:rsidRPr="004E6EDB">
        <w:rPr>
          <w:rFonts w:asciiTheme="minorHAnsi" w:hAnsiTheme="minorHAnsi"/>
          <w:sz w:val="22"/>
          <w:szCs w:val="22"/>
        </w:rPr>
        <w:t xml:space="preserve">The </w:t>
      </w:r>
      <w:r w:rsidR="00AF3D14">
        <w:rPr>
          <w:rFonts w:asciiTheme="minorHAnsi" w:hAnsiTheme="minorHAnsi"/>
          <w:sz w:val="22"/>
          <w:szCs w:val="22"/>
        </w:rPr>
        <w:t xml:space="preserve">principle of </w:t>
      </w:r>
      <w:r w:rsidR="00890B64">
        <w:rPr>
          <w:rFonts w:asciiTheme="minorHAnsi" w:hAnsiTheme="minorHAnsi"/>
          <w:sz w:val="22"/>
          <w:szCs w:val="22"/>
        </w:rPr>
        <w:t xml:space="preserve">some form of </w:t>
      </w:r>
      <w:r w:rsidR="00AF3D14">
        <w:rPr>
          <w:rFonts w:asciiTheme="minorHAnsi" w:hAnsiTheme="minorHAnsi"/>
          <w:sz w:val="22"/>
          <w:szCs w:val="22"/>
        </w:rPr>
        <w:t>development is acceptable in this location.</w:t>
      </w:r>
    </w:p>
    <w:p w14:paraId="47725347" w14:textId="0EEE7CAD" w:rsidR="00235C64" w:rsidRDefault="00AF3D14"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proposed dwellings meet the relevant space standards.</w:t>
      </w:r>
    </w:p>
    <w:p w14:paraId="20898599" w14:textId="0C83EE04" w:rsidR="00AF3D14" w:rsidRDefault="00AF3D14"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There will be no impact on any trees or their Root Protection Areas resulting from the development.</w:t>
      </w:r>
    </w:p>
    <w:p w14:paraId="6E31B6F6" w14:textId="6F47DD5D" w:rsidR="00AF3D14" w:rsidRDefault="00AF3D14"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 xml:space="preserve">The proposed landscaping </w:t>
      </w:r>
      <w:r w:rsidR="00890B64">
        <w:rPr>
          <w:rFonts w:asciiTheme="minorHAnsi" w:hAnsiTheme="minorHAnsi"/>
          <w:sz w:val="22"/>
          <w:szCs w:val="22"/>
        </w:rPr>
        <w:t>scheme and biodiversity measures are</w:t>
      </w:r>
      <w:r>
        <w:rPr>
          <w:rFonts w:asciiTheme="minorHAnsi" w:hAnsiTheme="minorHAnsi"/>
          <w:sz w:val="22"/>
          <w:szCs w:val="22"/>
        </w:rPr>
        <w:t xml:space="preserve"> acceptable.</w:t>
      </w:r>
    </w:p>
    <w:p w14:paraId="3C4ED9DC" w14:textId="14EFC78F" w:rsidR="00AF3D14" w:rsidRDefault="00AF3D14"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w:t>
      </w:r>
      <w:r w:rsidR="00890B64">
        <w:rPr>
          <w:rFonts w:asciiTheme="minorHAnsi" w:hAnsiTheme="minorHAnsi"/>
          <w:sz w:val="22"/>
          <w:szCs w:val="22"/>
        </w:rPr>
        <w:t xml:space="preserve"> proposed</w:t>
      </w:r>
      <w:r>
        <w:rPr>
          <w:rFonts w:asciiTheme="minorHAnsi" w:hAnsiTheme="minorHAnsi"/>
          <w:sz w:val="22"/>
          <w:szCs w:val="22"/>
        </w:rPr>
        <w:t xml:space="preserve"> sustainability </w:t>
      </w:r>
      <w:r w:rsidR="00890B64">
        <w:rPr>
          <w:rFonts w:asciiTheme="minorHAnsi" w:hAnsiTheme="minorHAnsi"/>
          <w:sz w:val="22"/>
          <w:szCs w:val="22"/>
        </w:rPr>
        <w:t>targets and measures are acceptable</w:t>
      </w:r>
      <w:r>
        <w:rPr>
          <w:rFonts w:asciiTheme="minorHAnsi" w:hAnsiTheme="minorHAnsi"/>
          <w:sz w:val="22"/>
          <w:szCs w:val="22"/>
        </w:rPr>
        <w:t>.</w:t>
      </w:r>
    </w:p>
    <w:p w14:paraId="7F6D2CB5" w14:textId="046EF533" w:rsidR="00AF3D14" w:rsidRDefault="00AF3D14"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 xml:space="preserve">The proposed cycle storage is in an appropriate location and </w:t>
      </w:r>
      <w:r w:rsidR="00890B64">
        <w:rPr>
          <w:rFonts w:asciiTheme="minorHAnsi" w:hAnsiTheme="minorHAnsi"/>
          <w:sz w:val="22"/>
          <w:szCs w:val="22"/>
        </w:rPr>
        <w:t>complies with</w:t>
      </w:r>
      <w:r>
        <w:rPr>
          <w:rFonts w:asciiTheme="minorHAnsi" w:hAnsiTheme="minorHAnsi"/>
          <w:sz w:val="22"/>
          <w:szCs w:val="22"/>
        </w:rPr>
        <w:t xml:space="preserve"> London Plan standards.</w:t>
      </w:r>
    </w:p>
    <w:p w14:paraId="5C2CA807" w14:textId="7F443C1F" w:rsidR="00AF3D14" w:rsidRDefault="009238B6"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 xml:space="preserve">There will be </w:t>
      </w:r>
      <w:r w:rsidRPr="009238B6">
        <w:rPr>
          <w:rFonts w:asciiTheme="minorHAnsi" w:hAnsiTheme="minorHAnsi"/>
          <w:sz w:val="22"/>
          <w:szCs w:val="22"/>
        </w:rPr>
        <w:t xml:space="preserve">no negative impact on the public highway through displacement of </w:t>
      </w:r>
      <w:r w:rsidR="00890B64">
        <w:rPr>
          <w:rFonts w:asciiTheme="minorHAnsi" w:hAnsiTheme="minorHAnsi"/>
          <w:sz w:val="22"/>
          <w:szCs w:val="22"/>
        </w:rPr>
        <w:t xml:space="preserve">existing </w:t>
      </w:r>
      <w:r w:rsidRPr="009238B6">
        <w:rPr>
          <w:rFonts w:asciiTheme="minorHAnsi" w:hAnsiTheme="minorHAnsi"/>
          <w:sz w:val="22"/>
          <w:szCs w:val="22"/>
        </w:rPr>
        <w:t>parking</w:t>
      </w:r>
      <w:r w:rsidR="00890B64">
        <w:rPr>
          <w:rFonts w:asciiTheme="minorHAnsi" w:hAnsiTheme="minorHAnsi"/>
          <w:sz w:val="22"/>
          <w:szCs w:val="22"/>
        </w:rPr>
        <w:t xml:space="preserve"> from the carpark</w:t>
      </w:r>
      <w:r>
        <w:rPr>
          <w:rFonts w:asciiTheme="minorHAnsi" w:hAnsiTheme="minorHAnsi"/>
          <w:sz w:val="22"/>
          <w:szCs w:val="22"/>
        </w:rPr>
        <w:t>.</w:t>
      </w:r>
    </w:p>
    <w:p w14:paraId="3291DA69" w14:textId="084444F5" w:rsidR="009238B6" w:rsidRDefault="009238B6"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I</w:t>
      </w:r>
      <w:r w:rsidRPr="009238B6">
        <w:rPr>
          <w:rFonts w:asciiTheme="minorHAnsi" w:hAnsiTheme="minorHAnsi"/>
          <w:sz w:val="22"/>
          <w:szCs w:val="22"/>
        </w:rPr>
        <w:t>t is unlikely that there w</w:t>
      </w:r>
      <w:r>
        <w:rPr>
          <w:rFonts w:asciiTheme="minorHAnsi" w:hAnsiTheme="minorHAnsi"/>
          <w:sz w:val="22"/>
          <w:szCs w:val="22"/>
        </w:rPr>
        <w:t>ill</w:t>
      </w:r>
      <w:r w:rsidRPr="009238B6">
        <w:rPr>
          <w:rFonts w:asciiTheme="minorHAnsi" w:hAnsiTheme="minorHAnsi"/>
          <w:sz w:val="22"/>
          <w:szCs w:val="22"/>
        </w:rPr>
        <w:t xml:space="preserve"> be significant adverse impact on bats in the local surrounding area</w:t>
      </w:r>
      <w:r>
        <w:rPr>
          <w:rFonts w:asciiTheme="minorHAnsi" w:hAnsiTheme="minorHAnsi"/>
          <w:sz w:val="22"/>
          <w:szCs w:val="22"/>
        </w:rPr>
        <w:t xml:space="preserve"> and the proposed ecological mitigation measures are sufficient.</w:t>
      </w:r>
    </w:p>
    <w:p w14:paraId="3E161D35" w14:textId="25B8A8A5" w:rsidR="009238B6" w:rsidRDefault="009238B6"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Basement Impact Assessment meets the Council’s requirements</w:t>
      </w:r>
      <w:r w:rsidR="00890B64">
        <w:rPr>
          <w:rFonts w:asciiTheme="minorHAnsi" w:hAnsiTheme="minorHAnsi"/>
          <w:sz w:val="22"/>
          <w:szCs w:val="22"/>
        </w:rPr>
        <w:t xml:space="preserve"> and the proposed underpinning of the adjacent listed building is acceptable.</w:t>
      </w:r>
    </w:p>
    <w:p w14:paraId="162AFA96" w14:textId="2B51B9BB" w:rsidR="009238B6" w:rsidRDefault="009238B6"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9238B6">
        <w:rPr>
          <w:rFonts w:asciiTheme="minorHAnsi" w:hAnsiTheme="minorHAnsi"/>
          <w:sz w:val="22"/>
          <w:szCs w:val="22"/>
        </w:rPr>
        <w:t>The proposals will not have an adverse impact on the openness of Metropolitan Open Land.</w:t>
      </w:r>
    </w:p>
    <w:p w14:paraId="2E7FAFCB" w14:textId="02C9014F" w:rsidR="00890B64" w:rsidRPr="00890B64" w:rsidRDefault="009238B6" w:rsidP="007E7E3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890B64">
        <w:rPr>
          <w:rFonts w:asciiTheme="minorHAnsi" w:hAnsiTheme="minorHAnsi"/>
          <w:sz w:val="22"/>
          <w:szCs w:val="22"/>
        </w:rPr>
        <w:t xml:space="preserve">The proposals are acceptable </w:t>
      </w:r>
      <w:r w:rsidR="00890B64" w:rsidRPr="00890B64">
        <w:rPr>
          <w:rFonts w:asciiTheme="minorHAnsi" w:hAnsiTheme="minorHAnsi"/>
          <w:sz w:val="22"/>
          <w:szCs w:val="22"/>
        </w:rPr>
        <w:t>in</w:t>
      </w:r>
      <w:r w:rsidRPr="00890B64">
        <w:rPr>
          <w:rFonts w:asciiTheme="minorHAnsi" w:hAnsiTheme="minorHAnsi"/>
          <w:sz w:val="22"/>
          <w:szCs w:val="22"/>
        </w:rPr>
        <w:t xml:space="preserve"> </w:t>
      </w:r>
      <w:r w:rsidR="00890B64" w:rsidRPr="00890B64">
        <w:rPr>
          <w:rFonts w:asciiTheme="minorHAnsi" w:hAnsiTheme="minorHAnsi"/>
          <w:sz w:val="22"/>
          <w:szCs w:val="22"/>
        </w:rPr>
        <w:t xml:space="preserve">terms of access to </w:t>
      </w:r>
      <w:r w:rsidRPr="00890B64">
        <w:rPr>
          <w:rFonts w:asciiTheme="minorHAnsi" w:hAnsiTheme="minorHAnsi"/>
          <w:sz w:val="22"/>
          <w:szCs w:val="22"/>
        </w:rPr>
        <w:t>daylight</w:t>
      </w:r>
      <w:r w:rsidR="00890B64" w:rsidRPr="00890B64">
        <w:rPr>
          <w:rFonts w:asciiTheme="minorHAnsi" w:hAnsiTheme="minorHAnsi"/>
          <w:sz w:val="22"/>
          <w:szCs w:val="22"/>
        </w:rPr>
        <w:t xml:space="preserve">, </w:t>
      </w:r>
      <w:r w:rsidRPr="00890B64">
        <w:rPr>
          <w:rFonts w:asciiTheme="minorHAnsi" w:hAnsiTheme="minorHAnsi"/>
          <w:sz w:val="22"/>
          <w:szCs w:val="22"/>
        </w:rPr>
        <w:t xml:space="preserve">sunlight </w:t>
      </w:r>
      <w:r w:rsidR="00890B64" w:rsidRPr="00890B64">
        <w:rPr>
          <w:rFonts w:asciiTheme="minorHAnsi" w:hAnsiTheme="minorHAnsi"/>
          <w:sz w:val="22"/>
          <w:szCs w:val="22"/>
        </w:rPr>
        <w:t>and outlook</w:t>
      </w:r>
      <w:r w:rsidRPr="00890B64">
        <w:rPr>
          <w:rFonts w:asciiTheme="minorHAnsi" w:hAnsiTheme="minorHAnsi"/>
          <w:sz w:val="22"/>
          <w:szCs w:val="22"/>
        </w:rPr>
        <w:t>.</w:t>
      </w:r>
    </w:p>
    <w:p w14:paraId="663413B9" w14:textId="6CC2706A" w:rsidR="009238B6" w:rsidRPr="00B964AF" w:rsidRDefault="008E5DBE" w:rsidP="00C208E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8E5DBE">
        <w:rPr>
          <w:rFonts w:asciiTheme="minorHAnsi" w:hAnsiTheme="minorHAnsi"/>
          <w:sz w:val="22"/>
          <w:szCs w:val="22"/>
        </w:rPr>
        <w:t xml:space="preserve">The Twentieth Century Society, Historic England, Ken Powell, Alan Powers and Lucy Archer (daughter of Raymond Erith) objected to the previous appeal schemes; all have </w:t>
      </w:r>
      <w:r w:rsidR="00892878">
        <w:rPr>
          <w:rFonts w:asciiTheme="minorHAnsi" w:hAnsiTheme="minorHAnsi"/>
          <w:sz w:val="22"/>
          <w:szCs w:val="22"/>
        </w:rPr>
        <w:t xml:space="preserve">now </w:t>
      </w:r>
      <w:r w:rsidRPr="008E5DBE">
        <w:rPr>
          <w:rFonts w:asciiTheme="minorHAnsi" w:hAnsiTheme="minorHAnsi"/>
          <w:sz w:val="22"/>
          <w:szCs w:val="22"/>
        </w:rPr>
        <w:t xml:space="preserve">written to </w:t>
      </w:r>
      <w:r w:rsidR="00892878">
        <w:rPr>
          <w:rFonts w:asciiTheme="minorHAnsi" w:hAnsiTheme="minorHAnsi"/>
          <w:sz w:val="22"/>
          <w:szCs w:val="22"/>
        </w:rPr>
        <w:t xml:space="preserve">the applicants to </w:t>
      </w:r>
      <w:r w:rsidRPr="008E5DBE">
        <w:rPr>
          <w:rFonts w:asciiTheme="minorHAnsi" w:hAnsiTheme="minorHAnsi"/>
          <w:sz w:val="22"/>
          <w:szCs w:val="22"/>
        </w:rPr>
        <w:t>express their support for the current proposals</w:t>
      </w:r>
      <w:r>
        <w:rPr>
          <w:rFonts w:asciiTheme="minorHAnsi" w:hAnsiTheme="minorHAnsi"/>
          <w:sz w:val="22"/>
          <w:szCs w:val="22"/>
        </w:rPr>
        <w:t>.</w:t>
      </w:r>
    </w:p>
    <w:p w14:paraId="3C7D210A" w14:textId="48C0BCCF" w:rsidR="007B17BD" w:rsidRPr="00886DC2" w:rsidRDefault="007B17BD" w:rsidP="008E5DBE">
      <w:pPr>
        <w:pStyle w:val="ListParagraph"/>
        <w:widowControl w:val="0"/>
        <w:autoSpaceDE w:val="0"/>
        <w:autoSpaceDN w:val="0"/>
        <w:adjustRightInd w:val="0"/>
        <w:spacing w:line="276" w:lineRule="auto"/>
        <w:ind w:left="1881" w:right="-476"/>
        <w:jc w:val="both"/>
        <w:rPr>
          <w:rFonts w:asciiTheme="minorHAnsi" w:hAnsiTheme="minorHAnsi"/>
          <w:sz w:val="22"/>
          <w:szCs w:val="22"/>
        </w:rPr>
      </w:pPr>
    </w:p>
    <w:p w14:paraId="28B9786C" w14:textId="1A0FC996" w:rsidR="00886DC2" w:rsidRPr="00B964AF" w:rsidRDefault="00886DC2" w:rsidP="00645809">
      <w:pPr>
        <w:pStyle w:val="ListParagraph"/>
        <w:widowControl w:val="0"/>
        <w:autoSpaceDE w:val="0"/>
        <w:autoSpaceDN w:val="0"/>
        <w:adjustRightInd w:val="0"/>
        <w:spacing w:line="276" w:lineRule="auto"/>
        <w:ind w:left="1881" w:right="-476"/>
        <w:jc w:val="both"/>
        <w:rPr>
          <w:rFonts w:asciiTheme="minorHAnsi" w:hAnsiTheme="minorHAnsi"/>
          <w:sz w:val="22"/>
          <w:szCs w:val="22"/>
        </w:rPr>
      </w:pPr>
    </w:p>
    <w:p w14:paraId="5D57C57C" w14:textId="77777777" w:rsidR="00D12778" w:rsidRDefault="00D12778"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Areas of disagreement</w:t>
      </w:r>
    </w:p>
    <w:p w14:paraId="44451F56" w14:textId="4E58E6B9" w:rsidR="000123F9" w:rsidRPr="00E269DE" w:rsidRDefault="00515326" w:rsidP="00B664DF">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E269DE">
        <w:rPr>
          <w:rFonts w:asciiTheme="minorHAnsi" w:hAnsiTheme="minorHAnsi"/>
          <w:sz w:val="22"/>
          <w:szCs w:val="22"/>
        </w:rPr>
        <w:t xml:space="preserve">Whether </w:t>
      </w:r>
      <w:r w:rsidR="000123F9" w:rsidRPr="00E269DE">
        <w:rPr>
          <w:rFonts w:asciiTheme="minorHAnsi" w:hAnsiTheme="minorHAnsi"/>
          <w:sz w:val="22"/>
          <w:szCs w:val="22"/>
        </w:rPr>
        <w:t xml:space="preserve">the proposals are appropriate in terms of bulk, </w:t>
      </w:r>
      <w:r w:rsidR="006942BD" w:rsidRPr="00E269DE">
        <w:rPr>
          <w:rFonts w:asciiTheme="minorHAnsi" w:hAnsiTheme="minorHAnsi"/>
          <w:sz w:val="22"/>
          <w:szCs w:val="22"/>
        </w:rPr>
        <w:t>form</w:t>
      </w:r>
      <w:r w:rsidR="000123F9" w:rsidRPr="00E269DE">
        <w:rPr>
          <w:rFonts w:asciiTheme="minorHAnsi" w:hAnsiTheme="minorHAnsi"/>
          <w:sz w:val="22"/>
          <w:szCs w:val="22"/>
        </w:rPr>
        <w:t xml:space="preserve"> and detailed design;</w:t>
      </w:r>
    </w:p>
    <w:p w14:paraId="73042C24" w14:textId="758101ED" w:rsidR="000123F9" w:rsidRDefault="000123F9"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Whether any harm would be caused by the proposals to the setting of the listed building;</w:t>
      </w:r>
    </w:p>
    <w:p w14:paraId="00689F0A" w14:textId="6E87F672" w:rsidR="000123F9" w:rsidRDefault="000123F9"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Whether any harm would be caused by the proposals to the conservation area;</w:t>
      </w:r>
    </w:p>
    <w:p w14:paraId="2D3BBE86" w14:textId="77777777" w:rsidR="00D80D8E" w:rsidRPr="00515326" w:rsidRDefault="00D80D8E" w:rsidP="00D80D8E">
      <w:pPr>
        <w:pStyle w:val="ListParagraph"/>
        <w:widowControl w:val="0"/>
        <w:autoSpaceDE w:val="0"/>
        <w:autoSpaceDN w:val="0"/>
        <w:adjustRightInd w:val="0"/>
        <w:spacing w:line="276" w:lineRule="auto"/>
        <w:ind w:left="644" w:right="-476"/>
        <w:jc w:val="both"/>
        <w:rPr>
          <w:rFonts w:asciiTheme="minorHAnsi" w:hAnsiTheme="minorHAnsi"/>
          <w:sz w:val="22"/>
          <w:szCs w:val="22"/>
        </w:rPr>
      </w:pPr>
    </w:p>
    <w:p w14:paraId="6808F20B" w14:textId="77777777" w:rsidR="00D80D8E" w:rsidRPr="00D80D8E" w:rsidRDefault="00D80D8E" w:rsidP="00D80D8E">
      <w:pPr>
        <w:pStyle w:val="ListParagraph"/>
        <w:spacing w:line="276" w:lineRule="auto"/>
        <w:ind w:left="360"/>
        <w:rPr>
          <w:rFonts w:asciiTheme="minorHAnsi" w:hAnsiTheme="minorHAnsi"/>
          <w:sz w:val="22"/>
          <w:szCs w:val="22"/>
          <w:u w:val="single"/>
        </w:rPr>
      </w:pPr>
    </w:p>
    <w:p w14:paraId="49DECBFA" w14:textId="77777777" w:rsidR="004436CF" w:rsidRPr="00291BE4"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Conditions</w:t>
      </w:r>
    </w:p>
    <w:p w14:paraId="034421F2" w14:textId="0BE84D0F" w:rsidR="009E7805" w:rsidRPr="009E7805" w:rsidRDefault="006F39EC" w:rsidP="00645809">
      <w:pPr>
        <w:pStyle w:val="ListParagraph"/>
        <w:spacing w:line="276" w:lineRule="auto"/>
        <w:ind w:left="644"/>
        <w:rPr>
          <w:rFonts w:asciiTheme="minorHAnsi" w:hAnsiTheme="minorHAnsi"/>
          <w:sz w:val="22"/>
          <w:szCs w:val="22"/>
          <w:u w:val="single"/>
        </w:rPr>
      </w:pPr>
      <w:r w:rsidRPr="00291BE4">
        <w:rPr>
          <w:rFonts w:asciiTheme="minorHAnsi" w:hAnsiTheme="minorHAnsi"/>
          <w:sz w:val="22"/>
          <w:szCs w:val="22"/>
        </w:rPr>
        <w:t xml:space="preserve">Draft conditions for </w:t>
      </w:r>
      <w:r w:rsidR="009E7805">
        <w:rPr>
          <w:rFonts w:asciiTheme="minorHAnsi" w:hAnsiTheme="minorHAnsi"/>
          <w:sz w:val="22"/>
          <w:szCs w:val="22"/>
        </w:rPr>
        <w:t xml:space="preserve">both schemes </w:t>
      </w:r>
      <w:r w:rsidR="00D80D8E">
        <w:rPr>
          <w:rFonts w:asciiTheme="minorHAnsi" w:hAnsiTheme="minorHAnsi"/>
          <w:sz w:val="22"/>
          <w:szCs w:val="22"/>
        </w:rPr>
        <w:t>will be agreed in advance of any hearing, with any outstanding disputes to be discussed at the hearing itself.</w:t>
      </w:r>
    </w:p>
    <w:p w14:paraId="62EE6E36" w14:textId="77777777" w:rsidR="009E7805" w:rsidRPr="00002990" w:rsidRDefault="009E7805" w:rsidP="00011819">
      <w:pPr>
        <w:pStyle w:val="ListParagraph"/>
        <w:spacing w:line="276" w:lineRule="auto"/>
        <w:ind w:left="360" w:right="-476"/>
        <w:jc w:val="both"/>
        <w:rPr>
          <w:rFonts w:asciiTheme="minorHAnsi" w:hAnsiTheme="minorHAnsi" w:cs="Arial"/>
          <w:sz w:val="22"/>
          <w:szCs w:val="22"/>
        </w:rPr>
      </w:pPr>
    </w:p>
    <w:p w14:paraId="7006EEC2" w14:textId="41EAD205" w:rsidR="00235C64" w:rsidRDefault="00645809"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Section 106 Agreement</w:t>
      </w:r>
    </w:p>
    <w:p w14:paraId="5502889A" w14:textId="3E693D43" w:rsidR="00235C64" w:rsidRPr="0000249C" w:rsidRDefault="00235C64"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The following </w:t>
      </w:r>
      <w:r w:rsidR="0000249C">
        <w:rPr>
          <w:rFonts w:asciiTheme="minorHAnsi" w:hAnsiTheme="minorHAnsi"/>
          <w:sz w:val="22"/>
          <w:szCs w:val="22"/>
        </w:rPr>
        <w:t xml:space="preserve">heads of </w:t>
      </w:r>
      <w:r>
        <w:rPr>
          <w:rFonts w:asciiTheme="minorHAnsi" w:hAnsiTheme="minorHAnsi"/>
          <w:sz w:val="22"/>
          <w:szCs w:val="22"/>
        </w:rPr>
        <w:t>terms have been agreed</w:t>
      </w:r>
      <w:r w:rsidR="0000249C">
        <w:rPr>
          <w:rFonts w:asciiTheme="minorHAnsi" w:hAnsiTheme="minorHAnsi"/>
          <w:sz w:val="22"/>
          <w:szCs w:val="22"/>
        </w:rPr>
        <w:t>:</w:t>
      </w:r>
    </w:p>
    <w:p w14:paraId="216EAF64" w14:textId="37D81B57" w:rsidR="00235C64" w:rsidRDefault="00D80D8E" w:rsidP="0000249C">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Car-free development</w:t>
      </w:r>
    </w:p>
    <w:p w14:paraId="773498D5" w14:textId="4381DFCB" w:rsidR="00D80D8E" w:rsidRDefault="00D80D8E" w:rsidP="0000249C">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Affordable housing contribution</w:t>
      </w:r>
    </w:p>
    <w:p w14:paraId="6873503A" w14:textId="332C1824" w:rsidR="00890B64" w:rsidRDefault="00890B64" w:rsidP="00743381">
      <w:pPr>
        <w:pStyle w:val="ListParagraph"/>
        <w:numPr>
          <w:ilvl w:val="2"/>
          <w:numId w:val="2"/>
        </w:numPr>
        <w:spacing w:line="276" w:lineRule="auto"/>
        <w:rPr>
          <w:rFonts w:asciiTheme="minorHAnsi" w:hAnsiTheme="minorHAnsi"/>
          <w:sz w:val="22"/>
          <w:szCs w:val="22"/>
        </w:rPr>
      </w:pPr>
      <w:r w:rsidRPr="00890B64">
        <w:rPr>
          <w:rFonts w:asciiTheme="minorHAnsi" w:hAnsiTheme="minorHAnsi"/>
          <w:sz w:val="22"/>
          <w:szCs w:val="22"/>
        </w:rPr>
        <w:t>Construction Management Plan and associated CMP implementation support contribution</w:t>
      </w:r>
    </w:p>
    <w:p w14:paraId="6BCD3148" w14:textId="5706C59E" w:rsidR="00890B64" w:rsidRPr="00890B64" w:rsidRDefault="00890B64" w:rsidP="00890B64">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H</w:t>
      </w:r>
      <w:r w:rsidRPr="00890B64">
        <w:rPr>
          <w:rFonts w:asciiTheme="minorHAnsi" w:hAnsiTheme="minorHAnsi"/>
          <w:sz w:val="22"/>
          <w:szCs w:val="22"/>
        </w:rPr>
        <w:t>ighway repairs contribution</w:t>
      </w:r>
    </w:p>
    <w:p w14:paraId="492224D4" w14:textId="77777777" w:rsidR="002A6515" w:rsidRPr="00235C64" w:rsidRDefault="002A6515" w:rsidP="00645809">
      <w:pPr>
        <w:pStyle w:val="ListParagraph"/>
        <w:spacing w:line="276" w:lineRule="auto"/>
        <w:ind w:left="1881"/>
        <w:rPr>
          <w:rFonts w:asciiTheme="minorHAnsi" w:hAnsiTheme="minorHAnsi"/>
          <w:sz w:val="22"/>
          <w:szCs w:val="22"/>
          <w:u w:val="single"/>
        </w:rPr>
      </w:pPr>
    </w:p>
    <w:p w14:paraId="74A4D34A" w14:textId="23288AC4" w:rsidR="00002990" w:rsidRPr="007B17BD" w:rsidRDefault="0000249C"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Both </w:t>
      </w:r>
      <w:r w:rsidR="009A6D8F" w:rsidRPr="00291BE4">
        <w:rPr>
          <w:rFonts w:asciiTheme="minorHAnsi" w:hAnsiTheme="minorHAnsi"/>
          <w:sz w:val="22"/>
          <w:szCs w:val="22"/>
        </w:rPr>
        <w:t xml:space="preserve">sides are confident that </w:t>
      </w:r>
      <w:r>
        <w:rPr>
          <w:rFonts w:asciiTheme="minorHAnsi" w:hAnsiTheme="minorHAnsi"/>
          <w:sz w:val="22"/>
          <w:szCs w:val="22"/>
        </w:rPr>
        <w:t xml:space="preserve">a final version of the document </w:t>
      </w:r>
      <w:r w:rsidR="009A6D8F" w:rsidRPr="00291BE4">
        <w:rPr>
          <w:rFonts w:asciiTheme="minorHAnsi" w:hAnsiTheme="minorHAnsi"/>
          <w:sz w:val="22"/>
          <w:szCs w:val="22"/>
        </w:rPr>
        <w:t xml:space="preserve">will be </w:t>
      </w:r>
      <w:r>
        <w:rPr>
          <w:rFonts w:asciiTheme="minorHAnsi" w:hAnsiTheme="minorHAnsi"/>
          <w:sz w:val="22"/>
          <w:szCs w:val="22"/>
        </w:rPr>
        <w:t>submitted to the Inspector prior to the hearing.</w:t>
      </w:r>
    </w:p>
    <w:p w14:paraId="69522236" w14:textId="77777777" w:rsidR="007B17BD" w:rsidRPr="00002990" w:rsidRDefault="007B17BD" w:rsidP="007B17BD">
      <w:pPr>
        <w:pStyle w:val="ListParagraph"/>
        <w:spacing w:line="276" w:lineRule="auto"/>
        <w:ind w:left="644"/>
        <w:rPr>
          <w:rFonts w:asciiTheme="minorHAnsi" w:hAnsiTheme="minorHAnsi"/>
          <w:sz w:val="22"/>
          <w:szCs w:val="22"/>
          <w:u w:val="single"/>
        </w:rPr>
      </w:pPr>
    </w:p>
    <w:p w14:paraId="724AB35E" w14:textId="77777777" w:rsidR="00002990" w:rsidRPr="009E7805" w:rsidRDefault="00002990" w:rsidP="00C208E9">
      <w:pPr>
        <w:pStyle w:val="ListParagraph"/>
        <w:numPr>
          <w:ilvl w:val="0"/>
          <w:numId w:val="2"/>
        </w:numPr>
        <w:spacing w:line="276" w:lineRule="auto"/>
        <w:rPr>
          <w:rFonts w:asciiTheme="minorHAnsi" w:hAnsiTheme="minorHAnsi"/>
          <w:sz w:val="22"/>
          <w:szCs w:val="22"/>
          <w:u w:val="single"/>
        </w:rPr>
      </w:pPr>
      <w:r w:rsidRPr="009E7805">
        <w:rPr>
          <w:rFonts w:asciiTheme="minorHAnsi" w:hAnsiTheme="minorHAnsi"/>
          <w:sz w:val="22"/>
          <w:szCs w:val="22"/>
          <w:u w:val="single"/>
          <w:lang w:val="en"/>
        </w:rPr>
        <w:t>Community Infrastructure Levy</w:t>
      </w:r>
    </w:p>
    <w:p w14:paraId="52A834E7" w14:textId="2AB0B095" w:rsidR="00291BE4" w:rsidRPr="00291BE4" w:rsidRDefault="0074799B" w:rsidP="00011819">
      <w:pPr>
        <w:spacing w:line="276" w:lineRule="auto"/>
        <w:ind w:right="-476"/>
        <w:jc w:val="both"/>
        <w:rPr>
          <w:rFonts w:asciiTheme="minorHAnsi" w:hAnsiTheme="minorHAnsi" w:cs="Arial"/>
          <w:sz w:val="22"/>
          <w:szCs w:val="22"/>
        </w:rPr>
      </w:pPr>
      <w:r>
        <w:rPr>
          <w:rFonts w:asciiTheme="minorHAnsi" w:hAnsiTheme="minorHAnsi"/>
          <w:sz w:val="22"/>
          <w:szCs w:val="22"/>
          <w:lang w:val="en"/>
        </w:rPr>
        <w:t>The development will be liable for CIL.</w:t>
      </w:r>
    </w:p>
    <w:p w14:paraId="1A0274C9" w14:textId="77777777" w:rsidR="00291BE4" w:rsidRPr="00291BE4" w:rsidRDefault="00291BE4" w:rsidP="00011819">
      <w:pPr>
        <w:spacing w:line="276" w:lineRule="auto"/>
        <w:ind w:right="-476"/>
        <w:jc w:val="both"/>
        <w:rPr>
          <w:rFonts w:asciiTheme="minorHAnsi" w:hAnsiTheme="minorHAnsi" w:cs="Arial"/>
          <w:sz w:val="22"/>
          <w:szCs w:val="22"/>
        </w:rPr>
      </w:pPr>
    </w:p>
    <w:p w14:paraId="6B4707F4" w14:textId="77777777" w:rsidR="00291BE4" w:rsidRPr="00291BE4" w:rsidRDefault="00291BE4" w:rsidP="00011819">
      <w:pPr>
        <w:spacing w:line="276" w:lineRule="auto"/>
        <w:ind w:right="-476"/>
        <w:jc w:val="both"/>
        <w:rPr>
          <w:rFonts w:asciiTheme="minorHAnsi" w:hAnsiTheme="minorHAnsi" w:cs="Arial"/>
          <w:b/>
          <w:sz w:val="22"/>
          <w:szCs w:val="22"/>
        </w:rPr>
      </w:pPr>
      <w:r w:rsidRPr="00291BE4">
        <w:rPr>
          <w:rFonts w:asciiTheme="minorHAnsi" w:hAnsiTheme="minorHAnsi" w:cs="Arial"/>
          <w:b/>
          <w:sz w:val="22"/>
          <w:szCs w:val="22"/>
        </w:rPr>
        <w:t xml:space="preserve">Document List  </w:t>
      </w:r>
    </w:p>
    <w:p w14:paraId="1F08F9AE" w14:textId="77777777" w:rsidR="00291BE4" w:rsidRPr="00291BE4" w:rsidRDefault="00291BE4" w:rsidP="00011819">
      <w:pPr>
        <w:spacing w:line="276" w:lineRule="auto"/>
        <w:ind w:right="-476"/>
        <w:jc w:val="both"/>
        <w:rPr>
          <w:rFonts w:asciiTheme="minorHAnsi" w:hAnsiTheme="minorHAnsi" w:cs="Arial"/>
          <w:b/>
          <w:sz w:val="22"/>
          <w:szCs w:val="22"/>
        </w:rPr>
      </w:pPr>
    </w:p>
    <w:p w14:paraId="365F3A30" w14:textId="77777777" w:rsidR="00291BE4" w:rsidRPr="009E7805"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9E7805">
        <w:rPr>
          <w:rFonts w:asciiTheme="minorHAnsi" w:hAnsiTheme="minorHAnsi" w:cs="Arial"/>
          <w:sz w:val="22"/>
          <w:szCs w:val="22"/>
          <w:u w:val="single"/>
        </w:rPr>
        <w:t>Legislation</w:t>
      </w:r>
    </w:p>
    <w:p w14:paraId="7E482331"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Town and Country Planning Act 1990</w:t>
      </w:r>
    </w:p>
    <w:p w14:paraId="307B1440"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Planning and Compulsory Purchase Act 2004</w:t>
      </w:r>
    </w:p>
    <w:p w14:paraId="7CC4A20E" w14:textId="77777777" w:rsid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Planning (Listed Buildings and Conservation Areas) Act 1990</w:t>
      </w:r>
    </w:p>
    <w:p w14:paraId="2B44A6B5"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left="1134" w:right="-99" w:hanging="425"/>
        <w:contextualSpacing/>
        <w:jc w:val="both"/>
        <w:rPr>
          <w:rFonts w:asciiTheme="minorHAnsi" w:hAnsiTheme="minorHAnsi" w:cs="Arial"/>
          <w:sz w:val="22"/>
          <w:szCs w:val="22"/>
        </w:rPr>
      </w:pPr>
    </w:p>
    <w:p w14:paraId="03BC298D" w14:textId="77777777" w:rsidR="00291BE4" w:rsidRPr="009E7805"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9E7805">
        <w:rPr>
          <w:rFonts w:asciiTheme="minorHAnsi" w:hAnsiTheme="minorHAnsi" w:cs="Arial"/>
          <w:sz w:val="22"/>
          <w:szCs w:val="22"/>
          <w:u w:val="single"/>
        </w:rPr>
        <w:t>National Guidance</w:t>
      </w:r>
    </w:p>
    <w:p w14:paraId="6492B7C0" w14:textId="27F0CC4C"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National Planning Policy Framework (201</w:t>
      </w:r>
      <w:r w:rsidR="00D80D8E">
        <w:rPr>
          <w:rFonts w:asciiTheme="minorHAnsi" w:hAnsiTheme="minorHAnsi" w:cs="Arial"/>
          <w:sz w:val="22"/>
          <w:szCs w:val="22"/>
        </w:rPr>
        <w:t>8</w:t>
      </w:r>
      <w:r w:rsidRPr="00291BE4">
        <w:rPr>
          <w:rFonts w:asciiTheme="minorHAnsi" w:hAnsiTheme="minorHAnsi" w:cs="Arial"/>
          <w:sz w:val="22"/>
          <w:szCs w:val="22"/>
        </w:rPr>
        <w:t>)</w:t>
      </w:r>
    </w:p>
    <w:p w14:paraId="6BA01D0F"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National Planning Practice Guidance (Online)</w:t>
      </w:r>
    </w:p>
    <w:p w14:paraId="5022FD7A" w14:textId="77777777" w:rsidR="00291BE4" w:rsidRPr="00291BE4" w:rsidRDefault="00291BE4" w:rsidP="008963E4">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p>
    <w:p w14:paraId="69630D2E"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291BE4">
        <w:rPr>
          <w:rFonts w:asciiTheme="minorHAnsi" w:hAnsiTheme="minorHAnsi" w:cs="Arial"/>
          <w:sz w:val="22"/>
          <w:szCs w:val="22"/>
          <w:u w:val="single"/>
        </w:rPr>
        <w:t>Greater London Authority</w:t>
      </w:r>
    </w:p>
    <w:p w14:paraId="17FD9214" w14:textId="5BDA35EE" w:rsidR="009E7805" w:rsidRDefault="009E7805" w:rsidP="00011819">
      <w:pPr>
        <w:spacing w:line="276" w:lineRule="auto"/>
        <w:rPr>
          <w:rFonts w:asciiTheme="minorHAnsi" w:hAnsiTheme="minorHAnsi"/>
          <w:sz w:val="22"/>
          <w:szCs w:val="22"/>
        </w:rPr>
      </w:pPr>
      <w:r w:rsidRPr="009E7805">
        <w:rPr>
          <w:rFonts w:asciiTheme="minorHAnsi" w:hAnsiTheme="minorHAnsi"/>
          <w:sz w:val="22"/>
          <w:szCs w:val="22"/>
        </w:rPr>
        <w:t xml:space="preserve">The London Plan </w:t>
      </w:r>
      <w:r>
        <w:rPr>
          <w:rFonts w:asciiTheme="minorHAnsi" w:hAnsiTheme="minorHAnsi"/>
          <w:sz w:val="22"/>
          <w:szCs w:val="22"/>
        </w:rPr>
        <w:t>(201</w:t>
      </w:r>
      <w:r w:rsidR="0000249C">
        <w:rPr>
          <w:rFonts w:asciiTheme="minorHAnsi" w:hAnsiTheme="minorHAnsi"/>
          <w:sz w:val="22"/>
          <w:szCs w:val="22"/>
        </w:rPr>
        <w:t>6</w:t>
      </w:r>
      <w:r>
        <w:rPr>
          <w:rFonts w:asciiTheme="minorHAnsi" w:hAnsiTheme="minorHAnsi"/>
          <w:sz w:val="22"/>
          <w:szCs w:val="22"/>
        </w:rPr>
        <w:t>)</w:t>
      </w:r>
    </w:p>
    <w:p w14:paraId="22F54BE6" w14:textId="77777777" w:rsidR="008963E4" w:rsidRPr="008963E4" w:rsidRDefault="008963E4" w:rsidP="008963E4">
      <w:pPr>
        <w:spacing w:line="276" w:lineRule="auto"/>
        <w:ind w:right="-476"/>
        <w:jc w:val="both"/>
        <w:rPr>
          <w:rFonts w:asciiTheme="minorHAnsi" w:hAnsiTheme="minorHAnsi"/>
          <w:sz w:val="22"/>
          <w:szCs w:val="22"/>
        </w:rPr>
      </w:pPr>
    </w:p>
    <w:p w14:paraId="376D751F" w14:textId="13D7CB06" w:rsidR="00291BE4" w:rsidRPr="00291BE4" w:rsidRDefault="0000249C" w:rsidP="00011819">
      <w:pPr>
        <w:spacing w:line="276" w:lineRule="auto"/>
        <w:ind w:right="-476"/>
        <w:jc w:val="both"/>
        <w:rPr>
          <w:rFonts w:asciiTheme="minorHAnsi" w:hAnsiTheme="minorHAnsi"/>
          <w:sz w:val="22"/>
          <w:szCs w:val="22"/>
          <w:u w:val="single"/>
        </w:rPr>
      </w:pPr>
      <w:r>
        <w:rPr>
          <w:rFonts w:asciiTheme="minorHAnsi" w:hAnsiTheme="minorHAnsi"/>
          <w:sz w:val="22"/>
          <w:szCs w:val="22"/>
          <w:u w:val="single"/>
        </w:rPr>
        <w:t>Camden</w:t>
      </w:r>
    </w:p>
    <w:p w14:paraId="052B73BB" w14:textId="0CA7E048" w:rsidR="00F6041B" w:rsidRDefault="00D80D8E" w:rsidP="00F6041B">
      <w:pPr>
        <w:spacing w:line="276" w:lineRule="auto"/>
        <w:rPr>
          <w:rFonts w:asciiTheme="minorHAnsi" w:hAnsiTheme="minorHAnsi"/>
          <w:sz w:val="22"/>
          <w:szCs w:val="22"/>
        </w:rPr>
      </w:pPr>
      <w:r>
        <w:rPr>
          <w:rFonts w:asciiTheme="minorHAnsi" w:hAnsiTheme="minorHAnsi"/>
          <w:sz w:val="22"/>
          <w:szCs w:val="22"/>
        </w:rPr>
        <w:t>Camden Local Plan (2017)</w:t>
      </w:r>
    </w:p>
    <w:p w14:paraId="1E442FF8" w14:textId="77777777" w:rsidR="006942BD" w:rsidRPr="006942BD" w:rsidRDefault="006942BD" w:rsidP="006942BD">
      <w:pPr>
        <w:spacing w:line="276" w:lineRule="auto"/>
        <w:rPr>
          <w:rFonts w:asciiTheme="minorHAnsi" w:hAnsiTheme="minorHAnsi"/>
          <w:sz w:val="22"/>
          <w:szCs w:val="22"/>
        </w:rPr>
      </w:pPr>
      <w:r w:rsidRPr="006942BD">
        <w:rPr>
          <w:rFonts w:asciiTheme="minorHAnsi" w:hAnsiTheme="minorHAnsi"/>
          <w:sz w:val="22"/>
          <w:szCs w:val="22"/>
        </w:rPr>
        <w:t>Hampstead Neighbourhood Plan (2018)</w:t>
      </w:r>
    </w:p>
    <w:p w14:paraId="315F8358"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Access for all (2019) </w:t>
      </w:r>
    </w:p>
    <w:p w14:paraId="383E8922"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Amenity (2018)  </w:t>
      </w:r>
    </w:p>
    <w:p w14:paraId="521F9FBD"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Basements (2018) </w:t>
      </w:r>
    </w:p>
    <w:p w14:paraId="223FECF4"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Biodiversity (2018) </w:t>
      </w:r>
    </w:p>
    <w:p w14:paraId="09721793"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Design (2019) </w:t>
      </w:r>
    </w:p>
    <w:p w14:paraId="78FF0817"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Developer contributions (2019) </w:t>
      </w:r>
    </w:p>
    <w:p w14:paraId="6AE64234"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Energy efficiency (2019) </w:t>
      </w:r>
    </w:p>
    <w:p w14:paraId="1E86BBCE"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Interim Housing (2019) </w:t>
      </w:r>
    </w:p>
    <w:p w14:paraId="31DF8B81"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CPG2 Housing (2016, amended 2019) </w:t>
      </w:r>
    </w:p>
    <w:p w14:paraId="67F79A25"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Transport (2019) </w:t>
      </w:r>
    </w:p>
    <w:p w14:paraId="20E165D2"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Trees (2019) </w:t>
      </w:r>
    </w:p>
    <w:p w14:paraId="7EE7B11F"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CPG Water and flooding (2019)</w:t>
      </w:r>
    </w:p>
    <w:p w14:paraId="7663FD4B" w14:textId="5779169A" w:rsidR="00F6041B" w:rsidRPr="00326E9B" w:rsidRDefault="00F6041B" w:rsidP="00F6041B">
      <w:pPr>
        <w:spacing w:line="276" w:lineRule="auto"/>
        <w:rPr>
          <w:rFonts w:asciiTheme="minorHAnsi" w:hAnsiTheme="minorHAnsi"/>
          <w:sz w:val="22"/>
          <w:szCs w:val="22"/>
        </w:rPr>
      </w:pPr>
    </w:p>
    <w:p w14:paraId="74F92DA3" w14:textId="197E7C65" w:rsidR="00F6041B" w:rsidRPr="0036380C" w:rsidRDefault="00F6041B" w:rsidP="00F6041B">
      <w:pPr>
        <w:spacing w:line="276" w:lineRule="auto"/>
        <w:rPr>
          <w:rFonts w:asciiTheme="minorHAnsi" w:hAnsiTheme="minorHAnsi"/>
          <w:sz w:val="22"/>
          <w:szCs w:val="22"/>
        </w:rPr>
      </w:pPr>
      <w:r w:rsidRPr="007A7879">
        <w:rPr>
          <w:rFonts w:asciiTheme="minorHAnsi" w:hAnsiTheme="minorHAnsi"/>
          <w:sz w:val="22"/>
          <w:szCs w:val="22"/>
        </w:rPr>
        <w:t>H</w:t>
      </w:r>
      <w:r w:rsidR="00D80D8E">
        <w:rPr>
          <w:rFonts w:asciiTheme="minorHAnsi" w:hAnsiTheme="minorHAnsi"/>
          <w:sz w:val="22"/>
          <w:szCs w:val="22"/>
        </w:rPr>
        <w:t>ampstead</w:t>
      </w:r>
      <w:r w:rsidRPr="007A7879">
        <w:rPr>
          <w:rFonts w:asciiTheme="minorHAnsi" w:hAnsiTheme="minorHAnsi"/>
          <w:sz w:val="22"/>
          <w:szCs w:val="22"/>
        </w:rPr>
        <w:t xml:space="preserve"> Conservation Area Statement (200</w:t>
      </w:r>
      <w:r w:rsidR="00D80D8E">
        <w:rPr>
          <w:rFonts w:asciiTheme="minorHAnsi" w:hAnsiTheme="minorHAnsi"/>
          <w:sz w:val="22"/>
          <w:szCs w:val="22"/>
        </w:rPr>
        <w:t>1</w:t>
      </w:r>
      <w:r w:rsidRPr="007A7879">
        <w:rPr>
          <w:rFonts w:asciiTheme="minorHAnsi" w:hAnsiTheme="minorHAnsi"/>
          <w:sz w:val="22"/>
          <w:szCs w:val="22"/>
        </w:rPr>
        <w:t>)</w:t>
      </w:r>
    </w:p>
    <w:p w14:paraId="10FF01E4" w14:textId="5D79343A" w:rsidR="009E7805" w:rsidRDefault="00F6041B" w:rsidP="00011819">
      <w:pPr>
        <w:widowControl w:val="0"/>
        <w:autoSpaceDE w:val="0"/>
        <w:autoSpaceDN w:val="0"/>
        <w:adjustRightInd w:val="0"/>
        <w:spacing w:line="276" w:lineRule="auto"/>
        <w:ind w:right="-99"/>
        <w:rPr>
          <w:rFonts w:asciiTheme="minorHAnsi" w:hAnsiTheme="minorHAnsi" w:cs="Calibri"/>
          <w:sz w:val="22"/>
          <w:szCs w:val="22"/>
        </w:rPr>
      </w:pPr>
      <w:r w:rsidRPr="009E7805">
        <w:rPr>
          <w:rFonts w:asciiTheme="minorHAnsi" w:hAnsiTheme="minorHAnsi" w:cs="Calibri"/>
          <w:sz w:val="22"/>
          <w:szCs w:val="22"/>
        </w:rPr>
        <w:t>LB</w:t>
      </w:r>
      <w:r>
        <w:rPr>
          <w:rFonts w:asciiTheme="minorHAnsi" w:hAnsiTheme="minorHAnsi" w:cs="Calibri"/>
          <w:sz w:val="22"/>
          <w:szCs w:val="22"/>
        </w:rPr>
        <w:t xml:space="preserve">C </w:t>
      </w:r>
      <w:r w:rsidR="009E7805" w:rsidRPr="009E7805">
        <w:rPr>
          <w:rFonts w:asciiTheme="minorHAnsi" w:hAnsiTheme="minorHAnsi" w:cs="Calibri"/>
          <w:sz w:val="22"/>
          <w:szCs w:val="22"/>
        </w:rPr>
        <w:t>CIL Charging Schedule</w:t>
      </w:r>
      <w:r w:rsidR="009E7805">
        <w:rPr>
          <w:rFonts w:asciiTheme="minorHAnsi" w:hAnsiTheme="minorHAnsi" w:cs="Calibri"/>
          <w:sz w:val="22"/>
          <w:szCs w:val="22"/>
        </w:rPr>
        <w:t xml:space="preserve"> </w:t>
      </w:r>
      <w:bookmarkStart w:id="0" w:name="_GoBack"/>
      <w:bookmarkEnd w:id="0"/>
    </w:p>
    <w:p w14:paraId="6AF4C69E" w14:textId="77777777" w:rsidR="008963E4" w:rsidRPr="00291BE4" w:rsidRDefault="008963E4" w:rsidP="00011819">
      <w:pPr>
        <w:spacing w:line="276" w:lineRule="auto"/>
        <w:ind w:right="-476"/>
        <w:jc w:val="both"/>
        <w:rPr>
          <w:rFonts w:asciiTheme="minorHAnsi" w:hAnsiTheme="minorHAnsi"/>
          <w:sz w:val="22"/>
          <w:szCs w:val="22"/>
        </w:rPr>
      </w:pPr>
    </w:p>
    <w:p w14:paraId="48A4D24B" w14:textId="77777777" w:rsidR="005A72AD" w:rsidRDefault="005A72AD" w:rsidP="00011819">
      <w:pPr>
        <w:widowControl w:val="0"/>
        <w:autoSpaceDE w:val="0"/>
        <w:autoSpaceDN w:val="0"/>
        <w:adjustRightInd w:val="0"/>
        <w:spacing w:line="276" w:lineRule="auto"/>
        <w:ind w:right="-99"/>
        <w:rPr>
          <w:rFonts w:asciiTheme="minorHAnsi" w:hAnsiTheme="minorHAnsi" w:cs="Calibri"/>
          <w:sz w:val="22"/>
          <w:szCs w:val="22"/>
        </w:rPr>
      </w:pPr>
    </w:p>
    <w:p w14:paraId="1DA4040C" w14:textId="4E52E71D" w:rsidR="005A72AD" w:rsidRPr="005A72AD" w:rsidRDefault="005A72AD" w:rsidP="005A72AD">
      <w:pPr>
        <w:widowControl w:val="0"/>
        <w:autoSpaceDE w:val="0"/>
        <w:autoSpaceDN w:val="0"/>
        <w:adjustRightInd w:val="0"/>
        <w:spacing w:line="276" w:lineRule="auto"/>
        <w:ind w:right="-99"/>
        <w:rPr>
          <w:rFonts w:asciiTheme="minorHAnsi" w:hAnsiTheme="minorHAnsi" w:cs="Calibri"/>
          <w:sz w:val="22"/>
          <w:szCs w:val="22"/>
        </w:rPr>
      </w:pPr>
    </w:p>
    <w:sectPr w:rsidR="005A72AD" w:rsidRPr="005A72A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56E45" w14:textId="77777777" w:rsidR="00231B1D" w:rsidRDefault="00231B1D" w:rsidP="00CC394F">
      <w:r>
        <w:separator/>
      </w:r>
    </w:p>
  </w:endnote>
  <w:endnote w:type="continuationSeparator" w:id="0">
    <w:p w14:paraId="0B7AFE57" w14:textId="77777777" w:rsidR="00231B1D" w:rsidRDefault="00231B1D" w:rsidP="00CC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369828"/>
      <w:docPartObj>
        <w:docPartGallery w:val="Page Numbers (Bottom of Page)"/>
        <w:docPartUnique/>
      </w:docPartObj>
    </w:sdtPr>
    <w:sdtEndPr>
      <w:rPr>
        <w:rFonts w:asciiTheme="minorHAnsi" w:hAnsiTheme="minorHAnsi"/>
        <w:noProof/>
        <w:sz w:val="20"/>
        <w:szCs w:val="20"/>
      </w:rPr>
    </w:sdtEndPr>
    <w:sdtContent>
      <w:p w14:paraId="780E4E8A" w14:textId="0E17E89C" w:rsidR="008D5471" w:rsidRPr="00EF1965" w:rsidRDefault="008D5471">
        <w:pPr>
          <w:pStyle w:val="Footer"/>
          <w:jc w:val="right"/>
          <w:rPr>
            <w:rFonts w:asciiTheme="minorHAnsi" w:hAnsiTheme="minorHAnsi"/>
            <w:sz w:val="20"/>
            <w:szCs w:val="20"/>
          </w:rPr>
        </w:pPr>
        <w:r w:rsidRPr="00EF1965">
          <w:rPr>
            <w:rFonts w:asciiTheme="minorHAnsi" w:hAnsiTheme="minorHAnsi"/>
            <w:sz w:val="20"/>
            <w:szCs w:val="20"/>
          </w:rPr>
          <w:fldChar w:fldCharType="begin"/>
        </w:r>
        <w:r w:rsidRPr="00EF1965">
          <w:rPr>
            <w:rFonts w:asciiTheme="minorHAnsi" w:hAnsiTheme="minorHAnsi"/>
            <w:sz w:val="20"/>
            <w:szCs w:val="20"/>
          </w:rPr>
          <w:instrText xml:space="preserve"> PAGE   \* MERGEFORMAT </w:instrText>
        </w:r>
        <w:r w:rsidRPr="00EF1965">
          <w:rPr>
            <w:rFonts w:asciiTheme="minorHAnsi" w:hAnsiTheme="minorHAnsi"/>
            <w:sz w:val="20"/>
            <w:szCs w:val="20"/>
          </w:rPr>
          <w:fldChar w:fldCharType="separate"/>
        </w:r>
        <w:r w:rsidR="00231B1D">
          <w:rPr>
            <w:rFonts w:asciiTheme="minorHAnsi" w:hAnsiTheme="minorHAnsi"/>
            <w:noProof/>
            <w:sz w:val="20"/>
            <w:szCs w:val="20"/>
          </w:rPr>
          <w:t>1</w:t>
        </w:r>
        <w:r w:rsidRPr="00EF1965">
          <w:rPr>
            <w:rFonts w:asciiTheme="minorHAnsi" w:hAnsiTheme="minorHAnsi"/>
            <w:noProof/>
            <w:sz w:val="20"/>
            <w:szCs w:val="20"/>
          </w:rPr>
          <w:fldChar w:fldCharType="end"/>
        </w:r>
      </w:p>
    </w:sdtContent>
  </w:sdt>
  <w:p w14:paraId="280EE4B7" w14:textId="77777777" w:rsidR="008D5471" w:rsidRDefault="008D5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01BC5" w14:textId="77777777" w:rsidR="00231B1D" w:rsidRDefault="00231B1D" w:rsidP="00CC394F">
      <w:r>
        <w:separator/>
      </w:r>
    </w:p>
  </w:footnote>
  <w:footnote w:type="continuationSeparator" w:id="0">
    <w:p w14:paraId="114403A6" w14:textId="77777777" w:rsidR="00231B1D" w:rsidRDefault="00231B1D" w:rsidP="00CC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38DE3" w14:textId="1C2EB65D" w:rsidR="008D5471" w:rsidRDefault="008D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15F"/>
    <w:multiLevelType w:val="hybridMultilevel"/>
    <w:tmpl w:val="4908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7D02"/>
    <w:multiLevelType w:val="hybridMultilevel"/>
    <w:tmpl w:val="953A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F2BAB"/>
    <w:multiLevelType w:val="multilevel"/>
    <w:tmpl w:val="D4D6BC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9A75E5"/>
    <w:multiLevelType w:val="hybridMultilevel"/>
    <w:tmpl w:val="31B8A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56A89"/>
    <w:multiLevelType w:val="hybridMultilevel"/>
    <w:tmpl w:val="1E1EC848"/>
    <w:lvl w:ilvl="0" w:tplc="14BE41FA">
      <w:start w:val="1"/>
      <w:numFmt w:val="decimal"/>
      <w:lvlText w:val="%1"/>
      <w:lvlJc w:val="left"/>
      <w:pPr>
        <w:ind w:left="360" w:hanging="360"/>
      </w:pPr>
      <w:rPr>
        <w:rFonts w:hint="default"/>
      </w:rPr>
    </w:lvl>
    <w:lvl w:ilvl="1" w:tplc="22C2C808">
      <w:start w:val="1"/>
      <w:numFmt w:val="lowerLetter"/>
      <w:lvlText w:val="%2."/>
      <w:lvlJc w:val="left"/>
      <w:pPr>
        <w:ind w:left="644" w:hanging="360"/>
      </w:pPr>
      <w:rPr>
        <w:rFonts w:asciiTheme="minorHAnsi" w:hAnsiTheme="minorHAnsi" w:hint="default"/>
        <w:i w:val="0"/>
        <w:sz w:val="22"/>
        <w:szCs w:val="22"/>
      </w:rPr>
    </w:lvl>
    <w:lvl w:ilvl="2" w:tplc="D4A4366E">
      <w:start w:val="1"/>
      <w:numFmt w:val="lowerRoman"/>
      <w:lvlText w:val="%3."/>
      <w:lvlJc w:val="right"/>
      <w:pPr>
        <w:ind w:left="1881" w:hanging="180"/>
      </w:pPr>
      <w:rPr>
        <w:b w:val="0"/>
        <w:i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100A16"/>
    <w:multiLevelType w:val="hybridMultilevel"/>
    <w:tmpl w:val="52BA05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A559B"/>
    <w:multiLevelType w:val="multilevel"/>
    <w:tmpl w:val="B3F074FE"/>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asciiTheme="minorHAnsi" w:hAnsiTheme="minorHAnsi" w:hint="default"/>
        <w:b w:val="0"/>
        <w:i w:val="0"/>
        <w:sz w:val="22"/>
        <w:szCs w:val="22"/>
      </w:rPr>
    </w:lvl>
    <w:lvl w:ilvl="2">
      <w:start w:val="1"/>
      <w:numFmt w:val="decimal"/>
      <w:lvlText w:val="%1.%2.%3."/>
      <w:lvlJc w:val="left"/>
      <w:pPr>
        <w:ind w:left="1701" w:hanging="850"/>
      </w:pPr>
      <w:rPr>
        <w:rFonts w:hint="default"/>
        <w:b w:val="0"/>
        <w:i w:val="0"/>
      </w:rPr>
    </w:lvl>
    <w:lvl w:ilvl="3">
      <w:start w:val="1"/>
      <w:numFmt w:val="decimal"/>
      <w:lvlText w:val="%1.%2.%3.%4."/>
      <w:lvlJc w:val="left"/>
      <w:pPr>
        <w:ind w:left="2552" w:hanging="851"/>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32D3C"/>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3AC1B03"/>
    <w:multiLevelType w:val="hybridMultilevel"/>
    <w:tmpl w:val="FC0C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330CD"/>
    <w:multiLevelType w:val="multilevel"/>
    <w:tmpl w:val="EFA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43764"/>
    <w:multiLevelType w:val="hybridMultilevel"/>
    <w:tmpl w:val="CCAC6D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D567D1"/>
    <w:multiLevelType w:val="hybridMultilevel"/>
    <w:tmpl w:val="3504578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FC979C6"/>
    <w:multiLevelType w:val="hybridMultilevel"/>
    <w:tmpl w:val="CF2EB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264A9"/>
    <w:multiLevelType w:val="hybridMultilevel"/>
    <w:tmpl w:val="0C22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1BE"/>
    <w:multiLevelType w:val="hybridMultilevel"/>
    <w:tmpl w:val="CC70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D7EF3"/>
    <w:multiLevelType w:val="hybridMultilevel"/>
    <w:tmpl w:val="00CAB7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444D7"/>
    <w:multiLevelType w:val="hybridMultilevel"/>
    <w:tmpl w:val="70781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EA6951"/>
    <w:multiLevelType w:val="hybridMultilevel"/>
    <w:tmpl w:val="303CB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B6C12"/>
    <w:multiLevelType w:val="hybridMultilevel"/>
    <w:tmpl w:val="6CA2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F7133"/>
    <w:multiLevelType w:val="hybridMultilevel"/>
    <w:tmpl w:val="10527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5"/>
  </w:num>
  <w:num w:numId="5">
    <w:abstractNumId w:val="15"/>
  </w:num>
  <w:num w:numId="6">
    <w:abstractNumId w:val="12"/>
  </w:num>
  <w:num w:numId="7">
    <w:abstractNumId w:val="13"/>
  </w:num>
  <w:num w:numId="8">
    <w:abstractNumId w:val="8"/>
  </w:num>
  <w:num w:numId="9">
    <w:abstractNumId w:val="14"/>
  </w:num>
  <w:num w:numId="10">
    <w:abstractNumId w:val="17"/>
  </w:num>
  <w:num w:numId="11">
    <w:abstractNumId w:val="1"/>
  </w:num>
  <w:num w:numId="12">
    <w:abstractNumId w:val="18"/>
  </w:num>
  <w:num w:numId="13">
    <w:abstractNumId w:val="19"/>
  </w:num>
  <w:num w:numId="14">
    <w:abstractNumId w:val="0"/>
  </w:num>
  <w:num w:numId="15">
    <w:abstractNumId w:val="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9"/>
  </w:num>
  <w:num w:numId="3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94"/>
    <w:rsid w:val="0000249C"/>
    <w:rsid w:val="00002990"/>
    <w:rsid w:val="00011819"/>
    <w:rsid w:val="000123F9"/>
    <w:rsid w:val="00015281"/>
    <w:rsid w:val="00030447"/>
    <w:rsid w:val="00041D2E"/>
    <w:rsid w:val="00043867"/>
    <w:rsid w:val="000607E9"/>
    <w:rsid w:val="00083F27"/>
    <w:rsid w:val="00086FDB"/>
    <w:rsid w:val="0009441A"/>
    <w:rsid w:val="000949C1"/>
    <w:rsid w:val="000A6638"/>
    <w:rsid w:val="000B2609"/>
    <w:rsid w:val="000C4928"/>
    <w:rsid w:val="000F34C4"/>
    <w:rsid w:val="000F52FE"/>
    <w:rsid w:val="0011228A"/>
    <w:rsid w:val="00114F9E"/>
    <w:rsid w:val="00117AE2"/>
    <w:rsid w:val="00140DE9"/>
    <w:rsid w:val="00142AE7"/>
    <w:rsid w:val="00145008"/>
    <w:rsid w:val="0014753F"/>
    <w:rsid w:val="0019519A"/>
    <w:rsid w:val="001A038F"/>
    <w:rsid w:val="001A6596"/>
    <w:rsid w:val="001F276E"/>
    <w:rsid w:val="001F30AB"/>
    <w:rsid w:val="001F3409"/>
    <w:rsid w:val="002071A5"/>
    <w:rsid w:val="00212229"/>
    <w:rsid w:val="00215101"/>
    <w:rsid w:val="00230B7C"/>
    <w:rsid w:val="00231B1D"/>
    <w:rsid w:val="00235C64"/>
    <w:rsid w:val="00243DAF"/>
    <w:rsid w:val="002512AC"/>
    <w:rsid w:val="002648F3"/>
    <w:rsid w:val="00273B6A"/>
    <w:rsid w:val="002744DA"/>
    <w:rsid w:val="00291BE4"/>
    <w:rsid w:val="00296B4C"/>
    <w:rsid w:val="002A3CFC"/>
    <w:rsid w:val="002A6515"/>
    <w:rsid w:val="002B057E"/>
    <w:rsid w:val="002C33D3"/>
    <w:rsid w:val="002D44BF"/>
    <w:rsid w:val="002D5F40"/>
    <w:rsid w:val="002E2033"/>
    <w:rsid w:val="002E2A26"/>
    <w:rsid w:val="003029CF"/>
    <w:rsid w:val="003126B1"/>
    <w:rsid w:val="00312F0F"/>
    <w:rsid w:val="00325ECD"/>
    <w:rsid w:val="00326E9B"/>
    <w:rsid w:val="00336257"/>
    <w:rsid w:val="003513C6"/>
    <w:rsid w:val="0035625A"/>
    <w:rsid w:val="00361B4D"/>
    <w:rsid w:val="0036380C"/>
    <w:rsid w:val="003731D2"/>
    <w:rsid w:val="00386C79"/>
    <w:rsid w:val="00386E7E"/>
    <w:rsid w:val="003870DD"/>
    <w:rsid w:val="003A01F6"/>
    <w:rsid w:val="003B5288"/>
    <w:rsid w:val="003C69B4"/>
    <w:rsid w:val="003E279A"/>
    <w:rsid w:val="003E68FE"/>
    <w:rsid w:val="00417576"/>
    <w:rsid w:val="004230AB"/>
    <w:rsid w:val="00433312"/>
    <w:rsid w:val="004436CF"/>
    <w:rsid w:val="00445880"/>
    <w:rsid w:val="00452F94"/>
    <w:rsid w:val="00461168"/>
    <w:rsid w:val="00492C7D"/>
    <w:rsid w:val="004A13FB"/>
    <w:rsid w:val="004A2364"/>
    <w:rsid w:val="004B4F96"/>
    <w:rsid w:val="004C3ECE"/>
    <w:rsid w:val="004D4855"/>
    <w:rsid w:val="004E6EDB"/>
    <w:rsid w:val="004F20B4"/>
    <w:rsid w:val="00515326"/>
    <w:rsid w:val="005247C6"/>
    <w:rsid w:val="0054211F"/>
    <w:rsid w:val="00546710"/>
    <w:rsid w:val="00573259"/>
    <w:rsid w:val="00584997"/>
    <w:rsid w:val="00597B58"/>
    <w:rsid w:val="005A72AD"/>
    <w:rsid w:val="005B2E8C"/>
    <w:rsid w:val="005C505E"/>
    <w:rsid w:val="005D243D"/>
    <w:rsid w:val="005F378C"/>
    <w:rsid w:val="005F504A"/>
    <w:rsid w:val="00616CE2"/>
    <w:rsid w:val="0062387F"/>
    <w:rsid w:val="0062472D"/>
    <w:rsid w:val="00634AD7"/>
    <w:rsid w:val="0064525F"/>
    <w:rsid w:val="00645809"/>
    <w:rsid w:val="00645E50"/>
    <w:rsid w:val="00652290"/>
    <w:rsid w:val="00655923"/>
    <w:rsid w:val="00657B11"/>
    <w:rsid w:val="0066293F"/>
    <w:rsid w:val="006640BA"/>
    <w:rsid w:val="006728F8"/>
    <w:rsid w:val="00682E30"/>
    <w:rsid w:val="006942BD"/>
    <w:rsid w:val="00697B36"/>
    <w:rsid w:val="006B26A4"/>
    <w:rsid w:val="006B35A1"/>
    <w:rsid w:val="006B4EF9"/>
    <w:rsid w:val="006C28D0"/>
    <w:rsid w:val="006F39EC"/>
    <w:rsid w:val="006F5C8C"/>
    <w:rsid w:val="00740DB3"/>
    <w:rsid w:val="0074799B"/>
    <w:rsid w:val="007533D2"/>
    <w:rsid w:val="0075682D"/>
    <w:rsid w:val="007719A8"/>
    <w:rsid w:val="0077643D"/>
    <w:rsid w:val="0079184D"/>
    <w:rsid w:val="007A3F9B"/>
    <w:rsid w:val="007A7879"/>
    <w:rsid w:val="007B17BD"/>
    <w:rsid w:val="007D3D3E"/>
    <w:rsid w:val="007E4351"/>
    <w:rsid w:val="008107B1"/>
    <w:rsid w:val="00816045"/>
    <w:rsid w:val="008205B7"/>
    <w:rsid w:val="00820757"/>
    <w:rsid w:val="0083192C"/>
    <w:rsid w:val="00832CE0"/>
    <w:rsid w:val="008738F0"/>
    <w:rsid w:val="00886DC2"/>
    <w:rsid w:val="00890621"/>
    <w:rsid w:val="00890B64"/>
    <w:rsid w:val="00892878"/>
    <w:rsid w:val="008963E4"/>
    <w:rsid w:val="008A4287"/>
    <w:rsid w:val="008C7272"/>
    <w:rsid w:val="008D2BFB"/>
    <w:rsid w:val="008D5471"/>
    <w:rsid w:val="008E5DBE"/>
    <w:rsid w:val="008F3534"/>
    <w:rsid w:val="008F35C9"/>
    <w:rsid w:val="008F5242"/>
    <w:rsid w:val="009238B6"/>
    <w:rsid w:val="009517AB"/>
    <w:rsid w:val="00961525"/>
    <w:rsid w:val="009969F3"/>
    <w:rsid w:val="009978F6"/>
    <w:rsid w:val="009A6D8F"/>
    <w:rsid w:val="009D71C3"/>
    <w:rsid w:val="009E7805"/>
    <w:rsid w:val="009F21B9"/>
    <w:rsid w:val="009F2D7A"/>
    <w:rsid w:val="009F5AA2"/>
    <w:rsid w:val="00A053E4"/>
    <w:rsid w:val="00A20452"/>
    <w:rsid w:val="00A43CF8"/>
    <w:rsid w:val="00A651AA"/>
    <w:rsid w:val="00A67EB3"/>
    <w:rsid w:val="00A704BE"/>
    <w:rsid w:val="00A734EB"/>
    <w:rsid w:val="00A97D49"/>
    <w:rsid w:val="00AB75D2"/>
    <w:rsid w:val="00AC7EE9"/>
    <w:rsid w:val="00AD05B4"/>
    <w:rsid w:val="00AD2AEA"/>
    <w:rsid w:val="00AF17A5"/>
    <w:rsid w:val="00AF3D14"/>
    <w:rsid w:val="00B0070F"/>
    <w:rsid w:val="00B01D18"/>
    <w:rsid w:val="00B376EB"/>
    <w:rsid w:val="00B3785F"/>
    <w:rsid w:val="00B4545A"/>
    <w:rsid w:val="00B52B8F"/>
    <w:rsid w:val="00B8599A"/>
    <w:rsid w:val="00B964AF"/>
    <w:rsid w:val="00BA3AC7"/>
    <w:rsid w:val="00BA71C5"/>
    <w:rsid w:val="00BB55E2"/>
    <w:rsid w:val="00BD5AE9"/>
    <w:rsid w:val="00BF16B2"/>
    <w:rsid w:val="00C07034"/>
    <w:rsid w:val="00C208E9"/>
    <w:rsid w:val="00C21878"/>
    <w:rsid w:val="00C233FD"/>
    <w:rsid w:val="00C30851"/>
    <w:rsid w:val="00C46789"/>
    <w:rsid w:val="00C652CC"/>
    <w:rsid w:val="00C73639"/>
    <w:rsid w:val="00C82EBB"/>
    <w:rsid w:val="00C87322"/>
    <w:rsid w:val="00C87504"/>
    <w:rsid w:val="00C97B30"/>
    <w:rsid w:val="00CA1282"/>
    <w:rsid w:val="00CB35AA"/>
    <w:rsid w:val="00CB6082"/>
    <w:rsid w:val="00CC3486"/>
    <w:rsid w:val="00CC394F"/>
    <w:rsid w:val="00CD1F1E"/>
    <w:rsid w:val="00CF515D"/>
    <w:rsid w:val="00D05587"/>
    <w:rsid w:val="00D118F0"/>
    <w:rsid w:val="00D12778"/>
    <w:rsid w:val="00D1365E"/>
    <w:rsid w:val="00D212BC"/>
    <w:rsid w:val="00D253EF"/>
    <w:rsid w:val="00D41E91"/>
    <w:rsid w:val="00D446E0"/>
    <w:rsid w:val="00D4635D"/>
    <w:rsid w:val="00D60F56"/>
    <w:rsid w:val="00D80D8E"/>
    <w:rsid w:val="00D91B1E"/>
    <w:rsid w:val="00DD33AC"/>
    <w:rsid w:val="00DD7681"/>
    <w:rsid w:val="00DE2C3A"/>
    <w:rsid w:val="00DF299A"/>
    <w:rsid w:val="00DF5640"/>
    <w:rsid w:val="00E14791"/>
    <w:rsid w:val="00E17B35"/>
    <w:rsid w:val="00E269DE"/>
    <w:rsid w:val="00E373E0"/>
    <w:rsid w:val="00E57836"/>
    <w:rsid w:val="00E64056"/>
    <w:rsid w:val="00E81875"/>
    <w:rsid w:val="00EA17C5"/>
    <w:rsid w:val="00EA2A9F"/>
    <w:rsid w:val="00ED2794"/>
    <w:rsid w:val="00EE3E51"/>
    <w:rsid w:val="00EF1965"/>
    <w:rsid w:val="00F10140"/>
    <w:rsid w:val="00F1593F"/>
    <w:rsid w:val="00F2420E"/>
    <w:rsid w:val="00F271CC"/>
    <w:rsid w:val="00F53361"/>
    <w:rsid w:val="00F53CFE"/>
    <w:rsid w:val="00F6041B"/>
    <w:rsid w:val="00F6496E"/>
    <w:rsid w:val="00F74FA6"/>
    <w:rsid w:val="00F82095"/>
    <w:rsid w:val="00F82C05"/>
    <w:rsid w:val="00F85F7E"/>
    <w:rsid w:val="00F9293B"/>
    <w:rsid w:val="00F9453D"/>
    <w:rsid w:val="00FA691C"/>
    <w:rsid w:val="00FB260E"/>
    <w:rsid w:val="00FF1B33"/>
    <w:rsid w:val="00FF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E9E7"/>
  <w15:docId w15:val="{5C19AE54-C6DF-4CE3-B61B-05884ADB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91BE4"/>
    <w:pPr>
      <w:keepNext/>
      <w:numPr>
        <w:numId w:val="3"/>
      </w:numPr>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215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BE4"/>
    <w:rPr>
      <w:rFonts w:ascii="Arial" w:hAnsi="Arial" w:cs="Arial"/>
      <w:b/>
      <w:bCs/>
      <w:kern w:val="32"/>
      <w:sz w:val="32"/>
      <w:szCs w:val="32"/>
    </w:rPr>
  </w:style>
  <w:style w:type="paragraph" w:styleId="ListParagraph">
    <w:name w:val="List Paragraph"/>
    <w:basedOn w:val="Normal"/>
    <w:uiPriority w:val="34"/>
    <w:qFormat/>
    <w:rsid w:val="00CC394F"/>
    <w:pPr>
      <w:ind w:left="720"/>
      <w:contextualSpacing/>
    </w:pPr>
  </w:style>
  <w:style w:type="table" w:styleId="TableGrid">
    <w:name w:val="Table Grid"/>
    <w:basedOn w:val="TableNormal"/>
    <w:rsid w:val="00CC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394F"/>
    <w:pPr>
      <w:tabs>
        <w:tab w:val="center" w:pos="4513"/>
        <w:tab w:val="right" w:pos="9026"/>
      </w:tabs>
    </w:pPr>
  </w:style>
  <w:style w:type="character" w:customStyle="1" w:styleId="HeaderChar">
    <w:name w:val="Header Char"/>
    <w:basedOn w:val="DefaultParagraphFont"/>
    <w:link w:val="Header"/>
    <w:rsid w:val="00CC394F"/>
    <w:rPr>
      <w:rFonts w:ascii="Arial" w:hAnsi="Arial"/>
      <w:sz w:val="24"/>
      <w:szCs w:val="24"/>
    </w:rPr>
  </w:style>
  <w:style w:type="paragraph" w:styleId="Footer">
    <w:name w:val="footer"/>
    <w:basedOn w:val="Normal"/>
    <w:link w:val="FooterChar"/>
    <w:uiPriority w:val="99"/>
    <w:rsid w:val="00CC394F"/>
    <w:pPr>
      <w:tabs>
        <w:tab w:val="center" w:pos="4513"/>
        <w:tab w:val="right" w:pos="9026"/>
      </w:tabs>
    </w:pPr>
  </w:style>
  <w:style w:type="character" w:customStyle="1" w:styleId="FooterChar">
    <w:name w:val="Footer Char"/>
    <w:basedOn w:val="DefaultParagraphFont"/>
    <w:link w:val="Footer"/>
    <w:uiPriority w:val="99"/>
    <w:rsid w:val="00CC394F"/>
    <w:rPr>
      <w:rFonts w:ascii="Arial" w:hAnsi="Arial"/>
      <w:sz w:val="24"/>
      <w:szCs w:val="24"/>
    </w:rPr>
  </w:style>
  <w:style w:type="paragraph" w:styleId="BalloonText">
    <w:name w:val="Balloon Text"/>
    <w:basedOn w:val="Normal"/>
    <w:link w:val="BalloonTextChar"/>
    <w:rsid w:val="00CC394F"/>
    <w:rPr>
      <w:rFonts w:ascii="Tahoma" w:hAnsi="Tahoma" w:cs="Tahoma"/>
      <w:sz w:val="16"/>
      <w:szCs w:val="16"/>
    </w:rPr>
  </w:style>
  <w:style w:type="character" w:customStyle="1" w:styleId="BalloonTextChar">
    <w:name w:val="Balloon Text Char"/>
    <w:basedOn w:val="DefaultParagraphFont"/>
    <w:link w:val="BalloonText"/>
    <w:rsid w:val="00CC394F"/>
    <w:rPr>
      <w:rFonts w:ascii="Tahoma" w:hAnsi="Tahoma" w:cs="Tahoma"/>
      <w:sz w:val="16"/>
      <w:szCs w:val="16"/>
    </w:rPr>
  </w:style>
  <w:style w:type="character" w:customStyle="1" w:styleId="NormalChar">
    <w:name w:val="[Normal] Char"/>
    <w:link w:val="Normal0"/>
    <w:locked/>
    <w:rsid w:val="00CC394F"/>
    <w:rPr>
      <w:rFonts w:ascii="Arial" w:hAnsi="Arial" w:cs="Arial"/>
      <w:sz w:val="24"/>
      <w:szCs w:val="24"/>
    </w:rPr>
  </w:style>
  <w:style w:type="paragraph" w:customStyle="1" w:styleId="Normal0">
    <w:name w:val="[Normal]"/>
    <w:link w:val="NormalChar"/>
    <w:rsid w:val="00CC394F"/>
    <w:pPr>
      <w:autoSpaceDE w:val="0"/>
      <w:autoSpaceDN w:val="0"/>
      <w:adjustRightInd w:val="0"/>
    </w:pPr>
    <w:rPr>
      <w:rFonts w:ascii="Arial" w:hAnsi="Arial" w:cs="Arial"/>
      <w:sz w:val="24"/>
      <w:szCs w:val="24"/>
    </w:rPr>
  </w:style>
  <w:style w:type="character" w:styleId="CommentReference">
    <w:name w:val="annotation reference"/>
    <w:rsid w:val="00AF17A5"/>
    <w:rPr>
      <w:sz w:val="16"/>
      <w:szCs w:val="16"/>
    </w:rPr>
  </w:style>
  <w:style w:type="paragraph" w:styleId="CommentText">
    <w:name w:val="annotation text"/>
    <w:basedOn w:val="Normal"/>
    <w:link w:val="CommentTextChar"/>
    <w:rsid w:val="00AF17A5"/>
    <w:rPr>
      <w:sz w:val="20"/>
      <w:szCs w:val="20"/>
    </w:rPr>
  </w:style>
  <w:style w:type="character" w:customStyle="1" w:styleId="CommentTextChar">
    <w:name w:val="Comment Text Char"/>
    <w:basedOn w:val="DefaultParagraphFont"/>
    <w:link w:val="CommentText"/>
    <w:rsid w:val="00AF17A5"/>
    <w:rPr>
      <w:rFonts w:ascii="Arial" w:hAnsi="Arial"/>
    </w:rPr>
  </w:style>
  <w:style w:type="paragraph" w:customStyle="1" w:styleId="Default">
    <w:name w:val="Default"/>
    <w:rsid w:val="00F6496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4436CF"/>
    <w:rPr>
      <w:b/>
      <w:bCs/>
    </w:rPr>
  </w:style>
  <w:style w:type="character" w:customStyle="1" w:styleId="CommentSubjectChar">
    <w:name w:val="Comment Subject Char"/>
    <w:basedOn w:val="CommentTextChar"/>
    <w:link w:val="CommentSubject"/>
    <w:rsid w:val="004436CF"/>
    <w:rPr>
      <w:rFonts w:ascii="Arial" w:hAnsi="Arial"/>
      <w:b/>
      <w:bCs/>
    </w:rPr>
  </w:style>
  <w:style w:type="character" w:styleId="PageNumber">
    <w:name w:val="page number"/>
    <w:basedOn w:val="DefaultParagraphFont"/>
    <w:rsid w:val="00291BE4"/>
  </w:style>
  <w:style w:type="paragraph" w:styleId="BodyText">
    <w:name w:val="Body Text"/>
    <w:basedOn w:val="Normal"/>
    <w:link w:val="BodyTextChar"/>
    <w:rsid w:val="00291BE4"/>
    <w:pPr>
      <w:spacing w:line="360" w:lineRule="auto"/>
      <w:ind w:right="-475"/>
      <w:jc w:val="both"/>
    </w:pPr>
    <w:rPr>
      <w:sz w:val="22"/>
      <w:szCs w:val="20"/>
    </w:rPr>
  </w:style>
  <w:style w:type="character" w:customStyle="1" w:styleId="BodyTextChar">
    <w:name w:val="Body Text Char"/>
    <w:basedOn w:val="DefaultParagraphFont"/>
    <w:link w:val="BodyText"/>
    <w:rsid w:val="00291BE4"/>
    <w:rPr>
      <w:rFonts w:ascii="Arial" w:hAnsi="Arial"/>
      <w:sz w:val="22"/>
    </w:rPr>
  </w:style>
  <w:style w:type="character" w:styleId="Hyperlink">
    <w:name w:val="Hyperlink"/>
    <w:rsid w:val="00291BE4"/>
    <w:rPr>
      <w:color w:val="0000FF"/>
      <w:u w:val="single"/>
    </w:rPr>
  </w:style>
  <w:style w:type="character" w:styleId="Emphasis">
    <w:name w:val="Emphasis"/>
    <w:uiPriority w:val="20"/>
    <w:qFormat/>
    <w:rsid w:val="00291BE4"/>
    <w:rPr>
      <w:i/>
      <w:iCs/>
    </w:rPr>
  </w:style>
  <w:style w:type="character" w:customStyle="1" w:styleId="st">
    <w:name w:val="st"/>
    <w:rsid w:val="00291BE4"/>
  </w:style>
  <w:style w:type="character" w:customStyle="1" w:styleId="f">
    <w:name w:val="f"/>
    <w:rsid w:val="00291BE4"/>
  </w:style>
  <w:style w:type="paragraph" w:customStyle="1" w:styleId="Pa0">
    <w:name w:val="Pa0"/>
    <w:basedOn w:val="Default"/>
    <w:next w:val="Default"/>
    <w:uiPriority w:val="99"/>
    <w:rsid w:val="00291BE4"/>
    <w:pPr>
      <w:spacing w:line="240" w:lineRule="atLeast"/>
    </w:pPr>
    <w:rPr>
      <w:color w:val="auto"/>
    </w:rPr>
  </w:style>
  <w:style w:type="character" w:customStyle="1" w:styleId="A2">
    <w:name w:val="A2"/>
    <w:uiPriority w:val="99"/>
    <w:rsid w:val="00291BE4"/>
    <w:rPr>
      <w:color w:val="000000"/>
      <w:sz w:val="22"/>
      <w:szCs w:val="22"/>
    </w:rPr>
  </w:style>
  <w:style w:type="paragraph" w:styleId="Revision">
    <w:name w:val="Revision"/>
    <w:hidden/>
    <w:uiPriority w:val="99"/>
    <w:semiHidden/>
    <w:rsid w:val="00212229"/>
    <w:rPr>
      <w:rFonts w:ascii="Arial" w:hAnsi="Arial"/>
      <w:sz w:val="24"/>
      <w:szCs w:val="24"/>
    </w:rPr>
  </w:style>
  <w:style w:type="character" w:customStyle="1" w:styleId="Heading2Char">
    <w:name w:val="Heading 2 Char"/>
    <w:basedOn w:val="DefaultParagraphFont"/>
    <w:link w:val="Heading2"/>
    <w:semiHidden/>
    <w:rsid w:val="0021510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A7879"/>
    <w:rPr>
      <w:b/>
      <w:bCs/>
    </w:rPr>
  </w:style>
  <w:style w:type="character" w:customStyle="1" w:styleId="apple-converted-space">
    <w:name w:val="apple-converted-space"/>
    <w:basedOn w:val="DefaultParagraphFont"/>
    <w:rsid w:val="007A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6805">
      <w:bodyDiv w:val="1"/>
      <w:marLeft w:val="0"/>
      <w:marRight w:val="0"/>
      <w:marTop w:val="0"/>
      <w:marBottom w:val="0"/>
      <w:divBdr>
        <w:top w:val="none" w:sz="0" w:space="0" w:color="auto"/>
        <w:left w:val="none" w:sz="0" w:space="0" w:color="auto"/>
        <w:bottom w:val="none" w:sz="0" w:space="0" w:color="auto"/>
        <w:right w:val="none" w:sz="0" w:space="0" w:color="auto"/>
      </w:divBdr>
    </w:div>
    <w:div w:id="366680463">
      <w:bodyDiv w:val="1"/>
      <w:marLeft w:val="0"/>
      <w:marRight w:val="0"/>
      <w:marTop w:val="0"/>
      <w:marBottom w:val="0"/>
      <w:divBdr>
        <w:top w:val="none" w:sz="0" w:space="0" w:color="auto"/>
        <w:left w:val="none" w:sz="0" w:space="0" w:color="auto"/>
        <w:bottom w:val="none" w:sz="0" w:space="0" w:color="auto"/>
        <w:right w:val="none" w:sz="0" w:space="0" w:color="auto"/>
      </w:divBdr>
    </w:div>
    <w:div w:id="484860898">
      <w:bodyDiv w:val="1"/>
      <w:marLeft w:val="0"/>
      <w:marRight w:val="0"/>
      <w:marTop w:val="0"/>
      <w:marBottom w:val="0"/>
      <w:divBdr>
        <w:top w:val="none" w:sz="0" w:space="0" w:color="auto"/>
        <w:left w:val="none" w:sz="0" w:space="0" w:color="auto"/>
        <w:bottom w:val="none" w:sz="0" w:space="0" w:color="auto"/>
        <w:right w:val="none" w:sz="0" w:space="0" w:color="auto"/>
      </w:divBdr>
    </w:div>
    <w:div w:id="500318036">
      <w:bodyDiv w:val="1"/>
      <w:marLeft w:val="0"/>
      <w:marRight w:val="0"/>
      <w:marTop w:val="0"/>
      <w:marBottom w:val="0"/>
      <w:divBdr>
        <w:top w:val="none" w:sz="0" w:space="0" w:color="auto"/>
        <w:left w:val="none" w:sz="0" w:space="0" w:color="auto"/>
        <w:bottom w:val="none" w:sz="0" w:space="0" w:color="auto"/>
        <w:right w:val="none" w:sz="0" w:space="0" w:color="auto"/>
      </w:divBdr>
    </w:div>
    <w:div w:id="843327104">
      <w:bodyDiv w:val="1"/>
      <w:marLeft w:val="0"/>
      <w:marRight w:val="0"/>
      <w:marTop w:val="0"/>
      <w:marBottom w:val="0"/>
      <w:divBdr>
        <w:top w:val="none" w:sz="0" w:space="0" w:color="auto"/>
        <w:left w:val="none" w:sz="0" w:space="0" w:color="auto"/>
        <w:bottom w:val="none" w:sz="0" w:space="0" w:color="auto"/>
        <w:right w:val="none" w:sz="0" w:space="0" w:color="auto"/>
      </w:divBdr>
      <w:divsChild>
        <w:div w:id="1609580844">
          <w:marLeft w:val="0"/>
          <w:marRight w:val="0"/>
          <w:marTop w:val="0"/>
          <w:marBottom w:val="0"/>
          <w:divBdr>
            <w:top w:val="none" w:sz="0" w:space="0" w:color="auto"/>
            <w:left w:val="none" w:sz="0" w:space="0" w:color="auto"/>
            <w:bottom w:val="single" w:sz="6" w:space="1" w:color="auto"/>
            <w:right w:val="none" w:sz="0" w:space="0" w:color="auto"/>
          </w:divBdr>
        </w:div>
        <w:div w:id="1503858334">
          <w:marLeft w:val="0"/>
          <w:marRight w:val="0"/>
          <w:marTop w:val="0"/>
          <w:marBottom w:val="0"/>
          <w:divBdr>
            <w:top w:val="none" w:sz="0" w:space="0" w:color="auto"/>
            <w:left w:val="none" w:sz="0" w:space="0" w:color="auto"/>
            <w:bottom w:val="single" w:sz="6" w:space="1" w:color="auto"/>
            <w:right w:val="none" w:sz="0" w:space="0" w:color="auto"/>
          </w:divBdr>
        </w:div>
        <w:div w:id="1195853187">
          <w:marLeft w:val="0"/>
          <w:marRight w:val="0"/>
          <w:marTop w:val="0"/>
          <w:marBottom w:val="0"/>
          <w:divBdr>
            <w:top w:val="none" w:sz="0" w:space="0" w:color="auto"/>
            <w:left w:val="none" w:sz="0" w:space="0" w:color="auto"/>
            <w:bottom w:val="single" w:sz="6" w:space="1" w:color="auto"/>
            <w:right w:val="none" w:sz="0" w:space="0" w:color="auto"/>
          </w:divBdr>
        </w:div>
        <w:div w:id="1162625265">
          <w:marLeft w:val="0"/>
          <w:marRight w:val="0"/>
          <w:marTop w:val="0"/>
          <w:marBottom w:val="0"/>
          <w:divBdr>
            <w:top w:val="none" w:sz="0" w:space="0" w:color="auto"/>
            <w:left w:val="none" w:sz="0" w:space="0" w:color="auto"/>
            <w:bottom w:val="single" w:sz="6" w:space="1" w:color="auto"/>
            <w:right w:val="none" w:sz="0" w:space="0" w:color="auto"/>
          </w:divBdr>
        </w:div>
        <w:div w:id="2101564971">
          <w:marLeft w:val="0"/>
          <w:marRight w:val="0"/>
          <w:marTop w:val="0"/>
          <w:marBottom w:val="0"/>
          <w:divBdr>
            <w:top w:val="none" w:sz="0" w:space="0" w:color="auto"/>
            <w:left w:val="none" w:sz="0" w:space="0" w:color="auto"/>
            <w:bottom w:val="single" w:sz="6" w:space="1" w:color="auto"/>
            <w:right w:val="none" w:sz="0" w:space="0" w:color="auto"/>
          </w:divBdr>
        </w:div>
        <w:div w:id="1266378481">
          <w:marLeft w:val="0"/>
          <w:marRight w:val="0"/>
          <w:marTop w:val="0"/>
          <w:marBottom w:val="0"/>
          <w:divBdr>
            <w:top w:val="none" w:sz="0" w:space="0" w:color="auto"/>
            <w:left w:val="none" w:sz="0" w:space="0" w:color="auto"/>
            <w:bottom w:val="single" w:sz="6" w:space="1" w:color="auto"/>
            <w:right w:val="none" w:sz="0" w:space="0" w:color="auto"/>
          </w:divBdr>
        </w:div>
        <w:div w:id="1488739851">
          <w:marLeft w:val="0"/>
          <w:marRight w:val="0"/>
          <w:marTop w:val="0"/>
          <w:marBottom w:val="0"/>
          <w:divBdr>
            <w:top w:val="none" w:sz="0" w:space="0" w:color="auto"/>
            <w:left w:val="none" w:sz="0" w:space="0" w:color="auto"/>
            <w:bottom w:val="single" w:sz="6" w:space="1" w:color="auto"/>
            <w:right w:val="none" w:sz="0" w:space="0" w:color="auto"/>
          </w:divBdr>
        </w:div>
        <w:div w:id="1993606964">
          <w:marLeft w:val="0"/>
          <w:marRight w:val="0"/>
          <w:marTop w:val="0"/>
          <w:marBottom w:val="0"/>
          <w:divBdr>
            <w:top w:val="none" w:sz="0" w:space="0" w:color="auto"/>
            <w:left w:val="none" w:sz="0" w:space="0" w:color="auto"/>
            <w:bottom w:val="single" w:sz="6" w:space="1" w:color="auto"/>
            <w:right w:val="none" w:sz="0" w:space="0" w:color="auto"/>
          </w:divBdr>
        </w:div>
      </w:divsChild>
    </w:div>
    <w:div w:id="886991052">
      <w:bodyDiv w:val="1"/>
      <w:marLeft w:val="0"/>
      <w:marRight w:val="0"/>
      <w:marTop w:val="0"/>
      <w:marBottom w:val="0"/>
      <w:divBdr>
        <w:top w:val="none" w:sz="0" w:space="0" w:color="auto"/>
        <w:left w:val="none" w:sz="0" w:space="0" w:color="auto"/>
        <w:bottom w:val="none" w:sz="0" w:space="0" w:color="auto"/>
        <w:right w:val="none" w:sz="0" w:space="0" w:color="auto"/>
      </w:divBdr>
    </w:div>
    <w:div w:id="1015427390">
      <w:bodyDiv w:val="1"/>
      <w:marLeft w:val="0"/>
      <w:marRight w:val="0"/>
      <w:marTop w:val="0"/>
      <w:marBottom w:val="0"/>
      <w:divBdr>
        <w:top w:val="none" w:sz="0" w:space="0" w:color="auto"/>
        <w:left w:val="none" w:sz="0" w:space="0" w:color="auto"/>
        <w:bottom w:val="none" w:sz="0" w:space="0" w:color="auto"/>
        <w:right w:val="none" w:sz="0" w:space="0" w:color="auto"/>
      </w:divBdr>
    </w:div>
    <w:div w:id="1283070228">
      <w:bodyDiv w:val="1"/>
      <w:marLeft w:val="0"/>
      <w:marRight w:val="0"/>
      <w:marTop w:val="0"/>
      <w:marBottom w:val="0"/>
      <w:divBdr>
        <w:top w:val="none" w:sz="0" w:space="0" w:color="auto"/>
        <w:left w:val="none" w:sz="0" w:space="0" w:color="auto"/>
        <w:bottom w:val="none" w:sz="0" w:space="0" w:color="auto"/>
        <w:right w:val="none" w:sz="0" w:space="0" w:color="auto"/>
      </w:divBdr>
    </w:div>
    <w:div w:id="1295062100">
      <w:bodyDiv w:val="1"/>
      <w:marLeft w:val="0"/>
      <w:marRight w:val="0"/>
      <w:marTop w:val="0"/>
      <w:marBottom w:val="0"/>
      <w:divBdr>
        <w:top w:val="none" w:sz="0" w:space="0" w:color="auto"/>
        <w:left w:val="none" w:sz="0" w:space="0" w:color="auto"/>
        <w:bottom w:val="none" w:sz="0" w:space="0" w:color="auto"/>
        <w:right w:val="none" w:sz="0" w:space="0" w:color="auto"/>
      </w:divBdr>
    </w:div>
    <w:div w:id="1519782048">
      <w:bodyDiv w:val="1"/>
      <w:marLeft w:val="0"/>
      <w:marRight w:val="0"/>
      <w:marTop w:val="0"/>
      <w:marBottom w:val="0"/>
      <w:divBdr>
        <w:top w:val="none" w:sz="0" w:space="0" w:color="auto"/>
        <w:left w:val="none" w:sz="0" w:space="0" w:color="auto"/>
        <w:bottom w:val="none" w:sz="0" w:space="0" w:color="auto"/>
        <w:right w:val="none" w:sz="0" w:space="0" w:color="auto"/>
      </w:divBdr>
    </w:div>
    <w:div w:id="1615097226">
      <w:bodyDiv w:val="1"/>
      <w:marLeft w:val="0"/>
      <w:marRight w:val="0"/>
      <w:marTop w:val="0"/>
      <w:marBottom w:val="0"/>
      <w:divBdr>
        <w:top w:val="none" w:sz="0" w:space="0" w:color="auto"/>
        <w:left w:val="none" w:sz="0" w:space="0" w:color="auto"/>
        <w:bottom w:val="none" w:sz="0" w:space="0" w:color="auto"/>
        <w:right w:val="none" w:sz="0" w:space="0" w:color="auto"/>
      </w:divBdr>
    </w:div>
    <w:div w:id="1634287076">
      <w:bodyDiv w:val="1"/>
      <w:marLeft w:val="0"/>
      <w:marRight w:val="0"/>
      <w:marTop w:val="0"/>
      <w:marBottom w:val="0"/>
      <w:divBdr>
        <w:top w:val="none" w:sz="0" w:space="0" w:color="auto"/>
        <w:left w:val="none" w:sz="0" w:space="0" w:color="auto"/>
        <w:bottom w:val="none" w:sz="0" w:space="0" w:color="auto"/>
        <w:right w:val="none" w:sz="0" w:space="0" w:color="auto"/>
      </w:divBdr>
    </w:div>
    <w:div w:id="18366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2E96-4DF6-4CE5-9BE6-58BA3437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Chadwick</dc:creator>
  <cp:lastModifiedBy>James</cp:lastModifiedBy>
  <cp:revision>2</cp:revision>
  <cp:lastPrinted>2016-02-12T09:42:00Z</cp:lastPrinted>
  <dcterms:created xsi:type="dcterms:W3CDTF">2020-10-21T23:59:00Z</dcterms:created>
  <dcterms:modified xsi:type="dcterms:W3CDTF">2020-10-21T23:59:00Z</dcterms:modified>
</cp:coreProperties>
</file>