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42C97" w14:textId="77777777" w:rsidR="00B6239E" w:rsidRDefault="00B6239E" w:rsidP="00B6239E">
      <w:pPr>
        <w:pStyle w:val="Subtitle"/>
        <w:jc w:val="right"/>
        <w:rPr>
          <w:rFonts w:ascii="Arial Unicode MS" w:hAnsi="Arial Unicode MS"/>
        </w:rPr>
      </w:pPr>
    </w:p>
    <w:p w14:paraId="098F8383" w14:textId="77777777" w:rsidR="00B6239E" w:rsidRDefault="00B6239E" w:rsidP="00B6239E">
      <w:pPr>
        <w:pStyle w:val="Subtitle"/>
        <w:jc w:val="right"/>
        <w:rPr>
          <w:rFonts w:ascii="Arial Unicode MS" w:hAnsi="Arial Unicode MS"/>
        </w:rPr>
      </w:pPr>
    </w:p>
    <w:p w14:paraId="61B4E638" w14:textId="77777777" w:rsidR="00B6239E" w:rsidRDefault="00B6239E" w:rsidP="00B6239E">
      <w:pPr>
        <w:pStyle w:val="Subtitle"/>
        <w:jc w:val="right"/>
        <w:rPr>
          <w:rFonts w:ascii="Arial Unicode MS" w:hAnsi="Arial Unicode MS"/>
        </w:rPr>
      </w:pPr>
    </w:p>
    <w:p w14:paraId="73F0E3EF" w14:textId="5BC4A3C1" w:rsidR="00B6239E" w:rsidRDefault="00A53BF9" w:rsidP="00B6239E">
      <w:pPr>
        <w:pStyle w:val="Subtitle"/>
        <w:jc w:val="right"/>
        <w:rPr>
          <w:rFonts w:ascii="Arial Unicode MS" w:hAnsi="Arial Unicode MS"/>
        </w:rPr>
      </w:pPr>
      <w:r>
        <w:rPr>
          <w:rFonts w:ascii="Arial Unicode MS" w:hAnsi="Arial Unicode MS"/>
        </w:rPr>
        <w:t xml:space="preserve">As-Built </w:t>
      </w:r>
      <w:r w:rsidR="00043835">
        <w:rPr>
          <w:rFonts w:ascii="Arial Unicode MS" w:hAnsi="Arial Unicode MS"/>
        </w:rPr>
        <w:t xml:space="preserve">Energy </w:t>
      </w:r>
      <w:r w:rsidR="00A97E11">
        <w:rPr>
          <w:rFonts w:ascii="Arial Unicode MS" w:hAnsi="Arial Unicode MS"/>
        </w:rPr>
        <w:t xml:space="preserve">&amp; Sustainability </w:t>
      </w:r>
      <w:r w:rsidR="00043835">
        <w:rPr>
          <w:rFonts w:ascii="Arial Unicode MS" w:hAnsi="Arial Unicode MS"/>
        </w:rPr>
        <w:t>Statement for</w:t>
      </w:r>
    </w:p>
    <w:p w14:paraId="6D646138" w14:textId="3B74BA75" w:rsidR="0091284A" w:rsidRDefault="0091284A" w:rsidP="0091284A">
      <w:pPr>
        <w:pStyle w:val="Subtitle"/>
        <w:jc w:val="right"/>
        <w:rPr>
          <w:rFonts w:ascii="Arial Unicode MS" w:hAnsi="Arial Unicode MS"/>
        </w:rPr>
      </w:pPr>
      <w:r>
        <w:rPr>
          <w:rFonts w:ascii="Arial Unicode MS" w:hAnsi="Arial Unicode MS"/>
        </w:rPr>
        <w:t xml:space="preserve">73a </w:t>
      </w:r>
      <w:proofErr w:type="spellStart"/>
      <w:r>
        <w:rPr>
          <w:rFonts w:ascii="Arial Unicode MS" w:hAnsi="Arial Unicode MS"/>
        </w:rPr>
        <w:t>Maygrove</w:t>
      </w:r>
      <w:proofErr w:type="spellEnd"/>
      <w:r>
        <w:rPr>
          <w:rFonts w:ascii="Arial Unicode MS" w:hAnsi="Arial Unicode MS"/>
        </w:rPr>
        <w:t xml:space="preserve"> Road, </w:t>
      </w:r>
    </w:p>
    <w:p w14:paraId="1E75B61A" w14:textId="07A5596D" w:rsidR="0091284A" w:rsidRPr="0091284A" w:rsidRDefault="0091284A" w:rsidP="0091284A">
      <w:pPr>
        <w:pStyle w:val="Subtitle"/>
        <w:jc w:val="right"/>
        <w:rPr>
          <w:rFonts w:ascii="Arial Unicode MS" w:hAnsi="Arial Unicode MS"/>
        </w:rPr>
      </w:pPr>
      <w:r>
        <w:rPr>
          <w:rFonts w:ascii="Arial Unicode MS" w:hAnsi="Arial Unicode MS"/>
        </w:rPr>
        <w:t>Camden, London</w:t>
      </w:r>
    </w:p>
    <w:p w14:paraId="73E5B030" w14:textId="77777777" w:rsidR="00B6239E" w:rsidRPr="00B6239E" w:rsidRDefault="00B6239E" w:rsidP="00B6239E">
      <w:pPr>
        <w:pStyle w:val="Subtitle"/>
        <w:jc w:val="right"/>
        <w:rPr>
          <w:rFonts w:ascii="Arial Unicode MS" w:hAnsi="Arial Unicode MS"/>
        </w:rPr>
      </w:pPr>
    </w:p>
    <w:p w14:paraId="4DA520BD" w14:textId="77777777" w:rsidR="00B6239E" w:rsidRPr="00B6239E" w:rsidRDefault="00B6239E" w:rsidP="00B6239E">
      <w:pPr>
        <w:pStyle w:val="Subtitle"/>
        <w:jc w:val="right"/>
        <w:rPr>
          <w:rFonts w:ascii="Arial Unicode MS" w:hAnsi="Arial Unicode MS"/>
        </w:rPr>
      </w:pPr>
    </w:p>
    <w:p w14:paraId="52E5E3E0" w14:textId="78C9CA01" w:rsidR="00FE28B5" w:rsidRDefault="0044526F" w:rsidP="00B6239E">
      <w:pPr>
        <w:pStyle w:val="Subtitle"/>
        <w:jc w:val="right"/>
        <w:rPr>
          <w:rFonts w:asciiTheme="minorHAnsi" w:hAnsiTheme="minorHAnsi" w:cstheme="minorHAnsi"/>
          <w:sz w:val="22"/>
          <w:szCs w:val="22"/>
        </w:rPr>
      </w:pPr>
      <w:r>
        <w:rPr>
          <w:rFonts w:ascii="Arial Unicode MS" w:hAnsi="Arial Unicode MS"/>
        </w:rPr>
        <w:t>22</w:t>
      </w:r>
      <w:r w:rsidRPr="0044526F">
        <w:rPr>
          <w:rFonts w:ascii="Arial Unicode MS" w:hAnsi="Arial Unicode MS"/>
          <w:vertAlign w:val="superscript"/>
        </w:rPr>
        <w:t>nd</w:t>
      </w:r>
      <w:r>
        <w:rPr>
          <w:rFonts w:ascii="Arial Unicode MS" w:hAnsi="Arial Unicode MS"/>
        </w:rPr>
        <w:t xml:space="preserve"> </w:t>
      </w:r>
      <w:r w:rsidR="0091284A">
        <w:rPr>
          <w:rFonts w:ascii="Arial Unicode MS" w:hAnsi="Arial Unicode MS"/>
        </w:rPr>
        <w:t>J</w:t>
      </w:r>
      <w:r w:rsidR="00A53BF9">
        <w:rPr>
          <w:rFonts w:ascii="Arial Unicode MS" w:hAnsi="Arial Unicode MS"/>
        </w:rPr>
        <w:t>anuary</w:t>
      </w:r>
      <w:r w:rsidR="0091284A">
        <w:rPr>
          <w:rFonts w:ascii="Arial Unicode MS" w:hAnsi="Arial Unicode MS"/>
        </w:rPr>
        <w:t xml:space="preserve"> 20</w:t>
      </w:r>
      <w:r w:rsidR="00A53BF9">
        <w:rPr>
          <w:rFonts w:ascii="Arial Unicode MS" w:hAnsi="Arial Unicode MS"/>
        </w:rPr>
        <w:t>21</w:t>
      </w:r>
    </w:p>
    <w:p w14:paraId="5863F3D2" w14:textId="77777777" w:rsidR="00FE28B5" w:rsidRDefault="00FE28B5" w:rsidP="00D13CA5">
      <w:pPr>
        <w:kinsoku w:val="0"/>
        <w:overflowPunct w:val="0"/>
        <w:autoSpaceDE w:val="0"/>
        <w:autoSpaceDN w:val="0"/>
        <w:adjustRightInd w:val="0"/>
        <w:spacing w:line="216" w:lineRule="exact"/>
        <w:rPr>
          <w:rFonts w:asciiTheme="minorHAnsi" w:hAnsiTheme="minorHAnsi" w:cstheme="minorHAnsi"/>
          <w:sz w:val="22"/>
          <w:szCs w:val="22"/>
        </w:rPr>
      </w:pPr>
    </w:p>
    <w:p w14:paraId="0D8DAB44" w14:textId="77777777" w:rsidR="00D13CA5" w:rsidRDefault="00D13CA5" w:rsidP="00D13CA5">
      <w:pPr>
        <w:kinsoku w:val="0"/>
        <w:overflowPunct w:val="0"/>
        <w:autoSpaceDE w:val="0"/>
        <w:autoSpaceDN w:val="0"/>
        <w:adjustRightInd w:val="0"/>
        <w:spacing w:line="216" w:lineRule="exact"/>
        <w:rPr>
          <w:rFonts w:asciiTheme="minorHAnsi" w:hAnsiTheme="minorHAnsi" w:cstheme="minorHAnsi"/>
          <w:sz w:val="22"/>
          <w:szCs w:val="22"/>
        </w:rPr>
      </w:pPr>
    </w:p>
    <w:p w14:paraId="0EEFF95E" w14:textId="77777777" w:rsidR="00D13CA5" w:rsidRDefault="00D13CA5" w:rsidP="00D13CA5">
      <w:pPr>
        <w:kinsoku w:val="0"/>
        <w:overflowPunct w:val="0"/>
        <w:autoSpaceDE w:val="0"/>
        <w:autoSpaceDN w:val="0"/>
        <w:adjustRightInd w:val="0"/>
        <w:spacing w:line="216" w:lineRule="exact"/>
        <w:rPr>
          <w:rFonts w:asciiTheme="minorHAnsi" w:hAnsiTheme="minorHAnsi" w:cstheme="minorHAnsi"/>
          <w:sz w:val="22"/>
          <w:szCs w:val="22"/>
        </w:rPr>
      </w:pPr>
    </w:p>
    <w:p w14:paraId="273E3E54" w14:textId="77777777" w:rsidR="00FE28B5" w:rsidRDefault="00FE28B5" w:rsidP="00FE28B5">
      <w:pPr>
        <w:kinsoku w:val="0"/>
        <w:overflowPunct w:val="0"/>
        <w:autoSpaceDE w:val="0"/>
        <w:autoSpaceDN w:val="0"/>
        <w:adjustRightInd w:val="0"/>
        <w:spacing w:line="216" w:lineRule="exact"/>
        <w:ind w:left="40"/>
        <w:rPr>
          <w:rFonts w:asciiTheme="minorHAnsi" w:hAnsiTheme="minorHAnsi" w:cstheme="minorHAnsi"/>
          <w:sz w:val="22"/>
          <w:szCs w:val="22"/>
        </w:rPr>
      </w:pPr>
    </w:p>
    <w:p w14:paraId="19E9D251" w14:textId="77777777" w:rsidR="00FE28B5" w:rsidRDefault="00FE28B5" w:rsidP="00FE28B5">
      <w:pPr>
        <w:kinsoku w:val="0"/>
        <w:overflowPunct w:val="0"/>
        <w:autoSpaceDE w:val="0"/>
        <w:autoSpaceDN w:val="0"/>
        <w:adjustRightInd w:val="0"/>
        <w:spacing w:line="216" w:lineRule="exact"/>
        <w:ind w:left="40"/>
        <w:rPr>
          <w:rFonts w:asciiTheme="minorHAnsi" w:hAnsiTheme="minorHAnsi" w:cstheme="minorHAnsi"/>
          <w:sz w:val="22"/>
          <w:szCs w:val="22"/>
        </w:rPr>
      </w:pPr>
    </w:p>
    <w:p w14:paraId="3A3630F0" w14:textId="77777777" w:rsidR="00FE28B5" w:rsidRPr="00DB1D46" w:rsidRDefault="00FE28B5" w:rsidP="00FE28B5">
      <w:pPr>
        <w:kinsoku w:val="0"/>
        <w:overflowPunct w:val="0"/>
        <w:autoSpaceDE w:val="0"/>
        <w:autoSpaceDN w:val="0"/>
        <w:adjustRightInd w:val="0"/>
        <w:spacing w:line="216" w:lineRule="exact"/>
        <w:ind w:left="40"/>
        <w:rPr>
          <w:rFonts w:asciiTheme="minorHAnsi" w:hAnsiTheme="minorHAnsi" w:cstheme="minorHAnsi"/>
          <w:sz w:val="22"/>
          <w:szCs w:val="22"/>
        </w:rPr>
      </w:pPr>
    </w:p>
    <w:p w14:paraId="4C0033EA" w14:textId="77777777" w:rsidR="00FE28B5" w:rsidRDefault="00FE28B5" w:rsidP="00FE28B5">
      <w:pPr>
        <w:kinsoku w:val="0"/>
        <w:overflowPunct w:val="0"/>
        <w:autoSpaceDE w:val="0"/>
        <w:autoSpaceDN w:val="0"/>
        <w:adjustRightInd w:val="0"/>
        <w:spacing w:line="216" w:lineRule="exact"/>
        <w:ind w:left="40"/>
        <w:rPr>
          <w:rFonts w:asciiTheme="minorHAnsi" w:hAnsiTheme="minorHAnsi" w:cstheme="minorHAnsi"/>
          <w:sz w:val="22"/>
          <w:szCs w:val="22"/>
        </w:rPr>
      </w:pPr>
    </w:p>
    <w:p w14:paraId="3ED471D9" w14:textId="77777777" w:rsidR="00DD364F" w:rsidRDefault="00DD364F" w:rsidP="00FE28B5">
      <w:pPr>
        <w:kinsoku w:val="0"/>
        <w:overflowPunct w:val="0"/>
        <w:autoSpaceDE w:val="0"/>
        <w:autoSpaceDN w:val="0"/>
        <w:adjustRightInd w:val="0"/>
        <w:spacing w:line="216" w:lineRule="exact"/>
        <w:ind w:left="40"/>
        <w:rPr>
          <w:rFonts w:asciiTheme="minorHAnsi" w:hAnsiTheme="minorHAnsi" w:cstheme="minorHAnsi"/>
          <w:sz w:val="20"/>
          <w:szCs w:val="20"/>
        </w:rPr>
      </w:pPr>
    </w:p>
    <w:p w14:paraId="77206380" w14:textId="77777777" w:rsidR="00554F22" w:rsidRPr="00DD364F" w:rsidRDefault="00554F22" w:rsidP="00DD364F">
      <w:pPr>
        <w:kinsoku w:val="0"/>
        <w:overflowPunct w:val="0"/>
        <w:autoSpaceDE w:val="0"/>
        <w:autoSpaceDN w:val="0"/>
        <w:adjustRightInd w:val="0"/>
        <w:spacing w:line="216" w:lineRule="exact"/>
        <w:ind w:left="40"/>
        <w:rPr>
          <w:rFonts w:asciiTheme="minorHAnsi" w:hAnsiTheme="minorHAnsi" w:cstheme="minorHAnsi"/>
          <w:sz w:val="20"/>
          <w:szCs w:val="20"/>
        </w:rPr>
      </w:pPr>
      <w:r>
        <w:rPr>
          <w:b/>
          <w:bCs/>
          <w:sz w:val="36"/>
          <w:szCs w:val="36"/>
        </w:rPr>
        <w:br w:type="page"/>
      </w:r>
    </w:p>
    <w:p w14:paraId="30962541" w14:textId="77777777" w:rsidR="00554F22" w:rsidRDefault="00554F22">
      <w:pPr>
        <w:pStyle w:val="Subtitle"/>
        <w:rPr>
          <w:b/>
          <w:bCs/>
          <w:sz w:val="36"/>
          <w:szCs w:val="36"/>
        </w:rPr>
        <w:sectPr w:rsidR="00554F22" w:rsidSect="00554F22">
          <w:footerReference w:type="default" r:id="rId8"/>
          <w:type w:val="continuous"/>
          <w:pgSz w:w="11906" w:h="16838"/>
          <w:pgMar w:top="1800" w:right="1440" w:bottom="1800" w:left="1440" w:header="1080" w:footer="731" w:gutter="0"/>
          <w:cols w:space="720"/>
        </w:sectPr>
      </w:pPr>
    </w:p>
    <w:p w14:paraId="0B1FFCEB" w14:textId="77777777" w:rsidR="00554F22" w:rsidRDefault="00554F22">
      <w:pPr>
        <w:pStyle w:val="Subtitle"/>
        <w:rPr>
          <w:b/>
          <w:bCs/>
          <w:sz w:val="36"/>
          <w:szCs w:val="36"/>
        </w:rPr>
      </w:pPr>
    </w:p>
    <w:p w14:paraId="65366FBA" w14:textId="77777777" w:rsidR="003C22C9" w:rsidRDefault="00847AF4">
      <w:pPr>
        <w:pStyle w:val="Subtitle"/>
      </w:pPr>
      <w:r>
        <w:rPr>
          <w:b/>
          <w:bCs/>
          <w:sz w:val="36"/>
          <w:szCs w:val="36"/>
        </w:rPr>
        <w:t>Contents</w:t>
      </w:r>
      <w:r>
        <w:t xml:space="preserve"> </w:t>
      </w:r>
    </w:p>
    <w:p w14:paraId="746920C9" w14:textId="77777777" w:rsidR="003C22C9" w:rsidRDefault="003C22C9">
      <w:pPr>
        <w:pStyle w:val="Body"/>
      </w:pPr>
    </w:p>
    <w:p w14:paraId="001BC6A5" w14:textId="77777777" w:rsidR="003C22C9" w:rsidRDefault="003C22C9">
      <w:pPr>
        <w:pStyle w:val="Body"/>
      </w:pPr>
    </w:p>
    <w:p w14:paraId="44A052BA" w14:textId="77777777" w:rsidR="003C22C9" w:rsidRDefault="003C22C9">
      <w:pPr>
        <w:pStyle w:val="Body"/>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6900"/>
        <w:gridCol w:w="1035"/>
      </w:tblGrid>
      <w:tr w:rsidR="001C6F50" w:rsidRPr="001C6F50" w14:paraId="0AD4D243" w14:textId="77777777" w:rsidTr="004A4EA4">
        <w:tc>
          <w:tcPr>
            <w:tcW w:w="1081" w:type="dxa"/>
          </w:tcPr>
          <w:p w14:paraId="5592788C"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1.0</w:t>
            </w:r>
          </w:p>
        </w:tc>
        <w:tc>
          <w:tcPr>
            <w:tcW w:w="6900" w:type="dxa"/>
          </w:tcPr>
          <w:p w14:paraId="6F2765F4"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Executive Summary</w:t>
            </w:r>
          </w:p>
        </w:tc>
        <w:tc>
          <w:tcPr>
            <w:tcW w:w="1035" w:type="dxa"/>
          </w:tcPr>
          <w:p w14:paraId="557F2C56" w14:textId="77777777" w:rsidR="001C6F50" w:rsidRPr="001C6F50" w:rsidRDefault="001C6F50"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1</w:t>
            </w:r>
          </w:p>
        </w:tc>
      </w:tr>
      <w:tr w:rsidR="001C6F50" w:rsidRPr="001C6F50" w14:paraId="66B187D3" w14:textId="77777777" w:rsidTr="004A4EA4">
        <w:tc>
          <w:tcPr>
            <w:tcW w:w="1081" w:type="dxa"/>
          </w:tcPr>
          <w:p w14:paraId="219300D9"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2.0</w:t>
            </w:r>
          </w:p>
        </w:tc>
        <w:tc>
          <w:tcPr>
            <w:tcW w:w="6900" w:type="dxa"/>
          </w:tcPr>
          <w:p w14:paraId="1F945AA1"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Background</w:t>
            </w:r>
          </w:p>
        </w:tc>
        <w:tc>
          <w:tcPr>
            <w:tcW w:w="1035" w:type="dxa"/>
          </w:tcPr>
          <w:p w14:paraId="19658524" w14:textId="77777777" w:rsidR="001C6F50" w:rsidRPr="001C6F50" w:rsidRDefault="003D4DDF"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3</w:t>
            </w:r>
          </w:p>
        </w:tc>
      </w:tr>
      <w:tr w:rsidR="001C6F50" w:rsidRPr="001C6F50" w14:paraId="17377EB5" w14:textId="77777777" w:rsidTr="004A4EA4">
        <w:tc>
          <w:tcPr>
            <w:tcW w:w="1081" w:type="dxa"/>
          </w:tcPr>
          <w:p w14:paraId="43B48A03"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3.0</w:t>
            </w:r>
          </w:p>
        </w:tc>
        <w:tc>
          <w:tcPr>
            <w:tcW w:w="6900" w:type="dxa"/>
          </w:tcPr>
          <w:p w14:paraId="001F5F33"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 xml:space="preserve">Policy &amp; Legislative Context </w:t>
            </w:r>
          </w:p>
        </w:tc>
        <w:tc>
          <w:tcPr>
            <w:tcW w:w="1035" w:type="dxa"/>
          </w:tcPr>
          <w:p w14:paraId="4E93CD4A" w14:textId="77777777" w:rsidR="001C6F50" w:rsidRPr="001C6F50" w:rsidRDefault="003D4DDF"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5</w:t>
            </w:r>
          </w:p>
        </w:tc>
      </w:tr>
      <w:tr w:rsidR="001C6F50" w:rsidRPr="001C6F50" w14:paraId="04E2C3FD" w14:textId="77777777" w:rsidTr="004A4EA4">
        <w:tc>
          <w:tcPr>
            <w:tcW w:w="1081" w:type="dxa"/>
          </w:tcPr>
          <w:p w14:paraId="47049A0E"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4.0</w:t>
            </w:r>
          </w:p>
        </w:tc>
        <w:tc>
          <w:tcPr>
            <w:tcW w:w="6900" w:type="dxa"/>
          </w:tcPr>
          <w:p w14:paraId="1696DCB0"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Energy Assessment</w:t>
            </w:r>
          </w:p>
        </w:tc>
        <w:tc>
          <w:tcPr>
            <w:tcW w:w="1035" w:type="dxa"/>
          </w:tcPr>
          <w:p w14:paraId="349CF7FF" w14:textId="77777777" w:rsidR="001C6F50" w:rsidRPr="001C6F50" w:rsidRDefault="00A91F74"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8</w:t>
            </w:r>
          </w:p>
        </w:tc>
      </w:tr>
      <w:tr w:rsidR="001C6F50" w:rsidRPr="001C6F50" w14:paraId="62C66266" w14:textId="77777777" w:rsidTr="004A4EA4">
        <w:tc>
          <w:tcPr>
            <w:tcW w:w="1081" w:type="dxa"/>
          </w:tcPr>
          <w:p w14:paraId="0A8565EE"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5.0</w:t>
            </w:r>
          </w:p>
        </w:tc>
        <w:tc>
          <w:tcPr>
            <w:tcW w:w="6900" w:type="dxa"/>
          </w:tcPr>
          <w:p w14:paraId="3AA40499"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 xml:space="preserve">‘Be Lean’ – Energy Efficiency Measures </w:t>
            </w:r>
          </w:p>
        </w:tc>
        <w:tc>
          <w:tcPr>
            <w:tcW w:w="1035" w:type="dxa"/>
          </w:tcPr>
          <w:p w14:paraId="415130B5"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1</w:t>
            </w:r>
            <w:r w:rsidR="003D4DDF">
              <w:rPr>
                <w:rFonts w:asciiTheme="minorHAnsi" w:hAnsiTheme="minorHAnsi" w:cstheme="minorHAnsi"/>
                <w:sz w:val="22"/>
                <w:szCs w:val="22"/>
              </w:rPr>
              <w:t>0</w:t>
            </w:r>
          </w:p>
        </w:tc>
      </w:tr>
      <w:tr w:rsidR="001C6F50" w:rsidRPr="001C6F50" w14:paraId="5B7EC83D" w14:textId="77777777" w:rsidTr="004A4EA4">
        <w:tc>
          <w:tcPr>
            <w:tcW w:w="1081" w:type="dxa"/>
          </w:tcPr>
          <w:p w14:paraId="6FB9CA4E"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6.0</w:t>
            </w:r>
          </w:p>
        </w:tc>
        <w:tc>
          <w:tcPr>
            <w:tcW w:w="6900" w:type="dxa"/>
          </w:tcPr>
          <w:p w14:paraId="4592F7B7"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‘Be Clean’ – Supplying Energy Efficiently</w:t>
            </w:r>
          </w:p>
        </w:tc>
        <w:tc>
          <w:tcPr>
            <w:tcW w:w="1035" w:type="dxa"/>
          </w:tcPr>
          <w:p w14:paraId="3235F82E"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1</w:t>
            </w:r>
            <w:r w:rsidR="00A91F74">
              <w:rPr>
                <w:rFonts w:asciiTheme="minorHAnsi" w:hAnsiTheme="minorHAnsi" w:cstheme="minorHAnsi"/>
                <w:sz w:val="22"/>
                <w:szCs w:val="22"/>
              </w:rPr>
              <w:t>2</w:t>
            </w:r>
          </w:p>
        </w:tc>
      </w:tr>
      <w:tr w:rsidR="001C6F50" w:rsidRPr="001C6F50" w14:paraId="39538355" w14:textId="77777777" w:rsidTr="004A4EA4">
        <w:tc>
          <w:tcPr>
            <w:tcW w:w="1081" w:type="dxa"/>
          </w:tcPr>
          <w:p w14:paraId="29D4A999"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7.0</w:t>
            </w:r>
          </w:p>
        </w:tc>
        <w:tc>
          <w:tcPr>
            <w:tcW w:w="6900" w:type="dxa"/>
          </w:tcPr>
          <w:p w14:paraId="5E7B1976"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‘Be Green’ – LZC Technologies Assessment</w:t>
            </w:r>
          </w:p>
        </w:tc>
        <w:tc>
          <w:tcPr>
            <w:tcW w:w="1035" w:type="dxa"/>
          </w:tcPr>
          <w:p w14:paraId="338CBDA0"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1</w:t>
            </w:r>
            <w:r w:rsidR="00A91F74">
              <w:rPr>
                <w:rFonts w:asciiTheme="minorHAnsi" w:hAnsiTheme="minorHAnsi" w:cstheme="minorHAnsi"/>
                <w:sz w:val="22"/>
                <w:szCs w:val="22"/>
              </w:rPr>
              <w:t>4</w:t>
            </w:r>
          </w:p>
        </w:tc>
      </w:tr>
      <w:tr w:rsidR="004A4EA4" w:rsidRPr="001C6F50" w14:paraId="4CFD5A57" w14:textId="77777777" w:rsidTr="004A4EA4">
        <w:tc>
          <w:tcPr>
            <w:tcW w:w="1081" w:type="dxa"/>
          </w:tcPr>
          <w:p w14:paraId="704240B8" w14:textId="1587D190" w:rsidR="004A4EA4" w:rsidRPr="001C6F50" w:rsidRDefault="00F42E0E"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8</w:t>
            </w:r>
            <w:r w:rsidR="004A4EA4">
              <w:rPr>
                <w:rFonts w:asciiTheme="minorHAnsi" w:hAnsiTheme="minorHAnsi" w:cstheme="minorHAnsi"/>
                <w:sz w:val="22"/>
                <w:szCs w:val="22"/>
              </w:rPr>
              <w:t>.0</w:t>
            </w:r>
          </w:p>
        </w:tc>
        <w:tc>
          <w:tcPr>
            <w:tcW w:w="6900" w:type="dxa"/>
          </w:tcPr>
          <w:p w14:paraId="38B9B992" w14:textId="77777777" w:rsidR="004A4EA4" w:rsidRDefault="004A4EA4"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Conclusion </w:t>
            </w:r>
          </w:p>
        </w:tc>
        <w:tc>
          <w:tcPr>
            <w:tcW w:w="1035" w:type="dxa"/>
          </w:tcPr>
          <w:p w14:paraId="4810F114" w14:textId="77777777" w:rsidR="004A4EA4" w:rsidRDefault="00A91F74"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19</w:t>
            </w:r>
          </w:p>
        </w:tc>
      </w:tr>
      <w:tr w:rsidR="004A4EA4" w:rsidRPr="001C6F50" w14:paraId="378572E2" w14:textId="77777777" w:rsidTr="004A4EA4">
        <w:trPr>
          <w:trHeight w:val="341"/>
        </w:trPr>
        <w:tc>
          <w:tcPr>
            <w:tcW w:w="1081" w:type="dxa"/>
          </w:tcPr>
          <w:p w14:paraId="2E7F9FC9" w14:textId="77777777" w:rsidR="004A4EA4" w:rsidRPr="001C6F50" w:rsidRDefault="004A4EA4" w:rsidP="001C6F50">
            <w:pPr>
              <w:spacing w:line="480" w:lineRule="auto"/>
              <w:jc w:val="both"/>
              <w:rPr>
                <w:rFonts w:asciiTheme="minorHAnsi" w:hAnsiTheme="minorHAnsi" w:cstheme="minorHAnsi"/>
                <w:sz w:val="22"/>
                <w:szCs w:val="22"/>
              </w:rPr>
            </w:pPr>
          </w:p>
        </w:tc>
        <w:tc>
          <w:tcPr>
            <w:tcW w:w="6900" w:type="dxa"/>
          </w:tcPr>
          <w:p w14:paraId="7121B63C" w14:textId="77777777" w:rsidR="004A4EA4" w:rsidRDefault="004A4EA4" w:rsidP="001C6F50">
            <w:pPr>
              <w:spacing w:line="480" w:lineRule="auto"/>
              <w:jc w:val="both"/>
              <w:rPr>
                <w:rFonts w:asciiTheme="minorHAnsi" w:hAnsiTheme="minorHAnsi" w:cstheme="minorHAnsi"/>
                <w:sz w:val="22"/>
                <w:szCs w:val="22"/>
              </w:rPr>
            </w:pPr>
          </w:p>
        </w:tc>
        <w:tc>
          <w:tcPr>
            <w:tcW w:w="1035" w:type="dxa"/>
          </w:tcPr>
          <w:p w14:paraId="3559224B" w14:textId="77777777" w:rsidR="004A4EA4" w:rsidRPr="001C6F50" w:rsidRDefault="004A4EA4" w:rsidP="001C6F50">
            <w:pPr>
              <w:spacing w:line="480" w:lineRule="auto"/>
              <w:jc w:val="both"/>
              <w:rPr>
                <w:rFonts w:asciiTheme="minorHAnsi" w:hAnsiTheme="minorHAnsi" w:cstheme="minorHAnsi"/>
                <w:sz w:val="22"/>
                <w:szCs w:val="22"/>
              </w:rPr>
            </w:pPr>
          </w:p>
        </w:tc>
      </w:tr>
      <w:tr w:rsidR="001C6F50" w:rsidRPr="001C6F50" w14:paraId="0199AC85" w14:textId="77777777" w:rsidTr="004A4EA4">
        <w:trPr>
          <w:trHeight w:val="341"/>
        </w:trPr>
        <w:tc>
          <w:tcPr>
            <w:tcW w:w="1081" w:type="dxa"/>
          </w:tcPr>
          <w:p w14:paraId="15952790" w14:textId="77777777" w:rsidR="001C6F50" w:rsidRPr="001C6F50" w:rsidRDefault="001C6F50" w:rsidP="001C6F50">
            <w:pPr>
              <w:spacing w:line="480" w:lineRule="auto"/>
              <w:jc w:val="both"/>
              <w:rPr>
                <w:rFonts w:asciiTheme="minorHAnsi" w:hAnsiTheme="minorHAnsi" w:cstheme="minorHAnsi"/>
                <w:sz w:val="22"/>
                <w:szCs w:val="22"/>
              </w:rPr>
            </w:pPr>
          </w:p>
        </w:tc>
        <w:tc>
          <w:tcPr>
            <w:tcW w:w="6900" w:type="dxa"/>
          </w:tcPr>
          <w:p w14:paraId="161B8287" w14:textId="77777777" w:rsidR="001C6F50" w:rsidRPr="001C6F50" w:rsidRDefault="001C6F50" w:rsidP="001C6F50">
            <w:pPr>
              <w:spacing w:line="480" w:lineRule="auto"/>
              <w:jc w:val="both"/>
              <w:rPr>
                <w:rFonts w:asciiTheme="minorHAnsi" w:hAnsiTheme="minorHAnsi" w:cstheme="minorHAnsi"/>
                <w:sz w:val="22"/>
                <w:szCs w:val="22"/>
              </w:rPr>
            </w:pPr>
            <w:r>
              <w:rPr>
                <w:rFonts w:asciiTheme="minorHAnsi" w:hAnsiTheme="minorHAnsi" w:cstheme="minorHAnsi"/>
                <w:sz w:val="22"/>
                <w:szCs w:val="22"/>
              </w:rPr>
              <w:t>References</w:t>
            </w:r>
          </w:p>
        </w:tc>
        <w:tc>
          <w:tcPr>
            <w:tcW w:w="1035" w:type="dxa"/>
          </w:tcPr>
          <w:p w14:paraId="386B25E6" w14:textId="77777777" w:rsidR="001C6F50" w:rsidRPr="001C6F50" w:rsidRDefault="001C6F50" w:rsidP="001C6F50">
            <w:pPr>
              <w:spacing w:line="480" w:lineRule="auto"/>
              <w:jc w:val="both"/>
              <w:rPr>
                <w:rFonts w:asciiTheme="minorHAnsi" w:hAnsiTheme="minorHAnsi" w:cstheme="minorHAnsi"/>
                <w:sz w:val="22"/>
                <w:szCs w:val="22"/>
              </w:rPr>
            </w:pPr>
          </w:p>
        </w:tc>
      </w:tr>
      <w:tr w:rsidR="001C6F50" w:rsidRPr="001C6F50" w14:paraId="357A8A5D" w14:textId="77777777" w:rsidTr="004A4EA4">
        <w:tc>
          <w:tcPr>
            <w:tcW w:w="1081" w:type="dxa"/>
          </w:tcPr>
          <w:p w14:paraId="7F7C141F" w14:textId="77777777" w:rsidR="001C6F50" w:rsidRPr="001C6F50" w:rsidRDefault="001C6F50" w:rsidP="001C6F50">
            <w:pPr>
              <w:spacing w:line="480" w:lineRule="auto"/>
              <w:jc w:val="both"/>
              <w:rPr>
                <w:rFonts w:asciiTheme="minorHAnsi" w:hAnsiTheme="minorHAnsi" w:cstheme="minorHAnsi"/>
                <w:sz w:val="22"/>
                <w:szCs w:val="22"/>
              </w:rPr>
            </w:pPr>
          </w:p>
        </w:tc>
        <w:tc>
          <w:tcPr>
            <w:tcW w:w="6900" w:type="dxa"/>
          </w:tcPr>
          <w:p w14:paraId="561CF71A" w14:textId="77777777" w:rsidR="001C6F50" w:rsidRPr="001C6F50" w:rsidRDefault="001C6F50" w:rsidP="001C6F50">
            <w:pPr>
              <w:spacing w:line="480" w:lineRule="auto"/>
              <w:jc w:val="both"/>
              <w:rPr>
                <w:rFonts w:asciiTheme="minorHAnsi" w:hAnsiTheme="minorHAnsi" w:cstheme="minorHAnsi"/>
                <w:sz w:val="22"/>
                <w:szCs w:val="22"/>
              </w:rPr>
            </w:pPr>
            <w:r w:rsidRPr="001C6F50">
              <w:rPr>
                <w:rFonts w:asciiTheme="minorHAnsi" w:hAnsiTheme="minorHAnsi" w:cstheme="minorHAnsi"/>
                <w:sz w:val="22"/>
                <w:szCs w:val="22"/>
              </w:rPr>
              <w:t>Appendix 1: Energy Modelling Calculations</w:t>
            </w:r>
          </w:p>
        </w:tc>
        <w:tc>
          <w:tcPr>
            <w:tcW w:w="1035" w:type="dxa"/>
          </w:tcPr>
          <w:p w14:paraId="30407FFB" w14:textId="77777777" w:rsidR="001C6F50" w:rsidRPr="001C6F50" w:rsidRDefault="001C6F50" w:rsidP="001C6F50">
            <w:pPr>
              <w:spacing w:line="480" w:lineRule="auto"/>
              <w:jc w:val="both"/>
              <w:rPr>
                <w:rFonts w:asciiTheme="minorHAnsi" w:hAnsiTheme="minorHAnsi" w:cstheme="minorHAnsi"/>
                <w:sz w:val="22"/>
                <w:szCs w:val="22"/>
              </w:rPr>
            </w:pPr>
          </w:p>
        </w:tc>
      </w:tr>
      <w:tr w:rsidR="001C6F50" w:rsidRPr="001C6F50" w14:paraId="64591673" w14:textId="77777777" w:rsidTr="004A4EA4">
        <w:tc>
          <w:tcPr>
            <w:tcW w:w="1081" w:type="dxa"/>
          </w:tcPr>
          <w:p w14:paraId="0390551E" w14:textId="77777777" w:rsidR="001C6F50" w:rsidRPr="001C6F50" w:rsidRDefault="001C6F50" w:rsidP="001C6F50">
            <w:pPr>
              <w:spacing w:line="480" w:lineRule="auto"/>
              <w:jc w:val="both"/>
              <w:rPr>
                <w:rFonts w:asciiTheme="minorHAnsi" w:hAnsiTheme="minorHAnsi" w:cstheme="minorHAnsi"/>
                <w:sz w:val="22"/>
                <w:szCs w:val="22"/>
              </w:rPr>
            </w:pPr>
          </w:p>
        </w:tc>
        <w:tc>
          <w:tcPr>
            <w:tcW w:w="6900" w:type="dxa"/>
          </w:tcPr>
          <w:p w14:paraId="531E128D" w14:textId="77777777" w:rsidR="001C6F50" w:rsidRPr="001C6F50" w:rsidRDefault="001C6F50" w:rsidP="001C6F50">
            <w:pPr>
              <w:spacing w:line="480" w:lineRule="auto"/>
              <w:jc w:val="both"/>
              <w:rPr>
                <w:rFonts w:asciiTheme="minorHAnsi" w:hAnsiTheme="minorHAnsi" w:cstheme="minorHAnsi"/>
                <w:sz w:val="22"/>
                <w:szCs w:val="22"/>
              </w:rPr>
            </w:pPr>
          </w:p>
        </w:tc>
        <w:tc>
          <w:tcPr>
            <w:tcW w:w="1035" w:type="dxa"/>
          </w:tcPr>
          <w:p w14:paraId="43BA7CF8" w14:textId="77777777" w:rsidR="001C6F50" w:rsidRPr="001C6F50" w:rsidRDefault="001C6F50" w:rsidP="001C6F50">
            <w:pPr>
              <w:spacing w:line="480" w:lineRule="auto"/>
              <w:jc w:val="both"/>
              <w:rPr>
                <w:rFonts w:asciiTheme="minorHAnsi" w:hAnsiTheme="minorHAnsi" w:cstheme="minorHAnsi"/>
                <w:sz w:val="22"/>
                <w:szCs w:val="22"/>
              </w:rPr>
            </w:pPr>
          </w:p>
        </w:tc>
      </w:tr>
    </w:tbl>
    <w:p w14:paraId="48BF2A3F" w14:textId="77777777" w:rsidR="003C22C9" w:rsidRDefault="003C22C9">
      <w:pPr>
        <w:pStyle w:val="Body"/>
        <w:sectPr w:rsidR="003C22C9" w:rsidSect="00554F22">
          <w:type w:val="continuous"/>
          <w:pgSz w:w="11906" w:h="16838"/>
          <w:pgMar w:top="1120" w:right="1440" w:bottom="1800" w:left="1440" w:header="1080" w:footer="731" w:gutter="0"/>
          <w:cols w:space="720"/>
        </w:sectPr>
      </w:pPr>
    </w:p>
    <w:p w14:paraId="68C47F03" w14:textId="77777777" w:rsidR="003C22C9" w:rsidRDefault="00847AF4">
      <w:pPr>
        <w:pStyle w:val="Heading"/>
      </w:pPr>
      <w:r>
        <w:lastRenderedPageBreak/>
        <w:t xml:space="preserve"> </w:t>
      </w:r>
    </w:p>
    <w:p w14:paraId="554984E8" w14:textId="77777777" w:rsidR="003C22C9" w:rsidRDefault="00847AF4">
      <w:pPr>
        <w:pStyle w:val="Heading"/>
      </w:pPr>
      <w:r>
        <w:t>1.0</w:t>
      </w:r>
      <w:r>
        <w:tab/>
        <w:t>EXECUTIVE SUMMARY</w:t>
      </w:r>
    </w:p>
    <w:p w14:paraId="007CAAED" w14:textId="77777777" w:rsidR="003C22C9" w:rsidRDefault="003C22C9">
      <w:pPr>
        <w:pStyle w:val="Body"/>
      </w:pPr>
    </w:p>
    <w:p w14:paraId="49B5F620" w14:textId="5C93058C" w:rsidR="003C22C9" w:rsidRDefault="00847AF4">
      <w:pPr>
        <w:pStyle w:val="Default"/>
      </w:pPr>
      <w:r>
        <w:rPr>
          <w:lang w:val="en-US"/>
        </w:rPr>
        <w:t>1.1</w:t>
      </w:r>
      <w:r>
        <w:rPr>
          <w:lang w:val="en-US"/>
        </w:rPr>
        <w:tab/>
        <w:t xml:space="preserve">This Statement outlines the estimated energy/emissions performance of the </w:t>
      </w:r>
      <w:r w:rsidR="00754057">
        <w:rPr>
          <w:lang w:val="en-US"/>
        </w:rPr>
        <w:t>completed</w:t>
      </w:r>
      <w:r w:rsidR="007B42F6">
        <w:rPr>
          <w:lang w:val="en-US"/>
        </w:rPr>
        <w:t xml:space="preserve"> residential development at </w:t>
      </w:r>
      <w:r w:rsidR="00444ADA">
        <w:rPr>
          <w:lang w:val="en-US"/>
        </w:rPr>
        <w:t xml:space="preserve">73a </w:t>
      </w:r>
      <w:proofErr w:type="spellStart"/>
      <w:r w:rsidR="00444ADA">
        <w:rPr>
          <w:lang w:val="en-US"/>
        </w:rPr>
        <w:t>Maygrove</w:t>
      </w:r>
      <w:proofErr w:type="spellEnd"/>
      <w:r w:rsidR="00444ADA">
        <w:rPr>
          <w:lang w:val="en-US"/>
        </w:rPr>
        <w:t xml:space="preserve"> Road, Camden</w:t>
      </w:r>
      <w:r w:rsidR="007B42F6">
        <w:rPr>
          <w:lang w:val="en-US"/>
        </w:rPr>
        <w:t>,</w:t>
      </w:r>
      <w:r w:rsidR="00832590">
        <w:rPr>
          <w:lang w:val="en-US"/>
        </w:rPr>
        <w:t xml:space="preserve"> </w:t>
      </w:r>
      <w:r>
        <w:rPr>
          <w:lang w:val="en-US"/>
        </w:rPr>
        <w:t xml:space="preserve">including features that have been incorporated to the building </w:t>
      </w:r>
      <w:r w:rsidR="00754057">
        <w:rPr>
          <w:lang w:val="en-US"/>
        </w:rPr>
        <w:t>construction</w:t>
      </w:r>
      <w:r>
        <w:rPr>
          <w:lang w:val="en-US"/>
        </w:rPr>
        <w:t xml:space="preserve"> to </w:t>
      </w:r>
      <w:proofErr w:type="spellStart"/>
      <w:r>
        <w:rPr>
          <w:lang w:val="en-US"/>
        </w:rPr>
        <w:t>minimise</w:t>
      </w:r>
      <w:proofErr w:type="spellEnd"/>
      <w:r>
        <w:rPr>
          <w:lang w:val="en-US"/>
        </w:rPr>
        <w:t xml:space="preserve"> energy demand, energy use and resultant carbon dioxide emission</w:t>
      </w:r>
      <w:r w:rsidR="007B42F6">
        <w:rPr>
          <w:lang w:val="en-US"/>
        </w:rPr>
        <w:t xml:space="preserve">s. </w:t>
      </w:r>
    </w:p>
    <w:p w14:paraId="64B01406" w14:textId="77777777" w:rsidR="003C22C9" w:rsidRDefault="003C22C9">
      <w:pPr>
        <w:pStyle w:val="Default"/>
      </w:pPr>
    </w:p>
    <w:p w14:paraId="51FD0CC9" w14:textId="77777777" w:rsidR="003C22C9" w:rsidRDefault="00847AF4">
      <w:pPr>
        <w:pStyle w:val="Default"/>
      </w:pPr>
      <w:r>
        <w:rPr>
          <w:lang w:val="en-US"/>
        </w:rPr>
        <w:t>1.2</w:t>
      </w:r>
      <w:r>
        <w:rPr>
          <w:lang w:val="en-US"/>
        </w:rPr>
        <w:tab/>
        <w:t>In addition to demand management and energy efficient equipment, the proposed development has assessed the opportunity to generate energy through on-site low or zero carbon (LZC) technologies</w:t>
      </w:r>
      <w:r w:rsidR="00832590">
        <w:rPr>
          <w:lang w:val="en-US"/>
        </w:rPr>
        <w:t xml:space="preserve">. </w:t>
      </w:r>
    </w:p>
    <w:p w14:paraId="73E0565B" w14:textId="77777777" w:rsidR="003C22C9" w:rsidRDefault="003C22C9">
      <w:pPr>
        <w:pStyle w:val="Default"/>
      </w:pPr>
    </w:p>
    <w:p w14:paraId="2941DF93" w14:textId="4675C501" w:rsidR="003C22C9" w:rsidRDefault="00847AF4" w:rsidP="00444ADA">
      <w:pPr>
        <w:pStyle w:val="Default"/>
        <w:rPr>
          <w:lang w:val="en-US"/>
        </w:rPr>
      </w:pPr>
      <w:r>
        <w:rPr>
          <w:lang w:val="en-US"/>
        </w:rPr>
        <w:t>1.3</w:t>
      </w:r>
      <w:r>
        <w:rPr>
          <w:lang w:val="en-US"/>
        </w:rPr>
        <w:tab/>
        <w:t>T</w:t>
      </w:r>
      <w:r w:rsidR="000873F2">
        <w:rPr>
          <w:lang w:val="en-US"/>
        </w:rPr>
        <w:t>he Statement presents the commitments to meet the CO</w:t>
      </w:r>
      <w:r w:rsidR="000873F2">
        <w:rPr>
          <w:vertAlign w:val="subscript"/>
        </w:rPr>
        <w:t>2</w:t>
      </w:r>
      <w:r w:rsidR="000873F2">
        <w:rPr>
          <w:lang w:val="en-US"/>
        </w:rPr>
        <w:t xml:space="preserve"> emissions reductions targeted for compliance with Condition </w:t>
      </w:r>
      <w:r w:rsidR="00867FF5">
        <w:rPr>
          <w:lang w:val="en-US"/>
        </w:rPr>
        <w:t>5</w:t>
      </w:r>
      <w:r w:rsidR="000873F2">
        <w:rPr>
          <w:lang w:val="en-US"/>
        </w:rPr>
        <w:t xml:space="preserve"> of Planning Approval reference </w:t>
      </w:r>
      <w:r w:rsidR="00444ADA">
        <w:rPr>
          <w:lang w:val="en-US"/>
        </w:rPr>
        <w:t>2016/5498/P</w:t>
      </w:r>
      <w:r w:rsidR="000873F2">
        <w:rPr>
          <w:lang w:val="en-US"/>
        </w:rPr>
        <w:t xml:space="preserve">. The target set by this condition is </w:t>
      </w:r>
      <w:r w:rsidR="00444ADA" w:rsidRPr="00444ADA">
        <w:rPr>
          <w:lang w:val="en-US"/>
        </w:rPr>
        <w:t>a 19% reduction in</w:t>
      </w:r>
      <w:r w:rsidR="00444ADA">
        <w:rPr>
          <w:lang w:val="en-US"/>
        </w:rPr>
        <w:t xml:space="preserve"> </w:t>
      </w:r>
      <w:r w:rsidR="00444ADA" w:rsidRPr="00444ADA">
        <w:rPr>
          <w:lang w:val="en-US"/>
        </w:rPr>
        <w:t>carbon dioxide emissions beyond Part L 2013 Building Regulations in line with</w:t>
      </w:r>
      <w:r w:rsidR="00444ADA">
        <w:rPr>
          <w:lang w:val="en-US"/>
        </w:rPr>
        <w:t xml:space="preserve"> </w:t>
      </w:r>
      <w:r w:rsidR="00444ADA" w:rsidRPr="00444ADA">
        <w:rPr>
          <w:lang w:val="en-US"/>
        </w:rPr>
        <w:t>the energy hierarchy, and a 20% reduction in carbon dioxide emissions through</w:t>
      </w:r>
      <w:r w:rsidR="00444ADA">
        <w:rPr>
          <w:lang w:val="en-US"/>
        </w:rPr>
        <w:t xml:space="preserve"> </w:t>
      </w:r>
      <w:r w:rsidR="00444ADA" w:rsidRPr="00444ADA">
        <w:rPr>
          <w:lang w:val="en-US"/>
        </w:rPr>
        <w:t>renewable technologies.</w:t>
      </w:r>
    </w:p>
    <w:p w14:paraId="1D8C1F27" w14:textId="77777777" w:rsidR="00444ADA" w:rsidRDefault="00444ADA" w:rsidP="00444ADA">
      <w:pPr>
        <w:pStyle w:val="Default"/>
      </w:pPr>
    </w:p>
    <w:p w14:paraId="5F2AC7B2" w14:textId="52B20815" w:rsidR="003C22C9" w:rsidRDefault="00847AF4">
      <w:pPr>
        <w:pStyle w:val="Default"/>
      </w:pPr>
      <w:r>
        <w:rPr>
          <w:lang w:val="en-US"/>
        </w:rPr>
        <w:t>1.4</w:t>
      </w:r>
      <w:r>
        <w:rPr>
          <w:lang w:val="en-US"/>
        </w:rPr>
        <w:tab/>
        <w:t xml:space="preserve">The proposed development at </w:t>
      </w:r>
      <w:proofErr w:type="spellStart"/>
      <w:r w:rsidR="007109D6">
        <w:rPr>
          <w:lang w:val="en-US"/>
        </w:rPr>
        <w:t>Maygrove</w:t>
      </w:r>
      <w:proofErr w:type="spellEnd"/>
      <w:r w:rsidR="007109D6">
        <w:rPr>
          <w:lang w:val="en-US"/>
        </w:rPr>
        <w:t xml:space="preserve"> Road,</w:t>
      </w:r>
      <w:r>
        <w:rPr>
          <w:lang w:val="en-US"/>
        </w:rPr>
        <w:t xml:space="preserve"> has applied the Energy Hierarchy to </w:t>
      </w:r>
      <w:proofErr w:type="spellStart"/>
      <w:r>
        <w:rPr>
          <w:lang w:val="en-US"/>
        </w:rPr>
        <w:t>prioritise</w:t>
      </w:r>
      <w:proofErr w:type="spellEnd"/>
      <w:r>
        <w:rPr>
          <w:lang w:val="en-US"/>
        </w:rPr>
        <w:t xml:space="preserve"> emissions reductions from the building fabric and energy efficiency before </w:t>
      </w:r>
      <w:r w:rsidR="00832590">
        <w:rPr>
          <w:lang w:val="en-US"/>
        </w:rPr>
        <w:t xml:space="preserve">assessing </w:t>
      </w:r>
      <w:r>
        <w:rPr>
          <w:lang w:val="en-US"/>
        </w:rPr>
        <w:t xml:space="preserve">the proposed incorporation of low and zero carbon technologies. </w:t>
      </w:r>
    </w:p>
    <w:p w14:paraId="073BCFDC" w14:textId="77777777" w:rsidR="003C22C9" w:rsidRDefault="003C22C9">
      <w:pPr>
        <w:pStyle w:val="Default"/>
      </w:pPr>
    </w:p>
    <w:p w14:paraId="1CA1D662" w14:textId="4D48B41F" w:rsidR="003C22C9" w:rsidRDefault="00847AF4">
      <w:pPr>
        <w:pStyle w:val="Default"/>
      </w:pPr>
      <w:r>
        <w:rPr>
          <w:lang w:val="en-US"/>
        </w:rPr>
        <w:t>1.5</w:t>
      </w:r>
      <w:r>
        <w:rPr>
          <w:lang w:val="en-US"/>
        </w:rPr>
        <w:tab/>
        <w:t xml:space="preserve">The development has </w:t>
      </w:r>
      <w:r w:rsidR="00754057">
        <w:rPr>
          <w:lang w:val="en-US"/>
        </w:rPr>
        <w:t>met</w:t>
      </w:r>
      <w:r>
        <w:rPr>
          <w:lang w:val="en-US"/>
        </w:rPr>
        <w:t xml:space="preserve"> the energy demand as efficiently as possible </w:t>
      </w:r>
      <w:r w:rsidR="00832590">
        <w:rPr>
          <w:lang w:val="en-US"/>
        </w:rPr>
        <w:t xml:space="preserve">through passive design and fabric improvements, </w:t>
      </w:r>
      <w:r>
        <w:rPr>
          <w:lang w:val="en-US"/>
        </w:rPr>
        <w:t xml:space="preserve">as the main component of the energy strategy. This </w:t>
      </w:r>
      <w:r w:rsidR="00754057">
        <w:rPr>
          <w:lang w:val="en-US"/>
        </w:rPr>
        <w:t>has been</w:t>
      </w:r>
      <w:r>
        <w:rPr>
          <w:lang w:val="en-US"/>
        </w:rPr>
        <w:t xml:space="preserve"> done in conjunction with key measures </w:t>
      </w:r>
      <w:r w:rsidR="00E87FBB">
        <w:rPr>
          <w:lang w:val="en-US"/>
        </w:rPr>
        <w:t xml:space="preserve">including </w:t>
      </w:r>
      <w:r>
        <w:rPr>
          <w:lang w:val="en-US"/>
        </w:rPr>
        <w:t>improved</w:t>
      </w:r>
      <w:r w:rsidR="00E87FBB">
        <w:rPr>
          <w:lang w:val="en-US"/>
        </w:rPr>
        <w:t xml:space="preserve"> fabric</w:t>
      </w:r>
      <w:r>
        <w:rPr>
          <w:lang w:val="en-US"/>
        </w:rPr>
        <w:t xml:space="preserve"> U-</w:t>
      </w:r>
      <w:r w:rsidR="00E87FBB">
        <w:rPr>
          <w:lang w:val="en-US"/>
        </w:rPr>
        <w:t xml:space="preserve"> </w:t>
      </w:r>
      <w:r w:rsidR="00832590">
        <w:rPr>
          <w:lang w:val="en-US"/>
        </w:rPr>
        <w:t>values, improved</w:t>
      </w:r>
      <w:r>
        <w:rPr>
          <w:lang w:val="en-US"/>
        </w:rPr>
        <w:t xml:space="preserve"> levels of </w:t>
      </w:r>
      <w:proofErr w:type="gramStart"/>
      <w:r>
        <w:rPr>
          <w:lang w:val="en-US"/>
        </w:rPr>
        <w:t>air-tightness</w:t>
      </w:r>
      <w:proofErr w:type="gramEnd"/>
      <w:r w:rsidR="00832590">
        <w:rPr>
          <w:lang w:val="en-US"/>
        </w:rPr>
        <w:t xml:space="preserve"> and high efficiency heating and lighting systems. </w:t>
      </w:r>
    </w:p>
    <w:p w14:paraId="07AA2E91" w14:textId="77777777" w:rsidR="003C22C9" w:rsidRDefault="003C22C9">
      <w:pPr>
        <w:pStyle w:val="Default"/>
      </w:pPr>
    </w:p>
    <w:p w14:paraId="26C936A9" w14:textId="32A0B625" w:rsidR="003C22C9" w:rsidRDefault="00847AF4">
      <w:pPr>
        <w:pStyle w:val="Default"/>
        <w:rPr>
          <w:lang w:val="en-US"/>
        </w:rPr>
      </w:pPr>
      <w:r>
        <w:rPr>
          <w:lang w:val="en-US"/>
        </w:rPr>
        <w:t>1.6</w:t>
      </w:r>
      <w:r>
        <w:rPr>
          <w:lang w:val="en-US"/>
        </w:rPr>
        <w:tab/>
        <w:t xml:space="preserve">The </w:t>
      </w:r>
      <w:r w:rsidR="00DA2579">
        <w:rPr>
          <w:lang w:val="en-US"/>
        </w:rPr>
        <w:t>development a</w:t>
      </w:r>
      <w:r w:rsidR="00DA2579" w:rsidRPr="00F21BB6">
        <w:rPr>
          <w:color w:val="auto"/>
          <w:lang w:val="en-US"/>
        </w:rPr>
        <w:t xml:space="preserve">chieves a </w:t>
      </w:r>
      <w:r w:rsidR="00FF603A">
        <w:rPr>
          <w:color w:val="auto"/>
          <w:lang w:val="en-US"/>
        </w:rPr>
        <w:t>45.17</w:t>
      </w:r>
      <w:r w:rsidRPr="00F21BB6">
        <w:rPr>
          <w:color w:val="auto"/>
          <w:lang w:val="en-US"/>
        </w:rPr>
        <w:t>% annual CO</w:t>
      </w:r>
      <w:r w:rsidRPr="00F21BB6">
        <w:rPr>
          <w:color w:val="auto"/>
          <w:vertAlign w:val="subscript"/>
        </w:rPr>
        <w:t>2</w:t>
      </w:r>
      <w:r w:rsidR="000D1E5C" w:rsidRPr="00F21BB6">
        <w:rPr>
          <w:color w:val="auto"/>
          <w:lang w:val="en-US"/>
        </w:rPr>
        <w:t xml:space="preserve"> saving</w:t>
      </w:r>
      <w:r w:rsidRPr="00F21BB6">
        <w:rPr>
          <w:color w:val="auto"/>
          <w:lang w:val="en-US"/>
        </w:rPr>
        <w:t xml:space="preserve"> against the baseline Part L </w:t>
      </w:r>
      <w:r w:rsidR="00FF603A">
        <w:rPr>
          <w:color w:val="auto"/>
          <w:lang w:val="en-US"/>
        </w:rPr>
        <w:t xml:space="preserve">1b </w:t>
      </w:r>
      <w:r w:rsidRPr="00F21BB6">
        <w:rPr>
          <w:color w:val="auto"/>
          <w:lang w:val="en-US"/>
        </w:rPr>
        <w:t xml:space="preserve">(2013) </w:t>
      </w:r>
      <w:r w:rsidR="00D63B0B" w:rsidRPr="00F21BB6">
        <w:rPr>
          <w:color w:val="auto"/>
          <w:lang w:val="en-US"/>
        </w:rPr>
        <w:t xml:space="preserve">compliance </w:t>
      </w:r>
      <w:r w:rsidRPr="00F21BB6">
        <w:rPr>
          <w:color w:val="auto"/>
          <w:lang w:val="en-US"/>
        </w:rPr>
        <w:t xml:space="preserve">threshold, </w:t>
      </w:r>
      <w:r w:rsidR="007109D6">
        <w:rPr>
          <w:color w:val="auto"/>
          <w:lang w:val="en-US"/>
        </w:rPr>
        <w:t xml:space="preserve">through </w:t>
      </w:r>
      <w:r w:rsidR="009C2A2D">
        <w:rPr>
          <w:color w:val="auto"/>
          <w:lang w:val="en-US"/>
        </w:rPr>
        <w:t>a</w:t>
      </w:r>
      <w:r w:rsidR="007109D6">
        <w:rPr>
          <w:color w:val="auto"/>
          <w:lang w:val="en-US"/>
        </w:rPr>
        <w:t xml:space="preserve"> combination of </w:t>
      </w:r>
      <w:r>
        <w:rPr>
          <w:lang w:val="en-US"/>
        </w:rPr>
        <w:t>improved fabric standards beyond</w:t>
      </w:r>
      <w:r w:rsidR="00997C4E">
        <w:rPr>
          <w:lang w:val="en-US"/>
        </w:rPr>
        <w:t xml:space="preserve"> Regulatory Minimum (Part L</w:t>
      </w:r>
      <w:r w:rsidR="00FF603A">
        <w:rPr>
          <w:lang w:val="en-US"/>
        </w:rPr>
        <w:t>1b</w:t>
      </w:r>
      <w:r w:rsidR="00997C4E">
        <w:rPr>
          <w:lang w:val="en-US"/>
        </w:rPr>
        <w:t xml:space="preserve">), </w:t>
      </w:r>
      <w:r w:rsidR="00832590">
        <w:rPr>
          <w:lang w:val="en-US"/>
        </w:rPr>
        <w:t xml:space="preserve">high </w:t>
      </w:r>
      <w:r w:rsidR="00997C4E">
        <w:rPr>
          <w:lang w:val="en-US"/>
        </w:rPr>
        <w:t>energy efficient systems</w:t>
      </w:r>
      <w:r w:rsidR="007109D6">
        <w:rPr>
          <w:lang w:val="en-US"/>
        </w:rPr>
        <w:t xml:space="preserve"> and low zero carbon systems. </w:t>
      </w:r>
    </w:p>
    <w:p w14:paraId="54BC4176" w14:textId="55283152" w:rsidR="00034CCC" w:rsidRDefault="00034CCC">
      <w:pPr>
        <w:pStyle w:val="Default"/>
        <w:rPr>
          <w:lang w:val="en-US"/>
        </w:rPr>
      </w:pPr>
    </w:p>
    <w:p w14:paraId="1042BDE6" w14:textId="00BF21B7" w:rsidR="007B42F6" w:rsidRDefault="00034CCC" w:rsidP="00034CCC">
      <w:pPr>
        <w:pStyle w:val="Default"/>
        <w:rPr>
          <w:lang w:val="en-US"/>
        </w:rPr>
      </w:pPr>
      <w:r>
        <w:rPr>
          <w:lang w:val="en-US"/>
        </w:rPr>
        <w:t>1.7</w:t>
      </w:r>
      <w:r>
        <w:rPr>
          <w:lang w:val="en-US"/>
        </w:rPr>
        <w:tab/>
      </w:r>
      <w:r w:rsidR="007109D6">
        <w:rPr>
          <w:lang w:val="en-US"/>
        </w:rPr>
        <w:t>Of the above improvement,</w:t>
      </w:r>
      <w:r>
        <w:rPr>
          <w:lang w:val="en-US"/>
        </w:rPr>
        <w:t xml:space="preserve"> </w:t>
      </w:r>
      <w:r w:rsidR="007109D6">
        <w:rPr>
          <w:lang w:val="en-US"/>
        </w:rPr>
        <w:t xml:space="preserve">a </w:t>
      </w:r>
      <w:r w:rsidR="00FF603A">
        <w:rPr>
          <w:lang w:val="en-US"/>
        </w:rPr>
        <w:t>22.30</w:t>
      </w:r>
      <w:r w:rsidR="007109D6">
        <w:rPr>
          <w:lang w:val="en-US"/>
        </w:rPr>
        <w:t>%</w:t>
      </w:r>
      <w:r>
        <w:rPr>
          <w:lang w:val="en-US"/>
        </w:rPr>
        <w:t xml:space="preserve"> </w:t>
      </w:r>
      <w:r w:rsidRPr="00034CCC">
        <w:rPr>
          <w:lang w:val="en-US"/>
        </w:rPr>
        <w:t>reduction in carbon dioxide emissions through</w:t>
      </w:r>
      <w:r>
        <w:rPr>
          <w:lang w:val="en-US"/>
        </w:rPr>
        <w:t xml:space="preserve"> </w:t>
      </w:r>
      <w:r w:rsidRPr="00034CCC">
        <w:rPr>
          <w:lang w:val="en-US"/>
        </w:rPr>
        <w:t>renewable technologies</w:t>
      </w:r>
      <w:r>
        <w:rPr>
          <w:lang w:val="en-US"/>
        </w:rPr>
        <w:t xml:space="preserve"> (</w:t>
      </w:r>
      <w:r w:rsidR="00330EC0">
        <w:rPr>
          <w:lang w:val="en-US"/>
        </w:rPr>
        <w:t xml:space="preserve">ASHP </w:t>
      </w:r>
      <w:r>
        <w:rPr>
          <w:lang w:val="en-US"/>
        </w:rPr>
        <w:t>system) has been achieved</w:t>
      </w:r>
      <w:r w:rsidRPr="00034CCC">
        <w:rPr>
          <w:lang w:val="en-US"/>
        </w:rPr>
        <w:t>.</w:t>
      </w:r>
      <w:r>
        <w:rPr>
          <w:lang w:val="en-US"/>
        </w:rPr>
        <w:t xml:space="preserve"> </w:t>
      </w:r>
      <w:r w:rsidRPr="00034CCC">
        <w:rPr>
          <w:lang w:val="en-US"/>
        </w:rPr>
        <w:t xml:space="preserve">The 20% reduction </w:t>
      </w:r>
      <w:r>
        <w:rPr>
          <w:lang w:val="en-US"/>
        </w:rPr>
        <w:t>has been</w:t>
      </w:r>
      <w:r w:rsidRPr="00034CCC">
        <w:rPr>
          <w:lang w:val="en-US"/>
        </w:rPr>
        <w:t xml:space="preserve"> calculated</w:t>
      </w:r>
      <w:r>
        <w:rPr>
          <w:lang w:val="en-US"/>
        </w:rPr>
        <w:t xml:space="preserve"> </w:t>
      </w:r>
      <w:r w:rsidRPr="00034CCC">
        <w:rPr>
          <w:lang w:val="en-US"/>
        </w:rPr>
        <w:t>from the regulated CO2 emissions of the development after all proposed energy</w:t>
      </w:r>
      <w:r>
        <w:rPr>
          <w:lang w:val="en-US"/>
        </w:rPr>
        <w:t xml:space="preserve"> </w:t>
      </w:r>
      <w:r w:rsidRPr="00034CCC">
        <w:rPr>
          <w:lang w:val="en-US"/>
        </w:rPr>
        <w:t xml:space="preserve">efficiency measures and any CO2 reduction from non-renewable </w:t>
      </w:r>
      <w:r>
        <w:rPr>
          <w:lang w:val="en-US"/>
        </w:rPr>
        <w:t xml:space="preserve">decentralized </w:t>
      </w:r>
      <w:r w:rsidRPr="00034CCC">
        <w:rPr>
          <w:lang w:val="en-US"/>
        </w:rPr>
        <w:t>energy (</w:t>
      </w:r>
      <w:proofErr w:type="gramStart"/>
      <w:r w:rsidRPr="00034CCC">
        <w:rPr>
          <w:lang w:val="en-US"/>
        </w:rPr>
        <w:t>e.g.</w:t>
      </w:r>
      <w:proofErr w:type="gramEnd"/>
      <w:r w:rsidRPr="00034CCC">
        <w:rPr>
          <w:lang w:val="en-US"/>
        </w:rPr>
        <w:t xml:space="preserve"> CHP) have been incorporated.</w:t>
      </w:r>
    </w:p>
    <w:p w14:paraId="63800245" w14:textId="77777777" w:rsidR="00034CCC" w:rsidRDefault="00034CCC" w:rsidP="00034CCC">
      <w:pPr>
        <w:pStyle w:val="Default"/>
        <w:rPr>
          <w:lang w:val="en-US"/>
        </w:rPr>
      </w:pPr>
    </w:p>
    <w:p w14:paraId="6B7BE57D" w14:textId="158E3ACD" w:rsidR="007B42F6" w:rsidRDefault="007B42F6">
      <w:pPr>
        <w:pStyle w:val="Default"/>
        <w:rPr>
          <w:lang w:val="en-US"/>
        </w:rPr>
      </w:pPr>
      <w:r>
        <w:rPr>
          <w:lang w:val="en-US"/>
        </w:rPr>
        <w:t>1.7</w:t>
      </w:r>
      <w:r>
        <w:rPr>
          <w:lang w:val="en-US"/>
        </w:rPr>
        <w:tab/>
        <w:t>In addition to the CO</w:t>
      </w:r>
      <w:r w:rsidRPr="007B42F6">
        <w:rPr>
          <w:vertAlign w:val="subscript"/>
          <w:lang w:val="en-US"/>
        </w:rPr>
        <w:t>2</w:t>
      </w:r>
      <w:r>
        <w:rPr>
          <w:lang w:val="en-US"/>
        </w:rPr>
        <w:t xml:space="preserve"> savings achieved, the proposed development will also ensure water consumption rates of less </w:t>
      </w:r>
      <w:r w:rsidR="001F3FB3">
        <w:rPr>
          <w:lang w:val="en-US"/>
        </w:rPr>
        <w:t>than</w:t>
      </w:r>
      <w:r>
        <w:rPr>
          <w:lang w:val="en-US"/>
        </w:rPr>
        <w:t xml:space="preserve"> 1</w:t>
      </w:r>
      <w:r w:rsidR="00D07646">
        <w:rPr>
          <w:lang w:val="en-US"/>
        </w:rPr>
        <w:t>10</w:t>
      </w:r>
      <w:r>
        <w:rPr>
          <w:lang w:val="en-US"/>
        </w:rPr>
        <w:t>litres/person/day will be achieved for each dwelling</w:t>
      </w:r>
      <w:r w:rsidR="005A239E">
        <w:rPr>
          <w:lang w:val="en-US"/>
        </w:rPr>
        <w:t xml:space="preserve">, along </w:t>
      </w:r>
      <w:r w:rsidR="001F3FB3">
        <w:rPr>
          <w:lang w:val="en-US"/>
        </w:rPr>
        <w:t>with the careful selection of construction materials which have a higher Green Guide Rating when compared to similar constructions</w:t>
      </w:r>
      <w:r w:rsidR="00DE2BB1">
        <w:rPr>
          <w:lang w:val="en-US"/>
        </w:rPr>
        <w:t xml:space="preserve">, where feasible. </w:t>
      </w:r>
    </w:p>
    <w:p w14:paraId="0B1FCA73" w14:textId="77777777" w:rsidR="000D1E5C" w:rsidRPr="00DC02B4" w:rsidRDefault="000D1E5C">
      <w:pPr>
        <w:pStyle w:val="Default"/>
        <w:rPr>
          <w:color w:val="auto"/>
          <w:lang w:val="en-US"/>
        </w:rPr>
      </w:pPr>
    </w:p>
    <w:p w14:paraId="5DA64FC1" w14:textId="77777777" w:rsidR="003C22C9" w:rsidRPr="001C7060" w:rsidRDefault="003C22C9">
      <w:pPr>
        <w:pStyle w:val="Default"/>
        <w:rPr>
          <w:color w:val="FF0000"/>
        </w:rPr>
      </w:pPr>
    </w:p>
    <w:p w14:paraId="504E7EDF" w14:textId="77777777" w:rsidR="003C22C9" w:rsidRDefault="003C22C9">
      <w:pPr>
        <w:pStyle w:val="Default"/>
        <w:rPr>
          <w:color w:val="FF2600"/>
        </w:rPr>
      </w:pPr>
    </w:p>
    <w:p w14:paraId="6E661018" w14:textId="77777777" w:rsidR="003C22C9" w:rsidRDefault="003C22C9">
      <w:pPr>
        <w:pStyle w:val="Default"/>
        <w:rPr>
          <w:color w:val="FF2600"/>
        </w:rPr>
      </w:pPr>
    </w:p>
    <w:p w14:paraId="5F89C258" w14:textId="77777777" w:rsidR="00832590" w:rsidRDefault="00832590">
      <w:pPr>
        <w:pStyle w:val="Default"/>
        <w:rPr>
          <w:color w:val="FF2600"/>
        </w:rPr>
      </w:pPr>
    </w:p>
    <w:p w14:paraId="42F19FE8" w14:textId="514229AB" w:rsidR="003C22C9" w:rsidRDefault="00847AF4">
      <w:pPr>
        <w:pStyle w:val="Default"/>
        <w:tabs>
          <w:tab w:val="left" w:pos="3343"/>
        </w:tabs>
        <w:jc w:val="center"/>
        <w:rPr>
          <w:b/>
          <w:bCs/>
        </w:rPr>
      </w:pPr>
      <w:r>
        <w:rPr>
          <w:b/>
          <w:bCs/>
          <w:lang w:val="en-US"/>
        </w:rPr>
        <w:t xml:space="preserve">The Energy Hierarchy Applied to </w:t>
      </w:r>
      <w:proofErr w:type="spellStart"/>
      <w:r w:rsidR="00885705">
        <w:rPr>
          <w:b/>
          <w:bCs/>
          <w:lang w:val="en-US"/>
        </w:rPr>
        <w:t>Maygrove</w:t>
      </w:r>
      <w:proofErr w:type="spellEnd"/>
      <w:r w:rsidR="00885705">
        <w:rPr>
          <w:b/>
          <w:bCs/>
          <w:lang w:val="en-US"/>
        </w:rPr>
        <w:t xml:space="preserve"> Road</w:t>
      </w:r>
    </w:p>
    <w:p w14:paraId="4A905D60" w14:textId="77777777" w:rsidR="003C22C9" w:rsidRDefault="003C22C9">
      <w:pPr>
        <w:pStyle w:val="Default"/>
        <w:jc w:val="center"/>
        <w:rPr>
          <w:b/>
          <w:bCs/>
          <w:color w:val="FF2600"/>
        </w:rPr>
      </w:pPr>
    </w:p>
    <w:p w14:paraId="1F5AFA67" w14:textId="1E5E9812" w:rsidR="003C22C9" w:rsidRDefault="00FF603A">
      <w:pPr>
        <w:pStyle w:val="Default"/>
        <w:jc w:val="center"/>
        <w:rPr>
          <w:b/>
          <w:bCs/>
          <w:color w:val="FF2600"/>
        </w:rPr>
      </w:pPr>
      <w:r>
        <w:rPr>
          <w:noProof/>
        </w:rPr>
        <w:drawing>
          <wp:inline distT="0" distB="0" distL="0" distR="0" wp14:anchorId="2DFC9DA4" wp14:editId="227604D6">
            <wp:extent cx="5731510" cy="4230370"/>
            <wp:effectExtent l="0" t="0" r="2540" b="17780"/>
            <wp:docPr id="1" name="Chart 1">
              <a:extLst xmlns:a="http://schemas.openxmlformats.org/drawingml/2006/main">
                <a:ext uri="{FF2B5EF4-FFF2-40B4-BE49-F238E27FC236}">
                  <a16:creationId xmlns:a16="http://schemas.microsoft.com/office/drawing/2014/main" id="{9E9073D9-4430-4B46-869C-0C5E389F9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4502AF" w14:textId="77777777" w:rsidR="00845C81" w:rsidRDefault="00845C81">
      <w:pPr>
        <w:pStyle w:val="Default"/>
        <w:jc w:val="center"/>
        <w:rPr>
          <w:b/>
          <w:bCs/>
          <w:color w:val="FF2600"/>
        </w:rPr>
      </w:pPr>
    </w:p>
    <w:p w14:paraId="7284AF11" w14:textId="7C422C67" w:rsidR="003C22C9" w:rsidRDefault="00847AF4">
      <w:pPr>
        <w:pStyle w:val="Default"/>
        <w:jc w:val="center"/>
        <w:rPr>
          <w:b/>
          <w:bCs/>
          <w:lang w:val="en-US"/>
        </w:rPr>
      </w:pPr>
      <w:r>
        <w:rPr>
          <w:b/>
          <w:bCs/>
          <w:lang w:val="en-US"/>
        </w:rPr>
        <w:t xml:space="preserve">Emission Savings for </w:t>
      </w:r>
      <w:proofErr w:type="spellStart"/>
      <w:r w:rsidR="00885705">
        <w:rPr>
          <w:b/>
          <w:bCs/>
          <w:lang w:val="en-US"/>
        </w:rPr>
        <w:t>Maygrove</w:t>
      </w:r>
      <w:proofErr w:type="spellEnd"/>
      <w:r w:rsidR="00885705">
        <w:rPr>
          <w:b/>
          <w:bCs/>
          <w:lang w:val="en-US"/>
        </w:rPr>
        <w:t xml:space="preserve"> Road</w:t>
      </w:r>
    </w:p>
    <w:tbl>
      <w:tblPr>
        <w:tblStyle w:val="TableGrid"/>
        <w:tblW w:w="0" w:type="auto"/>
        <w:jc w:val="center"/>
        <w:tblLook w:val="04A0" w:firstRow="1" w:lastRow="0" w:firstColumn="1" w:lastColumn="0" w:noHBand="0" w:noVBand="1"/>
      </w:tblPr>
      <w:tblGrid>
        <w:gridCol w:w="1980"/>
        <w:gridCol w:w="2367"/>
        <w:gridCol w:w="2927"/>
      </w:tblGrid>
      <w:tr w:rsidR="00845C81" w:rsidRPr="00845C81" w14:paraId="640DF397" w14:textId="77777777" w:rsidTr="00207412">
        <w:trPr>
          <w:trHeight w:val="340"/>
          <w:jc w:val="center"/>
        </w:trPr>
        <w:tc>
          <w:tcPr>
            <w:tcW w:w="1980" w:type="dxa"/>
            <w:vMerge w:val="restart"/>
            <w:tcBorders>
              <w:top w:val="single" w:sz="4" w:space="0" w:color="auto"/>
              <w:left w:val="single" w:sz="4" w:space="0" w:color="auto"/>
            </w:tcBorders>
            <w:shd w:val="clear" w:color="auto" w:fill="706B6E"/>
            <w:vAlign w:val="center"/>
          </w:tcPr>
          <w:p w14:paraId="673D018E" w14:textId="77777777" w:rsidR="00845C81" w:rsidRPr="00845C81" w:rsidRDefault="00845C81" w:rsidP="00845C81">
            <w:pPr>
              <w:pStyle w:val="Default"/>
              <w:jc w:val="center"/>
              <w:rPr>
                <w:b/>
                <w:bCs/>
              </w:rPr>
            </w:pPr>
          </w:p>
        </w:tc>
        <w:tc>
          <w:tcPr>
            <w:tcW w:w="5294" w:type="dxa"/>
            <w:gridSpan w:val="2"/>
            <w:shd w:val="clear" w:color="auto" w:fill="auto"/>
            <w:vAlign w:val="center"/>
          </w:tcPr>
          <w:p w14:paraId="2A719FD8" w14:textId="77777777" w:rsidR="00845C81" w:rsidRPr="00207412" w:rsidRDefault="00845C81" w:rsidP="00845C81">
            <w:pPr>
              <w:pStyle w:val="Default"/>
              <w:jc w:val="center"/>
              <w:rPr>
                <w:b/>
                <w:bCs/>
                <w:color w:val="000000" w:themeColor="text1"/>
              </w:rPr>
            </w:pPr>
            <w:r w:rsidRPr="00207412">
              <w:rPr>
                <w:b/>
                <w:bCs/>
                <w:color w:val="000000" w:themeColor="text1"/>
              </w:rPr>
              <w:t>Regulated CO</w:t>
            </w:r>
            <w:r w:rsidRPr="00207412">
              <w:rPr>
                <w:b/>
                <w:bCs/>
                <w:color w:val="000000" w:themeColor="text1"/>
                <w:vertAlign w:val="subscript"/>
              </w:rPr>
              <w:t>2</w:t>
            </w:r>
            <w:r w:rsidRPr="00207412">
              <w:rPr>
                <w:b/>
                <w:bCs/>
                <w:color w:val="000000" w:themeColor="text1"/>
              </w:rPr>
              <w:t xml:space="preserve"> Savings</w:t>
            </w:r>
          </w:p>
        </w:tc>
      </w:tr>
      <w:tr w:rsidR="00845C81" w:rsidRPr="00845C81" w14:paraId="3E849C30" w14:textId="77777777" w:rsidTr="00207412">
        <w:trPr>
          <w:trHeight w:val="179"/>
          <w:jc w:val="center"/>
        </w:trPr>
        <w:tc>
          <w:tcPr>
            <w:tcW w:w="1980" w:type="dxa"/>
            <w:vMerge/>
            <w:tcBorders>
              <w:left w:val="single" w:sz="4" w:space="0" w:color="auto"/>
            </w:tcBorders>
            <w:shd w:val="clear" w:color="auto" w:fill="706B6E"/>
            <w:vAlign w:val="center"/>
          </w:tcPr>
          <w:p w14:paraId="0646C4B2" w14:textId="77777777" w:rsidR="00845C81" w:rsidRPr="00845C81" w:rsidRDefault="00845C81" w:rsidP="00845C81">
            <w:pPr>
              <w:pStyle w:val="Default"/>
              <w:jc w:val="center"/>
              <w:rPr>
                <w:b/>
                <w:bCs/>
              </w:rPr>
            </w:pPr>
          </w:p>
        </w:tc>
        <w:tc>
          <w:tcPr>
            <w:tcW w:w="2367" w:type="dxa"/>
            <w:shd w:val="clear" w:color="auto" w:fill="auto"/>
            <w:vAlign w:val="center"/>
          </w:tcPr>
          <w:p w14:paraId="63F49629" w14:textId="77777777" w:rsidR="00845C81" w:rsidRPr="00207412" w:rsidRDefault="00845C81" w:rsidP="00845C81">
            <w:pPr>
              <w:pStyle w:val="Default"/>
              <w:jc w:val="center"/>
              <w:rPr>
                <w:b/>
                <w:bCs/>
                <w:color w:val="000000" w:themeColor="text1"/>
              </w:rPr>
            </w:pPr>
            <w:r w:rsidRPr="00207412">
              <w:rPr>
                <w:b/>
                <w:bCs/>
                <w:color w:val="000000" w:themeColor="text1"/>
              </w:rPr>
              <w:t>Tonnes CO</w:t>
            </w:r>
            <w:r w:rsidRPr="00207412">
              <w:rPr>
                <w:b/>
                <w:bCs/>
                <w:color w:val="000000" w:themeColor="text1"/>
                <w:vertAlign w:val="subscript"/>
              </w:rPr>
              <w:t>2</w:t>
            </w:r>
            <w:r w:rsidRPr="00207412">
              <w:rPr>
                <w:b/>
                <w:bCs/>
                <w:color w:val="000000" w:themeColor="text1"/>
              </w:rPr>
              <w:t>/annum</w:t>
            </w:r>
          </w:p>
        </w:tc>
        <w:tc>
          <w:tcPr>
            <w:tcW w:w="2927" w:type="dxa"/>
            <w:shd w:val="clear" w:color="auto" w:fill="auto"/>
            <w:vAlign w:val="center"/>
          </w:tcPr>
          <w:p w14:paraId="39319742" w14:textId="77777777" w:rsidR="00845C81" w:rsidRPr="00207412" w:rsidRDefault="00845C81" w:rsidP="00845C81">
            <w:pPr>
              <w:pStyle w:val="Default"/>
              <w:jc w:val="center"/>
              <w:rPr>
                <w:b/>
                <w:bCs/>
                <w:color w:val="000000" w:themeColor="text1"/>
              </w:rPr>
            </w:pPr>
            <w:r w:rsidRPr="00207412">
              <w:rPr>
                <w:b/>
                <w:bCs/>
                <w:color w:val="000000" w:themeColor="text1"/>
              </w:rPr>
              <w:t>Percentage Savings (%)</w:t>
            </w:r>
          </w:p>
        </w:tc>
      </w:tr>
      <w:tr w:rsidR="00845C81" w:rsidRPr="00845C81" w14:paraId="48F71251" w14:textId="77777777" w:rsidTr="00035D43">
        <w:trPr>
          <w:trHeight w:val="340"/>
          <w:jc w:val="center"/>
        </w:trPr>
        <w:tc>
          <w:tcPr>
            <w:tcW w:w="1980" w:type="dxa"/>
            <w:vAlign w:val="center"/>
          </w:tcPr>
          <w:p w14:paraId="0068B5C8" w14:textId="77777777" w:rsidR="00845C81" w:rsidRPr="00792502" w:rsidRDefault="00845C81" w:rsidP="00845C81">
            <w:pPr>
              <w:pStyle w:val="Default"/>
              <w:jc w:val="center"/>
              <w:rPr>
                <w:bCs/>
              </w:rPr>
            </w:pPr>
            <w:r w:rsidRPr="00792502">
              <w:rPr>
                <w:bCs/>
              </w:rPr>
              <w:t xml:space="preserve">‘Be Lean’ </w:t>
            </w:r>
          </w:p>
        </w:tc>
        <w:tc>
          <w:tcPr>
            <w:tcW w:w="2367" w:type="dxa"/>
            <w:vAlign w:val="center"/>
          </w:tcPr>
          <w:p w14:paraId="4C12730D" w14:textId="6C38CFD4" w:rsidR="00845C81" w:rsidRPr="00792502" w:rsidRDefault="00FF603A" w:rsidP="00845C81">
            <w:pPr>
              <w:pStyle w:val="Default"/>
              <w:jc w:val="center"/>
              <w:rPr>
                <w:bCs/>
              </w:rPr>
            </w:pPr>
            <w:r>
              <w:rPr>
                <w:bCs/>
              </w:rPr>
              <w:t>2.47</w:t>
            </w:r>
          </w:p>
        </w:tc>
        <w:tc>
          <w:tcPr>
            <w:tcW w:w="2927" w:type="dxa"/>
            <w:vAlign w:val="center"/>
          </w:tcPr>
          <w:p w14:paraId="7AD498CE" w14:textId="3E84A789" w:rsidR="00845C81" w:rsidRPr="00792502" w:rsidRDefault="00FF603A" w:rsidP="00845C81">
            <w:pPr>
              <w:pStyle w:val="Default"/>
              <w:jc w:val="center"/>
              <w:rPr>
                <w:bCs/>
              </w:rPr>
            </w:pPr>
            <w:r>
              <w:rPr>
                <w:bCs/>
              </w:rPr>
              <w:t>22.88</w:t>
            </w:r>
          </w:p>
        </w:tc>
      </w:tr>
      <w:tr w:rsidR="00845C81" w:rsidRPr="00845C81" w14:paraId="50FE239D" w14:textId="77777777" w:rsidTr="00035D43">
        <w:trPr>
          <w:trHeight w:val="323"/>
          <w:jc w:val="center"/>
        </w:trPr>
        <w:tc>
          <w:tcPr>
            <w:tcW w:w="1980" w:type="dxa"/>
            <w:vAlign w:val="center"/>
          </w:tcPr>
          <w:p w14:paraId="49869474" w14:textId="77777777" w:rsidR="00845C81" w:rsidRPr="00792502" w:rsidRDefault="00845C81" w:rsidP="00845C81">
            <w:pPr>
              <w:pStyle w:val="Default"/>
              <w:jc w:val="center"/>
              <w:rPr>
                <w:bCs/>
              </w:rPr>
            </w:pPr>
            <w:r w:rsidRPr="00792502">
              <w:rPr>
                <w:bCs/>
              </w:rPr>
              <w:t xml:space="preserve">‘Be Clean’ </w:t>
            </w:r>
          </w:p>
        </w:tc>
        <w:tc>
          <w:tcPr>
            <w:tcW w:w="2367" w:type="dxa"/>
            <w:vAlign w:val="center"/>
          </w:tcPr>
          <w:p w14:paraId="4AF9F69D" w14:textId="77777777" w:rsidR="00845C81" w:rsidRPr="00792502" w:rsidRDefault="00DA2579" w:rsidP="00845C81">
            <w:pPr>
              <w:pStyle w:val="Default"/>
              <w:jc w:val="center"/>
              <w:rPr>
                <w:bCs/>
              </w:rPr>
            </w:pPr>
            <w:r>
              <w:rPr>
                <w:bCs/>
              </w:rPr>
              <w:t>0.00</w:t>
            </w:r>
          </w:p>
        </w:tc>
        <w:tc>
          <w:tcPr>
            <w:tcW w:w="2927" w:type="dxa"/>
            <w:vAlign w:val="center"/>
          </w:tcPr>
          <w:p w14:paraId="7276C205" w14:textId="77777777" w:rsidR="00845C81" w:rsidRPr="00792502" w:rsidRDefault="00DA2579" w:rsidP="00845C81">
            <w:pPr>
              <w:pStyle w:val="Default"/>
              <w:jc w:val="center"/>
              <w:rPr>
                <w:bCs/>
              </w:rPr>
            </w:pPr>
            <w:r>
              <w:rPr>
                <w:bCs/>
              </w:rPr>
              <w:t>0.00</w:t>
            </w:r>
          </w:p>
        </w:tc>
      </w:tr>
      <w:tr w:rsidR="00845C81" w:rsidRPr="00845C81" w14:paraId="067E2474" w14:textId="77777777" w:rsidTr="00035D43">
        <w:trPr>
          <w:trHeight w:val="340"/>
          <w:jc w:val="center"/>
        </w:trPr>
        <w:tc>
          <w:tcPr>
            <w:tcW w:w="1980" w:type="dxa"/>
            <w:vAlign w:val="center"/>
          </w:tcPr>
          <w:p w14:paraId="40A92A28" w14:textId="77777777" w:rsidR="00845C81" w:rsidRPr="00792502" w:rsidRDefault="00845C81" w:rsidP="00845C81">
            <w:pPr>
              <w:pStyle w:val="Default"/>
              <w:jc w:val="center"/>
              <w:rPr>
                <w:bCs/>
              </w:rPr>
            </w:pPr>
            <w:r w:rsidRPr="00792502">
              <w:rPr>
                <w:bCs/>
              </w:rPr>
              <w:t>‘Be Green’</w:t>
            </w:r>
          </w:p>
        </w:tc>
        <w:tc>
          <w:tcPr>
            <w:tcW w:w="2367" w:type="dxa"/>
            <w:vAlign w:val="center"/>
          </w:tcPr>
          <w:p w14:paraId="34C31E7E" w14:textId="36002AA6" w:rsidR="00845C81" w:rsidRPr="00792502" w:rsidRDefault="00FF603A" w:rsidP="00845C81">
            <w:pPr>
              <w:pStyle w:val="Default"/>
              <w:jc w:val="center"/>
              <w:rPr>
                <w:bCs/>
              </w:rPr>
            </w:pPr>
            <w:r>
              <w:rPr>
                <w:bCs/>
              </w:rPr>
              <w:t>2.40</w:t>
            </w:r>
          </w:p>
        </w:tc>
        <w:tc>
          <w:tcPr>
            <w:tcW w:w="2927" w:type="dxa"/>
            <w:vAlign w:val="center"/>
          </w:tcPr>
          <w:p w14:paraId="3C759912" w14:textId="62D606AF" w:rsidR="00845C81" w:rsidRPr="00792502" w:rsidRDefault="00FF603A" w:rsidP="00845C81">
            <w:pPr>
              <w:pStyle w:val="Default"/>
              <w:jc w:val="center"/>
              <w:rPr>
                <w:bCs/>
              </w:rPr>
            </w:pPr>
            <w:r>
              <w:rPr>
                <w:bCs/>
              </w:rPr>
              <w:t>22.30</w:t>
            </w:r>
          </w:p>
        </w:tc>
      </w:tr>
      <w:tr w:rsidR="00845C81" w:rsidRPr="00845C81" w14:paraId="311E1406" w14:textId="77777777" w:rsidTr="00035D43">
        <w:trPr>
          <w:trHeight w:val="323"/>
          <w:jc w:val="center"/>
        </w:trPr>
        <w:tc>
          <w:tcPr>
            <w:tcW w:w="1980" w:type="dxa"/>
            <w:vAlign w:val="center"/>
          </w:tcPr>
          <w:p w14:paraId="3049329C" w14:textId="77777777" w:rsidR="00845C81" w:rsidRPr="00845C81" w:rsidRDefault="00792502" w:rsidP="00845C81">
            <w:pPr>
              <w:pStyle w:val="Default"/>
              <w:jc w:val="center"/>
              <w:rPr>
                <w:b/>
                <w:bCs/>
              </w:rPr>
            </w:pPr>
            <w:r>
              <w:rPr>
                <w:b/>
                <w:bCs/>
              </w:rPr>
              <w:t xml:space="preserve">Overall </w:t>
            </w:r>
            <w:r w:rsidR="00845C81" w:rsidRPr="00845C81">
              <w:rPr>
                <w:b/>
                <w:bCs/>
              </w:rPr>
              <w:t>Savings</w:t>
            </w:r>
          </w:p>
        </w:tc>
        <w:tc>
          <w:tcPr>
            <w:tcW w:w="2367" w:type="dxa"/>
            <w:vAlign w:val="center"/>
          </w:tcPr>
          <w:p w14:paraId="0327548E" w14:textId="43D56CEF" w:rsidR="00845C81" w:rsidRPr="00845C81" w:rsidRDefault="00FF603A" w:rsidP="00845C81">
            <w:pPr>
              <w:pStyle w:val="Default"/>
              <w:jc w:val="center"/>
              <w:rPr>
                <w:b/>
                <w:bCs/>
              </w:rPr>
            </w:pPr>
            <w:r>
              <w:rPr>
                <w:b/>
                <w:bCs/>
              </w:rPr>
              <w:t>4.87</w:t>
            </w:r>
          </w:p>
        </w:tc>
        <w:tc>
          <w:tcPr>
            <w:tcW w:w="2927" w:type="dxa"/>
            <w:vAlign w:val="center"/>
          </w:tcPr>
          <w:p w14:paraId="16E382D0" w14:textId="2F4BA76A" w:rsidR="00845C81" w:rsidRPr="00845C81" w:rsidRDefault="00FF603A" w:rsidP="00845C81">
            <w:pPr>
              <w:pStyle w:val="Default"/>
              <w:jc w:val="center"/>
              <w:rPr>
                <w:b/>
                <w:bCs/>
              </w:rPr>
            </w:pPr>
            <w:r>
              <w:rPr>
                <w:b/>
                <w:bCs/>
              </w:rPr>
              <w:t>45.17</w:t>
            </w:r>
          </w:p>
        </w:tc>
      </w:tr>
    </w:tbl>
    <w:p w14:paraId="69F2E5F8" w14:textId="77777777" w:rsidR="00845C81" w:rsidRDefault="00845C81">
      <w:pPr>
        <w:pStyle w:val="Default"/>
        <w:jc w:val="center"/>
        <w:rPr>
          <w:b/>
          <w:bCs/>
        </w:rPr>
      </w:pPr>
    </w:p>
    <w:p w14:paraId="266D595A" w14:textId="77777777" w:rsidR="00070EE4" w:rsidRDefault="00070EE4">
      <w:pPr>
        <w:pStyle w:val="Default"/>
        <w:jc w:val="center"/>
        <w:rPr>
          <w:b/>
          <w:bCs/>
        </w:rPr>
      </w:pPr>
    </w:p>
    <w:p w14:paraId="4C0987A5" w14:textId="0B6DC26D" w:rsidR="003C22C9" w:rsidRDefault="00847AF4">
      <w:pPr>
        <w:pStyle w:val="Default"/>
        <w:jc w:val="center"/>
        <w:rPr>
          <w:b/>
          <w:bCs/>
        </w:rPr>
      </w:pPr>
      <w:r>
        <w:rPr>
          <w:b/>
          <w:bCs/>
          <w:lang w:val="en-US"/>
        </w:rPr>
        <w:t xml:space="preserve">Annual Regulated/Unregulated Emissions for </w:t>
      </w:r>
      <w:proofErr w:type="spellStart"/>
      <w:r w:rsidR="005E3F55">
        <w:rPr>
          <w:b/>
          <w:bCs/>
          <w:lang w:val="en-US"/>
        </w:rPr>
        <w:t>Maygrove</w:t>
      </w:r>
      <w:proofErr w:type="spellEnd"/>
      <w:r w:rsidR="005E3F55">
        <w:rPr>
          <w:b/>
          <w:bCs/>
          <w:lang w:val="en-US"/>
        </w:rPr>
        <w:t xml:space="preserve"> Road </w:t>
      </w:r>
    </w:p>
    <w:tbl>
      <w:tblPr>
        <w:tblStyle w:val="TableGrid1"/>
        <w:tblW w:w="0" w:type="auto"/>
        <w:jc w:val="center"/>
        <w:tblLook w:val="04A0" w:firstRow="1" w:lastRow="0" w:firstColumn="1" w:lastColumn="0" w:noHBand="0" w:noVBand="1"/>
      </w:tblPr>
      <w:tblGrid>
        <w:gridCol w:w="2840"/>
        <w:gridCol w:w="1817"/>
        <w:gridCol w:w="2861"/>
      </w:tblGrid>
      <w:tr w:rsidR="00792502" w:rsidRPr="00792502" w14:paraId="02818C28" w14:textId="77777777" w:rsidTr="00207412">
        <w:trPr>
          <w:trHeight w:val="350"/>
          <w:jc w:val="center"/>
        </w:trPr>
        <w:tc>
          <w:tcPr>
            <w:tcW w:w="2840" w:type="dxa"/>
            <w:vMerge w:val="restart"/>
            <w:tcBorders>
              <w:top w:val="single" w:sz="4" w:space="0" w:color="auto"/>
              <w:left w:val="single" w:sz="4" w:space="0" w:color="auto"/>
            </w:tcBorders>
            <w:shd w:val="clear" w:color="auto" w:fill="706B6E"/>
            <w:vAlign w:val="center"/>
          </w:tcPr>
          <w:p w14:paraId="24A59664" w14:textId="77777777" w:rsidR="00792502" w:rsidRPr="00792502" w:rsidRDefault="00792502" w:rsidP="00792502">
            <w:pPr>
              <w:jc w:val="both"/>
              <w:rPr>
                <w:rFonts w:asciiTheme="minorHAnsi" w:hAnsiTheme="minorHAnsi" w:cstheme="minorHAnsi"/>
                <w:sz w:val="22"/>
                <w:szCs w:val="22"/>
              </w:rPr>
            </w:pPr>
          </w:p>
        </w:tc>
        <w:tc>
          <w:tcPr>
            <w:tcW w:w="4678" w:type="dxa"/>
            <w:gridSpan w:val="2"/>
            <w:shd w:val="clear" w:color="auto" w:fill="auto"/>
            <w:vAlign w:val="center"/>
          </w:tcPr>
          <w:p w14:paraId="7F873ECF" w14:textId="77777777" w:rsidR="00792502" w:rsidRPr="00207412" w:rsidRDefault="00792502" w:rsidP="00792502">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CO</w:t>
            </w:r>
            <w:r w:rsidRPr="00207412">
              <w:rPr>
                <w:rFonts w:asciiTheme="minorHAnsi" w:hAnsiTheme="minorHAnsi" w:cstheme="minorHAnsi"/>
                <w:b/>
                <w:color w:val="000000" w:themeColor="text1"/>
                <w:sz w:val="22"/>
                <w:szCs w:val="22"/>
                <w:vertAlign w:val="subscript"/>
              </w:rPr>
              <w:t>2</w:t>
            </w:r>
            <w:r w:rsidRPr="00207412">
              <w:rPr>
                <w:rFonts w:asciiTheme="minorHAnsi" w:hAnsiTheme="minorHAnsi" w:cstheme="minorHAnsi"/>
                <w:b/>
                <w:color w:val="000000" w:themeColor="text1"/>
                <w:sz w:val="22"/>
                <w:szCs w:val="22"/>
              </w:rPr>
              <w:t xml:space="preserve"> Emissions (tonnes/annum)</w:t>
            </w:r>
          </w:p>
        </w:tc>
      </w:tr>
      <w:tr w:rsidR="00035D43" w:rsidRPr="00792502" w14:paraId="5C94C0FA" w14:textId="77777777" w:rsidTr="00207412">
        <w:trPr>
          <w:trHeight w:val="186"/>
          <w:jc w:val="center"/>
        </w:trPr>
        <w:tc>
          <w:tcPr>
            <w:tcW w:w="2840" w:type="dxa"/>
            <w:vMerge/>
            <w:tcBorders>
              <w:left w:val="single" w:sz="4" w:space="0" w:color="auto"/>
            </w:tcBorders>
            <w:shd w:val="clear" w:color="auto" w:fill="706B6E"/>
            <w:vAlign w:val="center"/>
          </w:tcPr>
          <w:p w14:paraId="3EEA7EDF" w14:textId="77777777" w:rsidR="00792502" w:rsidRPr="00792502" w:rsidRDefault="00792502" w:rsidP="00792502">
            <w:pPr>
              <w:jc w:val="both"/>
              <w:rPr>
                <w:rFonts w:asciiTheme="minorHAnsi" w:hAnsiTheme="minorHAnsi" w:cstheme="minorHAnsi"/>
                <w:sz w:val="22"/>
                <w:szCs w:val="22"/>
              </w:rPr>
            </w:pPr>
          </w:p>
        </w:tc>
        <w:tc>
          <w:tcPr>
            <w:tcW w:w="1817" w:type="dxa"/>
            <w:shd w:val="clear" w:color="auto" w:fill="auto"/>
            <w:vAlign w:val="center"/>
          </w:tcPr>
          <w:p w14:paraId="45120E86" w14:textId="77777777" w:rsidR="00792502" w:rsidRPr="00207412" w:rsidRDefault="00792502" w:rsidP="00792502">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Regulated</w:t>
            </w:r>
          </w:p>
        </w:tc>
        <w:tc>
          <w:tcPr>
            <w:tcW w:w="2861" w:type="dxa"/>
            <w:shd w:val="clear" w:color="auto" w:fill="auto"/>
            <w:vAlign w:val="center"/>
          </w:tcPr>
          <w:p w14:paraId="60C40F88" w14:textId="77777777" w:rsidR="00792502" w:rsidRPr="00207412" w:rsidRDefault="00792502" w:rsidP="00792502">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Unregulated</w:t>
            </w:r>
          </w:p>
        </w:tc>
      </w:tr>
      <w:tr w:rsidR="00792502" w:rsidRPr="00792502" w14:paraId="50443B61" w14:textId="77777777" w:rsidTr="00070EE4">
        <w:trPr>
          <w:trHeight w:val="350"/>
          <w:jc w:val="center"/>
        </w:trPr>
        <w:tc>
          <w:tcPr>
            <w:tcW w:w="2840" w:type="dxa"/>
            <w:vAlign w:val="center"/>
          </w:tcPr>
          <w:p w14:paraId="51BC183A" w14:textId="77777777" w:rsidR="00792502" w:rsidRPr="00792502" w:rsidRDefault="00792502" w:rsidP="00792502">
            <w:pPr>
              <w:rPr>
                <w:rFonts w:asciiTheme="minorHAnsi" w:hAnsiTheme="minorHAnsi" w:cstheme="minorHAnsi"/>
                <w:sz w:val="22"/>
                <w:szCs w:val="22"/>
              </w:rPr>
            </w:pPr>
            <w:r w:rsidRPr="00792502">
              <w:rPr>
                <w:rFonts w:asciiTheme="minorHAnsi" w:hAnsiTheme="minorHAnsi" w:cstheme="minorHAnsi"/>
                <w:sz w:val="22"/>
                <w:szCs w:val="22"/>
              </w:rPr>
              <w:t>Building Regulations 2013 Part L Compliant Project</w:t>
            </w:r>
          </w:p>
        </w:tc>
        <w:tc>
          <w:tcPr>
            <w:tcW w:w="1817" w:type="dxa"/>
            <w:vAlign w:val="center"/>
          </w:tcPr>
          <w:p w14:paraId="37FA4801" w14:textId="5CBFDBFD" w:rsidR="00792502" w:rsidRPr="00792502" w:rsidRDefault="00FF603A" w:rsidP="00792502">
            <w:pPr>
              <w:jc w:val="center"/>
              <w:rPr>
                <w:rFonts w:asciiTheme="minorHAnsi" w:hAnsiTheme="minorHAnsi" w:cstheme="minorHAnsi"/>
                <w:sz w:val="22"/>
                <w:szCs w:val="22"/>
              </w:rPr>
            </w:pPr>
            <w:r>
              <w:rPr>
                <w:rFonts w:asciiTheme="minorHAnsi" w:hAnsiTheme="minorHAnsi" w:cstheme="minorHAnsi"/>
                <w:sz w:val="22"/>
                <w:szCs w:val="22"/>
              </w:rPr>
              <w:t>10.78</w:t>
            </w:r>
          </w:p>
        </w:tc>
        <w:tc>
          <w:tcPr>
            <w:tcW w:w="2861" w:type="dxa"/>
            <w:vAlign w:val="center"/>
          </w:tcPr>
          <w:p w14:paraId="17A92D86" w14:textId="77777777" w:rsidR="008B3B86" w:rsidRPr="00792502" w:rsidRDefault="008B3B86" w:rsidP="008B3B86">
            <w:pPr>
              <w:jc w:val="center"/>
              <w:rPr>
                <w:rFonts w:asciiTheme="minorHAnsi" w:hAnsiTheme="minorHAnsi" w:cstheme="minorHAnsi"/>
                <w:sz w:val="22"/>
                <w:szCs w:val="22"/>
              </w:rPr>
            </w:pPr>
            <w:r>
              <w:rPr>
                <w:rFonts w:asciiTheme="minorHAnsi" w:hAnsiTheme="minorHAnsi" w:cstheme="minorHAnsi"/>
                <w:sz w:val="22"/>
                <w:szCs w:val="22"/>
              </w:rPr>
              <w:t>2.62</w:t>
            </w:r>
          </w:p>
        </w:tc>
      </w:tr>
      <w:tr w:rsidR="00792502" w:rsidRPr="00792502" w14:paraId="1A30EBA8" w14:textId="77777777" w:rsidTr="00070EE4">
        <w:trPr>
          <w:trHeight w:val="350"/>
          <w:jc w:val="center"/>
        </w:trPr>
        <w:tc>
          <w:tcPr>
            <w:tcW w:w="2840" w:type="dxa"/>
            <w:vAlign w:val="center"/>
          </w:tcPr>
          <w:p w14:paraId="64A6DFF0" w14:textId="77777777" w:rsidR="00792502" w:rsidRPr="00792502" w:rsidRDefault="00792502" w:rsidP="00792502">
            <w:pPr>
              <w:jc w:val="both"/>
              <w:rPr>
                <w:rFonts w:asciiTheme="minorHAnsi" w:hAnsiTheme="minorHAnsi" w:cstheme="minorHAnsi"/>
                <w:sz w:val="22"/>
                <w:szCs w:val="22"/>
              </w:rPr>
            </w:pPr>
            <w:r w:rsidRPr="00792502">
              <w:rPr>
                <w:rFonts w:asciiTheme="minorHAnsi" w:hAnsiTheme="minorHAnsi" w:cstheme="minorHAnsi"/>
                <w:sz w:val="22"/>
                <w:szCs w:val="22"/>
              </w:rPr>
              <w:t xml:space="preserve">‘Be Lean’ </w:t>
            </w:r>
          </w:p>
        </w:tc>
        <w:tc>
          <w:tcPr>
            <w:tcW w:w="1817" w:type="dxa"/>
            <w:vAlign w:val="center"/>
          </w:tcPr>
          <w:p w14:paraId="70E9E302" w14:textId="433BCC30" w:rsidR="00792502" w:rsidRPr="00792502" w:rsidRDefault="00FF603A" w:rsidP="00792502">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57B6C859" w14:textId="77777777" w:rsidR="00792502" w:rsidRPr="00792502" w:rsidRDefault="008B3B86" w:rsidP="00792502">
            <w:pPr>
              <w:jc w:val="center"/>
              <w:rPr>
                <w:rFonts w:asciiTheme="minorHAnsi" w:hAnsiTheme="minorHAnsi" w:cstheme="minorHAnsi"/>
                <w:sz w:val="22"/>
                <w:szCs w:val="22"/>
              </w:rPr>
            </w:pPr>
            <w:r>
              <w:rPr>
                <w:rFonts w:asciiTheme="minorHAnsi" w:hAnsiTheme="minorHAnsi" w:cstheme="minorHAnsi"/>
                <w:sz w:val="22"/>
                <w:szCs w:val="22"/>
              </w:rPr>
              <w:t>2.62</w:t>
            </w:r>
          </w:p>
        </w:tc>
      </w:tr>
      <w:tr w:rsidR="00792502" w:rsidRPr="00792502" w14:paraId="20093A90" w14:textId="77777777" w:rsidTr="00070EE4">
        <w:trPr>
          <w:trHeight w:val="333"/>
          <w:jc w:val="center"/>
        </w:trPr>
        <w:tc>
          <w:tcPr>
            <w:tcW w:w="2840" w:type="dxa"/>
            <w:vAlign w:val="center"/>
          </w:tcPr>
          <w:p w14:paraId="61CD4008" w14:textId="77777777" w:rsidR="00792502" w:rsidRPr="00792502" w:rsidRDefault="00792502" w:rsidP="00792502">
            <w:pPr>
              <w:jc w:val="both"/>
              <w:rPr>
                <w:rFonts w:asciiTheme="minorHAnsi" w:hAnsiTheme="minorHAnsi" w:cstheme="minorHAnsi"/>
                <w:sz w:val="22"/>
                <w:szCs w:val="22"/>
              </w:rPr>
            </w:pPr>
            <w:r w:rsidRPr="00792502">
              <w:rPr>
                <w:rFonts w:asciiTheme="minorHAnsi" w:hAnsiTheme="minorHAnsi" w:cstheme="minorHAnsi"/>
                <w:sz w:val="22"/>
                <w:szCs w:val="22"/>
              </w:rPr>
              <w:t xml:space="preserve">‘Be Clean’ </w:t>
            </w:r>
          </w:p>
        </w:tc>
        <w:tc>
          <w:tcPr>
            <w:tcW w:w="1817" w:type="dxa"/>
            <w:vAlign w:val="center"/>
          </w:tcPr>
          <w:p w14:paraId="1A1E4EFF" w14:textId="0AAB5561" w:rsidR="00792502" w:rsidRPr="00792502" w:rsidRDefault="00FF603A" w:rsidP="00792502">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17C9492E" w14:textId="77777777" w:rsidR="00792502" w:rsidRPr="00792502" w:rsidRDefault="008B3B86" w:rsidP="00792502">
            <w:pPr>
              <w:jc w:val="center"/>
              <w:rPr>
                <w:rFonts w:asciiTheme="minorHAnsi" w:hAnsiTheme="minorHAnsi" w:cstheme="minorHAnsi"/>
                <w:sz w:val="22"/>
                <w:szCs w:val="22"/>
              </w:rPr>
            </w:pPr>
            <w:r>
              <w:rPr>
                <w:rFonts w:asciiTheme="minorHAnsi" w:hAnsiTheme="minorHAnsi" w:cstheme="minorHAnsi"/>
                <w:sz w:val="22"/>
                <w:szCs w:val="22"/>
              </w:rPr>
              <w:t>2.62</w:t>
            </w:r>
          </w:p>
        </w:tc>
      </w:tr>
      <w:tr w:rsidR="00792502" w:rsidRPr="00792502" w14:paraId="56CD3B88" w14:textId="77777777" w:rsidTr="00070EE4">
        <w:trPr>
          <w:trHeight w:val="350"/>
          <w:jc w:val="center"/>
        </w:trPr>
        <w:tc>
          <w:tcPr>
            <w:tcW w:w="2840" w:type="dxa"/>
            <w:vAlign w:val="center"/>
          </w:tcPr>
          <w:p w14:paraId="1D18596B" w14:textId="77777777" w:rsidR="00792502" w:rsidRPr="00792502" w:rsidRDefault="00792502" w:rsidP="00792502">
            <w:pPr>
              <w:jc w:val="both"/>
              <w:rPr>
                <w:rFonts w:asciiTheme="minorHAnsi" w:hAnsiTheme="minorHAnsi" w:cstheme="minorHAnsi"/>
                <w:sz w:val="22"/>
                <w:szCs w:val="22"/>
              </w:rPr>
            </w:pPr>
            <w:r w:rsidRPr="00792502">
              <w:rPr>
                <w:rFonts w:asciiTheme="minorHAnsi" w:hAnsiTheme="minorHAnsi" w:cstheme="minorHAnsi"/>
                <w:sz w:val="22"/>
                <w:szCs w:val="22"/>
              </w:rPr>
              <w:t>‘Be Green’</w:t>
            </w:r>
          </w:p>
        </w:tc>
        <w:tc>
          <w:tcPr>
            <w:tcW w:w="1817" w:type="dxa"/>
            <w:vAlign w:val="center"/>
          </w:tcPr>
          <w:p w14:paraId="4A2B0CB3" w14:textId="479A8C54" w:rsidR="00792502" w:rsidRPr="00792502" w:rsidRDefault="00FF603A" w:rsidP="00792502">
            <w:pPr>
              <w:jc w:val="center"/>
              <w:rPr>
                <w:rFonts w:asciiTheme="minorHAnsi" w:hAnsiTheme="minorHAnsi" w:cstheme="minorHAnsi"/>
                <w:sz w:val="22"/>
                <w:szCs w:val="22"/>
              </w:rPr>
            </w:pPr>
            <w:r>
              <w:rPr>
                <w:rFonts w:asciiTheme="minorHAnsi" w:hAnsiTheme="minorHAnsi" w:cstheme="minorHAnsi"/>
                <w:sz w:val="22"/>
                <w:szCs w:val="22"/>
              </w:rPr>
              <w:t>5.91</w:t>
            </w:r>
          </w:p>
        </w:tc>
        <w:tc>
          <w:tcPr>
            <w:tcW w:w="2861" w:type="dxa"/>
            <w:vAlign w:val="center"/>
          </w:tcPr>
          <w:p w14:paraId="70931D05" w14:textId="77777777" w:rsidR="00792502" w:rsidRPr="00792502" w:rsidRDefault="008B3B86" w:rsidP="00792502">
            <w:pPr>
              <w:jc w:val="center"/>
              <w:rPr>
                <w:rFonts w:asciiTheme="minorHAnsi" w:hAnsiTheme="minorHAnsi" w:cstheme="minorHAnsi"/>
                <w:sz w:val="22"/>
                <w:szCs w:val="22"/>
              </w:rPr>
            </w:pPr>
            <w:r>
              <w:rPr>
                <w:rFonts w:asciiTheme="minorHAnsi" w:hAnsiTheme="minorHAnsi" w:cstheme="minorHAnsi"/>
                <w:sz w:val="22"/>
                <w:szCs w:val="22"/>
              </w:rPr>
              <w:t>2.62</w:t>
            </w:r>
          </w:p>
        </w:tc>
      </w:tr>
    </w:tbl>
    <w:p w14:paraId="1A71ADD8" w14:textId="77777777" w:rsidR="003C22C9" w:rsidRDefault="00847AF4">
      <w:pPr>
        <w:pStyle w:val="Heading"/>
      </w:pPr>
      <w:r>
        <w:lastRenderedPageBreak/>
        <w:t>2.0</w:t>
      </w:r>
      <w:r>
        <w:tab/>
        <w:t>BACKGROUND</w:t>
      </w:r>
    </w:p>
    <w:p w14:paraId="1626FE5B" w14:textId="77777777" w:rsidR="003C22C9" w:rsidRDefault="003C22C9">
      <w:pPr>
        <w:pStyle w:val="Default"/>
      </w:pPr>
    </w:p>
    <w:p w14:paraId="70F89616" w14:textId="77777777" w:rsidR="003C22C9" w:rsidRDefault="00847AF4">
      <w:pPr>
        <w:pStyle w:val="Default"/>
        <w:rPr>
          <w:sz w:val="24"/>
          <w:szCs w:val="24"/>
        </w:rPr>
      </w:pPr>
      <w:r>
        <w:rPr>
          <w:sz w:val="24"/>
          <w:szCs w:val="24"/>
          <w:lang w:val="en-US"/>
        </w:rPr>
        <w:t>INTRODUCTION</w:t>
      </w:r>
    </w:p>
    <w:p w14:paraId="0BA2D091" w14:textId="77777777" w:rsidR="003C22C9" w:rsidRDefault="003C22C9">
      <w:pPr>
        <w:pStyle w:val="Default"/>
      </w:pPr>
    </w:p>
    <w:p w14:paraId="002806D9" w14:textId="0FC18D28" w:rsidR="003C22C9" w:rsidRDefault="00847AF4">
      <w:pPr>
        <w:pStyle w:val="Default"/>
      </w:pPr>
      <w:r>
        <w:rPr>
          <w:lang w:val="en-US"/>
        </w:rPr>
        <w:t>2.1</w:t>
      </w:r>
      <w:r>
        <w:rPr>
          <w:lang w:val="en-US"/>
        </w:rPr>
        <w:tab/>
      </w:r>
      <w:r w:rsidR="0012278B">
        <w:rPr>
          <w:lang w:val="en-US"/>
        </w:rPr>
        <w:t>MG Partnership</w:t>
      </w:r>
      <w:r>
        <w:rPr>
          <w:lang w:val="en-US"/>
        </w:rPr>
        <w:t xml:space="preserve"> were commissioned to prepare an </w:t>
      </w:r>
      <w:r w:rsidR="00FF603A">
        <w:rPr>
          <w:lang w:val="en-US"/>
        </w:rPr>
        <w:t xml:space="preserve">As-Built </w:t>
      </w:r>
      <w:r>
        <w:rPr>
          <w:lang w:val="en-US"/>
        </w:rPr>
        <w:t xml:space="preserve">Energy </w:t>
      </w:r>
      <w:r w:rsidR="00C5107C">
        <w:rPr>
          <w:lang w:val="en-US"/>
        </w:rPr>
        <w:t xml:space="preserve">&amp; Sustainability </w:t>
      </w:r>
      <w:r>
        <w:rPr>
          <w:lang w:val="en-US"/>
        </w:rPr>
        <w:t xml:space="preserve">Statement for the </w:t>
      </w:r>
      <w:r w:rsidR="00FF603A">
        <w:rPr>
          <w:lang w:val="en-US"/>
        </w:rPr>
        <w:t>completed</w:t>
      </w:r>
      <w:r>
        <w:rPr>
          <w:lang w:val="en-US"/>
        </w:rPr>
        <w:t xml:space="preserve"> development at </w:t>
      </w:r>
      <w:r w:rsidR="00535F80">
        <w:rPr>
          <w:lang w:val="en-US"/>
        </w:rPr>
        <w:t xml:space="preserve">73a </w:t>
      </w:r>
      <w:proofErr w:type="spellStart"/>
      <w:r w:rsidR="00535F80">
        <w:rPr>
          <w:lang w:val="en-US"/>
        </w:rPr>
        <w:t>Maygrove</w:t>
      </w:r>
      <w:proofErr w:type="spellEnd"/>
      <w:r w:rsidR="00535F80">
        <w:rPr>
          <w:lang w:val="en-US"/>
        </w:rPr>
        <w:t xml:space="preserve"> Road</w:t>
      </w:r>
      <w:r>
        <w:rPr>
          <w:lang w:val="en-US"/>
        </w:rPr>
        <w:t xml:space="preserve">, in the London Borough of </w:t>
      </w:r>
      <w:r w:rsidR="00535F80">
        <w:rPr>
          <w:lang w:val="en-US"/>
        </w:rPr>
        <w:t>Camden</w:t>
      </w:r>
      <w:r>
        <w:rPr>
          <w:lang w:val="en-US"/>
        </w:rPr>
        <w:t xml:space="preserve">. </w:t>
      </w:r>
    </w:p>
    <w:p w14:paraId="1A9B60D7" w14:textId="77777777" w:rsidR="003C22C9" w:rsidRDefault="003C22C9">
      <w:pPr>
        <w:pStyle w:val="Default"/>
      </w:pPr>
    </w:p>
    <w:p w14:paraId="55DEDFD0" w14:textId="3FF5F8B4" w:rsidR="003C22C9" w:rsidRDefault="00847AF4">
      <w:pPr>
        <w:pStyle w:val="Default"/>
      </w:pPr>
      <w:r>
        <w:rPr>
          <w:lang w:val="en-US"/>
        </w:rPr>
        <w:t>2.2</w:t>
      </w:r>
      <w:r>
        <w:rPr>
          <w:lang w:val="en-US"/>
        </w:rPr>
        <w:tab/>
        <w:t xml:space="preserve">This report presents the outcome of the energy appraisal of the </w:t>
      </w:r>
      <w:r w:rsidR="00FF603A">
        <w:rPr>
          <w:lang w:val="en-US"/>
        </w:rPr>
        <w:t>as-built</w:t>
      </w:r>
      <w:r>
        <w:rPr>
          <w:lang w:val="en-US"/>
        </w:rPr>
        <w:t xml:space="preserve"> development and details the approach that the applicant and the design team have collectively taken towards achieving a high standard of operational energy performance. This Statement outlines the features that have been incorporated into the </w:t>
      </w:r>
      <w:r w:rsidR="00FF603A">
        <w:rPr>
          <w:lang w:val="en-US"/>
        </w:rPr>
        <w:t>completed project</w:t>
      </w:r>
      <w:r>
        <w:rPr>
          <w:lang w:val="en-US"/>
        </w:rPr>
        <w:t xml:space="preserve"> which aim to reduce the energy demand, energy use, resultant carbon dioxide emissions and therefore environmental impact of the scheme. In addition to demand reduction and energy efficient design the Statement assesses the application of low or zero carbon technologies (LZCs) to the </w:t>
      </w:r>
      <w:r w:rsidR="00FF603A">
        <w:rPr>
          <w:lang w:val="en-US"/>
        </w:rPr>
        <w:t>completed</w:t>
      </w:r>
      <w:r>
        <w:rPr>
          <w:lang w:val="en-US"/>
        </w:rPr>
        <w:t xml:space="preserve"> development.  </w:t>
      </w:r>
    </w:p>
    <w:p w14:paraId="623D1040" w14:textId="77777777" w:rsidR="003C22C9" w:rsidRDefault="003C22C9">
      <w:pPr>
        <w:pStyle w:val="Default"/>
      </w:pPr>
    </w:p>
    <w:p w14:paraId="5BA5438F" w14:textId="77777777" w:rsidR="003C22C9" w:rsidRDefault="00847AF4">
      <w:pPr>
        <w:pStyle w:val="Default"/>
      </w:pPr>
      <w:r>
        <w:rPr>
          <w:lang w:val="en-US"/>
        </w:rPr>
        <w:t>2.3</w:t>
      </w:r>
      <w:r>
        <w:rPr>
          <w:lang w:val="en-US"/>
        </w:rPr>
        <w:tab/>
        <w:t xml:space="preserve">The purpose of the Energy Statement is to provide an independent verification that the design of the proposed development is in accordance with objectives of relevant planning policy at all levels and is an example of good practice in low energy design. This Statement reports the performance of the proposed development using local, </w:t>
      </w:r>
      <w:proofErr w:type="gramStart"/>
      <w:r>
        <w:rPr>
          <w:lang w:val="en-US"/>
        </w:rPr>
        <w:t>regional</w:t>
      </w:r>
      <w:proofErr w:type="gramEnd"/>
      <w:r>
        <w:rPr>
          <w:lang w:val="en-US"/>
        </w:rPr>
        <w:t xml:space="preserve"> and national level guidance on energy performance.</w:t>
      </w:r>
    </w:p>
    <w:p w14:paraId="6E1DBCC2" w14:textId="77777777" w:rsidR="003C22C9" w:rsidRDefault="003C22C9">
      <w:pPr>
        <w:pStyle w:val="Default"/>
      </w:pPr>
    </w:p>
    <w:p w14:paraId="05DF4954" w14:textId="77777777" w:rsidR="003C22C9" w:rsidRDefault="00847AF4">
      <w:pPr>
        <w:pStyle w:val="Default"/>
        <w:tabs>
          <w:tab w:val="left" w:pos="720"/>
          <w:tab w:val="left" w:pos="1440"/>
          <w:tab w:val="left" w:pos="2160"/>
          <w:tab w:val="left" w:pos="2880"/>
          <w:tab w:val="center" w:pos="4513"/>
        </w:tabs>
      </w:pPr>
      <w:r>
        <w:rPr>
          <w:lang w:val="en-US"/>
        </w:rPr>
        <w:t>2.4</w:t>
      </w:r>
      <w:r>
        <w:rPr>
          <w:lang w:val="en-US"/>
        </w:rPr>
        <w:tab/>
        <w:t>The Statement includes:</w:t>
      </w:r>
      <w:r>
        <w:rPr>
          <w:lang w:val="en-US"/>
        </w:rPr>
        <w:tab/>
      </w:r>
    </w:p>
    <w:p w14:paraId="620CCFE4" w14:textId="5A52ECBA" w:rsidR="003C22C9" w:rsidRDefault="00847AF4" w:rsidP="00035D43">
      <w:pPr>
        <w:pStyle w:val="Default"/>
        <w:numPr>
          <w:ilvl w:val="0"/>
          <w:numId w:val="3"/>
        </w:numPr>
      </w:pPr>
      <w:r>
        <w:rPr>
          <w:lang w:val="en-US"/>
        </w:rPr>
        <w:t xml:space="preserve">A brief description of the </w:t>
      </w:r>
      <w:proofErr w:type="gramStart"/>
      <w:r>
        <w:rPr>
          <w:lang w:val="en-US"/>
        </w:rPr>
        <w:t>development;</w:t>
      </w:r>
      <w:proofErr w:type="gramEnd"/>
    </w:p>
    <w:p w14:paraId="20903665" w14:textId="77777777" w:rsidR="003C22C9" w:rsidRDefault="00847AF4" w:rsidP="00035D43">
      <w:pPr>
        <w:pStyle w:val="Default"/>
        <w:numPr>
          <w:ilvl w:val="0"/>
          <w:numId w:val="3"/>
        </w:numPr>
      </w:pPr>
      <w:r>
        <w:rPr>
          <w:lang w:val="en-US"/>
        </w:rPr>
        <w:t xml:space="preserve">A definition of the energy hierarchy applied to the </w:t>
      </w:r>
      <w:proofErr w:type="gramStart"/>
      <w:r>
        <w:rPr>
          <w:lang w:val="en-US"/>
        </w:rPr>
        <w:t>development;</w:t>
      </w:r>
      <w:proofErr w:type="gramEnd"/>
    </w:p>
    <w:p w14:paraId="57838EFE" w14:textId="77777777" w:rsidR="003C22C9" w:rsidRDefault="00847AF4" w:rsidP="00035D43">
      <w:pPr>
        <w:pStyle w:val="Default"/>
        <w:numPr>
          <w:ilvl w:val="0"/>
          <w:numId w:val="3"/>
        </w:numPr>
      </w:pPr>
      <w:r>
        <w:rPr>
          <w:lang w:val="en-US"/>
        </w:rPr>
        <w:t xml:space="preserve">A summary of the relevant national, regional and local energy planning policy </w:t>
      </w:r>
      <w:proofErr w:type="gramStart"/>
      <w:r>
        <w:rPr>
          <w:lang w:val="en-US"/>
        </w:rPr>
        <w:t>drivers;</w:t>
      </w:r>
      <w:proofErr w:type="gramEnd"/>
    </w:p>
    <w:p w14:paraId="6D1178FE" w14:textId="77777777" w:rsidR="003C22C9" w:rsidRPr="00C5107C" w:rsidRDefault="00847AF4" w:rsidP="00035D43">
      <w:pPr>
        <w:pStyle w:val="Default"/>
        <w:numPr>
          <w:ilvl w:val="0"/>
          <w:numId w:val="3"/>
        </w:numPr>
      </w:pPr>
      <w:r>
        <w:rPr>
          <w:lang w:val="en-US"/>
        </w:rPr>
        <w:t>A review of the proposed development</w:t>
      </w:r>
      <w:r>
        <w:t>’</w:t>
      </w:r>
      <w:r>
        <w:rPr>
          <w:lang w:val="en-US"/>
        </w:rPr>
        <w:t>s performance against set planning objectives and good practice identifying the opportunities and constraints of both the application site and the proposals.</w:t>
      </w:r>
    </w:p>
    <w:p w14:paraId="525B967E" w14:textId="77777777" w:rsidR="00C5107C" w:rsidRDefault="00C5107C" w:rsidP="00035D43">
      <w:pPr>
        <w:pStyle w:val="Default"/>
        <w:numPr>
          <w:ilvl w:val="0"/>
          <w:numId w:val="3"/>
        </w:numPr>
      </w:pPr>
      <w:r>
        <w:t xml:space="preserve">Details of feasible Sustainable Design &amp; Construction measures to be incorporated into the development. </w:t>
      </w:r>
    </w:p>
    <w:p w14:paraId="1EA9411C" w14:textId="77777777" w:rsidR="003C22C9" w:rsidRDefault="003C22C9">
      <w:pPr>
        <w:pStyle w:val="Default"/>
      </w:pPr>
    </w:p>
    <w:p w14:paraId="78E00F35" w14:textId="22DB0511" w:rsidR="003C22C9" w:rsidRDefault="003C22C9">
      <w:pPr>
        <w:pStyle w:val="Default"/>
      </w:pPr>
    </w:p>
    <w:p w14:paraId="4D53C1C5" w14:textId="475E3391" w:rsidR="003C22C9" w:rsidRDefault="00847AF4">
      <w:pPr>
        <w:pStyle w:val="Default"/>
        <w:rPr>
          <w:sz w:val="24"/>
          <w:szCs w:val="24"/>
        </w:rPr>
      </w:pPr>
      <w:r>
        <w:rPr>
          <w:sz w:val="24"/>
          <w:szCs w:val="24"/>
          <w:lang w:val="en-US"/>
        </w:rPr>
        <w:t>THE DEVELOPMENT</w:t>
      </w:r>
    </w:p>
    <w:p w14:paraId="213D766A" w14:textId="77777777" w:rsidR="003C22C9" w:rsidRDefault="003C22C9">
      <w:pPr>
        <w:pStyle w:val="Default"/>
      </w:pPr>
    </w:p>
    <w:p w14:paraId="4DF47DCC" w14:textId="56425608" w:rsidR="003C22C9" w:rsidRDefault="00847AF4" w:rsidP="00035D43">
      <w:pPr>
        <w:pStyle w:val="Default"/>
      </w:pPr>
      <w:r>
        <w:rPr>
          <w:lang w:val="en-US"/>
        </w:rPr>
        <w:t>2.6</w:t>
      </w:r>
      <w:r>
        <w:rPr>
          <w:lang w:val="en-US"/>
        </w:rPr>
        <w:tab/>
        <w:t xml:space="preserve">The application site is found at </w:t>
      </w:r>
      <w:r w:rsidR="00535F80">
        <w:rPr>
          <w:lang w:val="en-US"/>
        </w:rPr>
        <w:t xml:space="preserve">73a </w:t>
      </w:r>
      <w:proofErr w:type="spellStart"/>
      <w:r w:rsidR="00535F80">
        <w:rPr>
          <w:lang w:val="en-US"/>
        </w:rPr>
        <w:t>M</w:t>
      </w:r>
      <w:r w:rsidR="006506E4">
        <w:rPr>
          <w:lang w:val="en-US"/>
        </w:rPr>
        <w:t>a</w:t>
      </w:r>
      <w:r w:rsidR="00535F80">
        <w:rPr>
          <w:lang w:val="en-US"/>
        </w:rPr>
        <w:t>ygrove</w:t>
      </w:r>
      <w:proofErr w:type="spellEnd"/>
      <w:r w:rsidR="00535F80">
        <w:rPr>
          <w:lang w:val="en-US"/>
        </w:rPr>
        <w:t xml:space="preserve"> Road</w:t>
      </w:r>
      <w:r>
        <w:rPr>
          <w:lang w:val="en-US"/>
        </w:rPr>
        <w:t xml:space="preserve">, within the London Borough of </w:t>
      </w:r>
      <w:r w:rsidR="00535F80">
        <w:rPr>
          <w:lang w:val="en-US"/>
        </w:rPr>
        <w:t>Camden</w:t>
      </w:r>
      <w:r w:rsidR="0012278B">
        <w:rPr>
          <w:lang w:val="en-US"/>
        </w:rPr>
        <w:t xml:space="preserve"> </w:t>
      </w:r>
      <w:r>
        <w:rPr>
          <w:lang w:val="en-US"/>
        </w:rPr>
        <w:t xml:space="preserve">and the proposed development comprises the </w:t>
      </w:r>
      <w:r w:rsidR="003966EB">
        <w:rPr>
          <w:lang w:val="en-US"/>
        </w:rPr>
        <w:t xml:space="preserve">extension of the existing block to provide </w:t>
      </w:r>
      <w:r w:rsidR="00535F80">
        <w:rPr>
          <w:lang w:val="en-US"/>
        </w:rPr>
        <w:t>four</w:t>
      </w:r>
      <w:r w:rsidR="00FB137E">
        <w:rPr>
          <w:lang w:val="en-US"/>
        </w:rPr>
        <w:t xml:space="preserve"> </w:t>
      </w:r>
      <w:r w:rsidR="003966EB">
        <w:rPr>
          <w:lang w:val="en-US"/>
        </w:rPr>
        <w:t xml:space="preserve">new </w:t>
      </w:r>
      <w:r w:rsidR="00FB137E">
        <w:rPr>
          <w:lang w:val="en-US"/>
        </w:rPr>
        <w:t xml:space="preserve">apartments in </w:t>
      </w:r>
      <w:r w:rsidR="00535F80">
        <w:rPr>
          <w:lang w:val="en-US"/>
        </w:rPr>
        <w:t>one</w:t>
      </w:r>
      <w:r w:rsidR="00FB137E">
        <w:rPr>
          <w:lang w:val="en-US"/>
        </w:rPr>
        <w:t xml:space="preserve"> </w:t>
      </w:r>
      <w:r w:rsidR="00144E28">
        <w:rPr>
          <w:lang w:val="en-US"/>
        </w:rPr>
        <w:t>block</w:t>
      </w:r>
      <w:r w:rsidR="00FB137E">
        <w:rPr>
          <w:lang w:val="en-US"/>
        </w:rPr>
        <w:t>, including</w:t>
      </w:r>
      <w:r w:rsidR="00D5756F">
        <w:rPr>
          <w:lang w:val="en-US"/>
        </w:rPr>
        <w:t xml:space="preserve"> terraces, </w:t>
      </w:r>
      <w:r w:rsidR="00535F80">
        <w:rPr>
          <w:lang w:val="en-US"/>
        </w:rPr>
        <w:t xml:space="preserve">bicycle storage facility. </w:t>
      </w:r>
    </w:p>
    <w:p w14:paraId="378AEB47" w14:textId="49EB64BF" w:rsidR="003C22C9" w:rsidRDefault="003C22C9">
      <w:pPr>
        <w:pStyle w:val="Default"/>
      </w:pPr>
    </w:p>
    <w:p w14:paraId="6684DD2F" w14:textId="12264033" w:rsidR="003966EB" w:rsidRDefault="003966EB">
      <w:pPr>
        <w:pStyle w:val="Default"/>
      </w:pPr>
    </w:p>
    <w:p w14:paraId="60799C1F" w14:textId="346748EC" w:rsidR="003966EB" w:rsidRDefault="003966EB">
      <w:pPr>
        <w:pStyle w:val="Default"/>
      </w:pPr>
    </w:p>
    <w:p w14:paraId="796562A4" w14:textId="77777777" w:rsidR="003966EB" w:rsidRDefault="003966EB">
      <w:pPr>
        <w:pStyle w:val="Default"/>
      </w:pPr>
    </w:p>
    <w:p w14:paraId="1016C2F0" w14:textId="77777777" w:rsidR="000C223E" w:rsidRDefault="000C223E">
      <w:pPr>
        <w:pStyle w:val="Heading"/>
        <w:rPr>
          <w:lang w:val="es-ES_tradnl"/>
        </w:rPr>
      </w:pPr>
    </w:p>
    <w:p w14:paraId="544120EA" w14:textId="77777777" w:rsidR="003C22C9" w:rsidRDefault="00847AF4">
      <w:pPr>
        <w:pStyle w:val="Heading"/>
        <w:rPr>
          <w:color w:val="FF2600"/>
          <w:sz w:val="22"/>
          <w:szCs w:val="22"/>
        </w:rPr>
      </w:pPr>
      <w:r>
        <w:rPr>
          <w:lang w:val="es-ES_tradnl"/>
        </w:rPr>
        <w:t>3.0</w:t>
      </w:r>
      <w:r>
        <w:rPr>
          <w:lang w:val="es-ES_tradnl"/>
        </w:rPr>
        <w:tab/>
        <w:t>POLICY &amp; LEGISLATIVE CONTEXT</w:t>
      </w:r>
    </w:p>
    <w:p w14:paraId="6198A5E5" w14:textId="77777777" w:rsidR="003C22C9" w:rsidRDefault="003C22C9">
      <w:pPr>
        <w:pStyle w:val="Default"/>
      </w:pPr>
    </w:p>
    <w:p w14:paraId="382129D1" w14:textId="70E988DD" w:rsidR="003C22C9" w:rsidRDefault="00847AF4">
      <w:pPr>
        <w:pStyle w:val="Default"/>
        <w:rPr>
          <w:color w:val="FF2600"/>
        </w:rPr>
      </w:pPr>
      <w:r>
        <w:rPr>
          <w:lang w:val="en-US"/>
        </w:rPr>
        <w:t>3.1</w:t>
      </w:r>
      <w:r>
        <w:rPr>
          <w:lang w:val="en-US"/>
        </w:rPr>
        <w:tab/>
        <w:t xml:space="preserve">There are </w:t>
      </w:r>
      <w:proofErr w:type="gramStart"/>
      <w:r>
        <w:rPr>
          <w:lang w:val="en-US"/>
        </w:rPr>
        <w:t>a number of</w:t>
      </w:r>
      <w:proofErr w:type="gramEnd"/>
      <w:r>
        <w:rPr>
          <w:lang w:val="en-US"/>
        </w:rPr>
        <w:t xml:space="preserve"> national policy drivers for energy efficiency and reduced carbon dioxide (CO</w:t>
      </w:r>
      <w:r>
        <w:rPr>
          <w:vertAlign w:val="subscript"/>
        </w:rPr>
        <w:t>2</w:t>
      </w:r>
      <w:r>
        <w:rPr>
          <w:lang w:val="en-US"/>
        </w:rPr>
        <w:t>) emissions, which have been introduced to address the issue of global warming and the implications of climate change including the Energy White Paper</w:t>
      </w:r>
      <w:r>
        <w:rPr>
          <w:vertAlign w:val="superscript"/>
        </w:rPr>
        <w:t>4</w:t>
      </w:r>
      <w:r>
        <w:rPr>
          <w:lang w:val="en-US"/>
        </w:rPr>
        <w:t>, National Planning Policy Framework</w:t>
      </w:r>
      <w:r>
        <w:rPr>
          <w:vertAlign w:val="superscript"/>
        </w:rPr>
        <w:t>5</w:t>
      </w:r>
      <w:r>
        <w:rPr>
          <w:lang w:val="en-US"/>
        </w:rPr>
        <w:t xml:space="preserve"> (NPPF), Building Regulations Approved Document Part L (2013 edition), and the BREEAM Assessment methodology. On a regional level, the London Plan</w:t>
      </w:r>
      <w:r>
        <w:rPr>
          <w:vertAlign w:val="superscript"/>
        </w:rPr>
        <w:t>1</w:t>
      </w:r>
      <w:r>
        <w:rPr>
          <w:lang w:val="en-US"/>
        </w:rPr>
        <w:t xml:space="preserve"> provides the policy drivers for major developments within Greater London and at the local level the relevant development policies are detailed within the </w:t>
      </w:r>
      <w:r w:rsidR="000E7D86">
        <w:rPr>
          <w:lang w:val="en-US"/>
        </w:rPr>
        <w:t>Camden</w:t>
      </w:r>
      <w:r w:rsidR="00D5756F">
        <w:rPr>
          <w:lang w:val="en-US"/>
        </w:rPr>
        <w:t xml:space="preserve"> Local Plan</w:t>
      </w:r>
      <w:r w:rsidR="00CB5DFC">
        <w:rPr>
          <w:lang w:val="en-US"/>
        </w:rPr>
        <w:t xml:space="preserve"> (</w:t>
      </w:r>
      <w:r w:rsidR="000E7D86">
        <w:rPr>
          <w:lang w:val="en-US"/>
        </w:rPr>
        <w:t>2017</w:t>
      </w:r>
      <w:r w:rsidR="00CB5DFC">
        <w:rPr>
          <w:lang w:val="en-US"/>
        </w:rPr>
        <w:t>)</w:t>
      </w:r>
      <w:r w:rsidR="00D5756F" w:rsidRPr="00D5756F">
        <w:rPr>
          <w:vertAlign w:val="superscript"/>
          <w:lang w:val="en-US"/>
        </w:rPr>
        <w:t>2</w:t>
      </w:r>
      <w:r w:rsidR="00D5756F">
        <w:rPr>
          <w:lang w:val="en-US"/>
        </w:rPr>
        <w:t>.</w:t>
      </w:r>
    </w:p>
    <w:p w14:paraId="6B4E18C8" w14:textId="77777777" w:rsidR="003C22C9" w:rsidRDefault="003C22C9">
      <w:pPr>
        <w:pStyle w:val="Default"/>
        <w:ind w:firstLine="0"/>
        <w:rPr>
          <w:color w:val="FF2600"/>
          <w:sz w:val="28"/>
          <w:szCs w:val="28"/>
        </w:rPr>
      </w:pPr>
    </w:p>
    <w:p w14:paraId="2E19930A" w14:textId="77777777" w:rsidR="003C22C9" w:rsidRPr="00236D15" w:rsidRDefault="00847AF4">
      <w:pPr>
        <w:pStyle w:val="Default"/>
        <w:ind w:firstLine="0"/>
        <w:rPr>
          <w:sz w:val="24"/>
          <w:szCs w:val="24"/>
        </w:rPr>
      </w:pPr>
      <w:r w:rsidRPr="00236D15">
        <w:rPr>
          <w:sz w:val="24"/>
          <w:szCs w:val="24"/>
          <w:lang w:val="it-IT"/>
        </w:rPr>
        <w:t>Regional</w:t>
      </w:r>
      <w:r w:rsidRPr="00236D15">
        <w:rPr>
          <w:sz w:val="24"/>
          <w:szCs w:val="24"/>
          <w:lang w:val="en-US"/>
        </w:rPr>
        <w:t xml:space="preserve"> Policy Drivers</w:t>
      </w:r>
    </w:p>
    <w:p w14:paraId="262AAD24" w14:textId="77777777" w:rsidR="003C22C9" w:rsidRDefault="003C22C9">
      <w:pPr>
        <w:pStyle w:val="Default"/>
      </w:pPr>
    </w:p>
    <w:p w14:paraId="4E4114FF" w14:textId="77777777" w:rsidR="003C22C9" w:rsidRDefault="00847AF4">
      <w:pPr>
        <w:pStyle w:val="Default"/>
        <w:ind w:firstLine="0"/>
        <w:rPr>
          <w:b/>
          <w:bCs/>
          <w:sz w:val="24"/>
          <w:szCs w:val="24"/>
        </w:rPr>
      </w:pPr>
      <w:r>
        <w:rPr>
          <w:b/>
          <w:bCs/>
          <w:sz w:val="24"/>
          <w:szCs w:val="24"/>
          <w:lang w:val="en-US"/>
        </w:rPr>
        <w:t>The London Plan: Spatial Development Strategy for Greater London</w:t>
      </w:r>
    </w:p>
    <w:p w14:paraId="31CF4916" w14:textId="77777777" w:rsidR="003C22C9" w:rsidRDefault="00847AF4">
      <w:pPr>
        <w:pStyle w:val="Default"/>
      </w:pPr>
      <w:r>
        <w:rPr>
          <w:lang w:val="en-US"/>
        </w:rPr>
        <w:t>3.5</w:t>
      </w:r>
      <w:r>
        <w:rPr>
          <w:lang w:val="en-US"/>
        </w:rPr>
        <w:tab/>
        <w:t>On 10 March 2015, the Mayor published (</w:t>
      </w:r>
      <w:proofErr w:type="gramStart"/>
      <w:r>
        <w:rPr>
          <w:lang w:val="en-US"/>
        </w:rPr>
        <w:t>i.e.</w:t>
      </w:r>
      <w:proofErr w:type="gramEnd"/>
      <w:r>
        <w:rPr>
          <w:lang w:val="en-US"/>
        </w:rPr>
        <w:t xml:space="preserve"> adopted) the Further Alterations to the London Plan</w:t>
      </w:r>
      <w:r>
        <w:rPr>
          <w:vertAlign w:val="superscript"/>
        </w:rPr>
        <w:t>1</w:t>
      </w:r>
      <w:r>
        <w:t xml:space="preserve"> (FALP).  </w:t>
      </w:r>
      <w:r>
        <w:rPr>
          <w:lang w:val="en-US"/>
        </w:rPr>
        <w:t>From this date, the FALP are operative as formal alterations to the London Plan (the Mayor</w:t>
      </w:r>
      <w:r>
        <w:t>’</w:t>
      </w:r>
      <w:r>
        <w:rPr>
          <w:lang w:val="en-US"/>
        </w:rPr>
        <w:t>s spatial development strategy) and form part of the development plan for Greater London.</w:t>
      </w:r>
      <w:r>
        <w:t> </w:t>
      </w:r>
    </w:p>
    <w:p w14:paraId="7833B1A6" w14:textId="77777777" w:rsidR="003C22C9" w:rsidRDefault="003C22C9">
      <w:pPr>
        <w:pStyle w:val="Default"/>
        <w:rPr>
          <w:color w:val="FF2600"/>
        </w:rPr>
      </w:pPr>
    </w:p>
    <w:p w14:paraId="72331348" w14:textId="77777777" w:rsidR="003C22C9" w:rsidRDefault="00847AF4">
      <w:pPr>
        <w:pStyle w:val="Default"/>
        <w:ind w:firstLine="0"/>
      </w:pPr>
      <w:r>
        <w:rPr>
          <w:lang w:val="en-US"/>
        </w:rPr>
        <w:t>Section 5 of the Plan covers the mitigation of, and adaptation to climate change and the management of natural resources. The London Plan supports the Mayor</w:t>
      </w:r>
      <w:r>
        <w:t>’</w:t>
      </w:r>
      <w:r>
        <w:rPr>
          <w:lang w:val="en-US"/>
        </w:rPr>
        <w:t xml:space="preserve">s Energy Strategy. The key policies regarding energy efficiency are </w:t>
      </w:r>
      <w:proofErr w:type="spellStart"/>
      <w:r>
        <w:rPr>
          <w:lang w:val="en-US"/>
        </w:rPr>
        <w:t>summarised</w:t>
      </w:r>
      <w:proofErr w:type="spellEnd"/>
      <w:r>
        <w:rPr>
          <w:lang w:val="en-US"/>
        </w:rPr>
        <w:t xml:space="preserve"> below.</w:t>
      </w:r>
    </w:p>
    <w:p w14:paraId="2C77933D" w14:textId="77777777" w:rsidR="003C22C9" w:rsidRDefault="003C22C9">
      <w:pPr>
        <w:pStyle w:val="Default"/>
      </w:pPr>
    </w:p>
    <w:p w14:paraId="02585C29" w14:textId="77777777" w:rsidR="003C22C9" w:rsidRDefault="00847AF4">
      <w:pPr>
        <w:pStyle w:val="Default"/>
        <w:ind w:firstLine="0"/>
        <w:rPr>
          <w:sz w:val="24"/>
          <w:szCs w:val="24"/>
        </w:rPr>
      </w:pPr>
      <w:r>
        <w:rPr>
          <w:sz w:val="24"/>
          <w:szCs w:val="24"/>
          <w:lang w:val="en-US"/>
        </w:rPr>
        <w:t xml:space="preserve">Policy 5.2 </w:t>
      </w:r>
      <w:proofErr w:type="spellStart"/>
      <w:r>
        <w:rPr>
          <w:sz w:val="24"/>
          <w:szCs w:val="24"/>
          <w:lang w:val="en-US"/>
        </w:rPr>
        <w:t>Minimising</w:t>
      </w:r>
      <w:proofErr w:type="spellEnd"/>
      <w:r>
        <w:rPr>
          <w:sz w:val="24"/>
          <w:szCs w:val="24"/>
          <w:lang w:val="en-US"/>
        </w:rPr>
        <w:t xml:space="preserve"> Carbon Dioxide Emissions</w:t>
      </w:r>
    </w:p>
    <w:p w14:paraId="12D451EF" w14:textId="77777777" w:rsidR="003C22C9" w:rsidRDefault="00847AF4">
      <w:pPr>
        <w:pStyle w:val="Default"/>
        <w:ind w:firstLine="0"/>
        <w:rPr>
          <w:i/>
          <w:iCs/>
        </w:rPr>
      </w:pPr>
      <w:r>
        <w:rPr>
          <w:i/>
          <w:iCs/>
          <w:lang w:val="en-US"/>
        </w:rPr>
        <w:t xml:space="preserve">'A - Development proposals should make the fullest contribution to </w:t>
      </w:r>
      <w:proofErr w:type="spellStart"/>
      <w:r>
        <w:rPr>
          <w:i/>
          <w:iCs/>
          <w:lang w:val="en-US"/>
        </w:rPr>
        <w:t>minimising</w:t>
      </w:r>
      <w:proofErr w:type="spellEnd"/>
      <w:r>
        <w:rPr>
          <w:i/>
          <w:iCs/>
          <w:lang w:val="en-US"/>
        </w:rPr>
        <w:t xml:space="preserve"> carbon dioxide emissions in accordance with the following energy hierarchy:</w:t>
      </w:r>
    </w:p>
    <w:p w14:paraId="76580AC6" w14:textId="77777777" w:rsidR="003C22C9" w:rsidRDefault="00847AF4">
      <w:pPr>
        <w:pStyle w:val="Default"/>
        <w:ind w:firstLine="0"/>
        <w:rPr>
          <w:i/>
          <w:iCs/>
        </w:rPr>
      </w:pPr>
      <w:r>
        <w:rPr>
          <w:i/>
          <w:iCs/>
          <w:lang w:val="en-US"/>
        </w:rPr>
        <w:t>1</w:t>
      </w:r>
      <w:r>
        <w:rPr>
          <w:i/>
          <w:iCs/>
          <w:lang w:val="en-US"/>
        </w:rPr>
        <w:tab/>
        <w:t xml:space="preserve">Be lean: use less </w:t>
      </w:r>
      <w:proofErr w:type="gramStart"/>
      <w:r>
        <w:rPr>
          <w:i/>
          <w:iCs/>
          <w:lang w:val="en-US"/>
        </w:rPr>
        <w:t>energy</w:t>
      </w:r>
      <w:proofErr w:type="gramEnd"/>
    </w:p>
    <w:p w14:paraId="2AA253AE" w14:textId="77777777" w:rsidR="003C22C9" w:rsidRDefault="00847AF4">
      <w:pPr>
        <w:pStyle w:val="Default"/>
        <w:ind w:firstLine="0"/>
        <w:rPr>
          <w:i/>
          <w:iCs/>
        </w:rPr>
      </w:pPr>
      <w:r>
        <w:rPr>
          <w:i/>
          <w:iCs/>
          <w:lang w:val="en-US"/>
        </w:rPr>
        <w:t>2</w:t>
      </w:r>
      <w:r>
        <w:rPr>
          <w:i/>
          <w:iCs/>
          <w:lang w:val="en-US"/>
        </w:rPr>
        <w:tab/>
        <w:t xml:space="preserve">Be clean: supply energy </w:t>
      </w:r>
      <w:proofErr w:type="gramStart"/>
      <w:r>
        <w:rPr>
          <w:i/>
          <w:iCs/>
          <w:lang w:val="en-US"/>
        </w:rPr>
        <w:t>efficiently</w:t>
      </w:r>
      <w:proofErr w:type="gramEnd"/>
      <w:r>
        <w:rPr>
          <w:i/>
          <w:iCs/>
          <w:lang w:val="en-US"/>
        </w:rPr>
        <w:t xml:space="preserve"> </w:t>
      </w:r>
    </w:p>
    <w:p w14:paraId="3070F688" w14:textId="77777777" w:rsidR="003C22C9" w:rsidRDefault="00847AF4">
      <w:pPr>
        <w:pStyle w:val="Default"/>
        <w:ind w:firstLine="0"/>
        <w:rPr>
          <w:i/>
          <w:iCs/>
        </w:rPr>
      </w:pPr>
      <w:r>
        <w:rPr>
          <w:i/>
          <w:iCs/>
          <w:lang w:val="en-US"/>
        </w:rPr>
        <w:t xml:space="preserve">3 </w:t>
      </w:r>
      <w:r>
        <w:rPr>
          <w:i/>
          <w:iCs/>
          <w:lang w:val="en-US"/>
        </w:rPr>
        <w:tab/>
        <w:t xml:space="preserve">Be green: use renewable </w:t>
      </w:r>
      <w:proofErr w:type="gramStart"/>
      <w:r>
        <w:rPr>
          <w:i/>
          <w:iCs/>
          <w:lang w:val="en-US"/>
        </w:rPr>
        <w:t>energy</w:t>
      </w:r>
      <w:proofErr w:type="gramEnd"/>
    </w:p>
    <w:p w14:paraId="58BEEB29" w14:textId="77777777" w:rsidR="003C22C9" w:rsidRDefault="00847AF4">
      <w:pPr>
        <w:pStyle w:val="Default"/>
        <w:ind w:firstLine="0"/>
        <w:rPr>
          <w:i/>
          <w:iCs/>
          <w:lang w:val="en-US"/>
        </w:rPr>
      </w:pPr>
      <w:r>
        <w:rPr>
          <w:i/>
          <w:iCs/>
        </w:rPr>
        <w:t xml:space="preserve">B – </w:t>
      </w:r>
      <w:r>
        <w:rPr>
          <w:i/>
          <w:iCs/>
          <w:lang w:val="en-US"/>
        </w:rPr>
        <w:t>The Mayor will work with boroughs and developers to ensure that major developments meet the following targets for carbon dioxide emissions reduction in buildings. These targets are expressed as minimum improvements over the Target Emissions Rate (TER) outlined in the national Building Regulations leading to zero carbon residential buildings from 2016 and zero carbon non-domestic buildings from 2019.</w:t>
      </w:r>
    </w:p>
    <w:tbl>
      <w:tblPr>
        <w:tblStyle w:val="TableGrid2"/>
        <w:tblW w:w="0" w:type="auto"/>
        <w:jc w:val="center"/>
        <w:tblLook w:val="04A0" w:firstRow="1" w:lastRow="0" w:firstColumn="1" w:lastColumn="0" w:noHBand="0" w:noVBand="1"/>
      </w:tblPr>
      <w:tblGrid>
        <w:gridCol w:w="3300"/>
        <w:gridCol w:w="3144"/>
      </w:tblGrid>
      <w:tr w:rsidR="000D351D" w:rsidRPr="000D351D" w14:paraId="234620DD" w14:textId="77777777" w:rsidTr="000D351D">
        <w:trPr>
          <w:jc w:val="center"/>
        </w:trPr>
        <w:tc>
          <w:tcPr>
            <w:tcW w:w="3300" w:type="dxa"/>
            <w:shd w:val="clear" w:color="auto" w:fill="auto"/>
          </w:tcPr>
          <w:p w14:paraId="384E50CC" w14:textId="77777777" w:rsidR="006C111C" w:rsidRPr="000D351D" w:rsidRDefault="006C111C" w:rsidP="006C111C">
            <w:pPr>
              <w:jc w:val="center"/>
              <w:rPr>
                <w:rFonts w:asciiTheme="minorHAnsi" w:hAnsiTheme="minorHAnsi" w:cstheme="minorHAnsi"/>
                <w:b/>
                <w:sz w:val="22"/>
                <w:szCs w:val="22"/>
              </w:rPr>
            </w:pPr>
            <w:r w:rsidRPr="000D351D">
              <w:rPr>
                <w:rFonts w:asciiTheme="minorHAnsi" w:hAnsiTheme="minorHAnsi" w:cstheme="minorHAnsi"/>
                <w:b/>
                <w:sz w:val="22"/>
                <w:szCs w:val="22"/>
              </w:rPr>
              <w:t>Residential Buildings</w:t>
            </w:r>
          </w:p>
        </w:tc>
        <w:tc>
          <w:tcPr>
            <w:tcW w:w="3144" w:type="dxa"/>
            <w:shd w:val="clear" w:color="auto" w:fill="auto"/>
          </w:tcPr>
          <w:p w14:paraId="2F7E81CB" w14:textId="77777777" w:rsidR="006C111C" w:rsidRPr="000D351D" w:rsidRDefault="006C111C" w:rsidP="006C111C">
            <w:pPr>
              <w:jc w:val="center"/>
              <w:rPr>
                <w:rFonts w:asciiTheme="minorHAnsi" w:hAnsiTheme="minorHAnsi" w:cstheme="minorHAnsi"/>
                <w:b/>
                <w:sz w:val="22"/>
                <w:szCs w:val="22"/>
              </w:rPr>
            </w:pPr>
            <w:r w:rsidRPr="000D351D">
              <w:rPr>
                <w:rFonts w:asciiTheme="minorHAnsi" w:hAnsiTheme="minorHAnsi" w:cstheme="minorHAnsi"/>
                <w:b/>
                <w:sz w:val="22"/>
                <w:szCs w:val="22"/>
              </w:rPr>
              <w:t>Non-Domestic Buildings</w:t>
            </w:r>
          </w:p>
        </w:tc>
      </w:tr>
      <w:tr w:rsidR="006C111C" w:rsidRPr="006C111C" w14:paraId="4A226F69" w14:textId="77777777" w:rsidTr="005C65AE">
        <w:trPr>
          <w:jc w:val="center"/>
        </w:trPr>
        <w:tc>
          <w:tcPr>
            <w:tcW w:w="3300" w:type="dxa"/>
          </w:tcPr>
          <w:p w14:paraId="54678923" w14:textId="77777777" w:rsidR="006C111C" w:rsidRPr="006C111C" w:rsidRDefault="006C111C" w:rsidP="006C111C">
            <w:pPr>
              <w:numPr>
                <w:ilvl w:val="0"/>
                <w:numId w:val="9"/>
              </w:numPr>
              <w:ind w:left="284" w:hanging="218"/>
              <w:contextualSpacing/>
              <w:rPr>
                <w:rFonts w:asciiTheme="minorHAnsi" w:hAnsiTheme="minorHAnsi" w:cstheme="minorHAnsi"/>
                <w:sz w:val="22"/>
                <w:szCs w:val="22"/>
              </w:rPr>
            </w:pPr>
            <w:r w:rsidRPr="006C111C">
              <w:rPr>
                <w:rFonts w:asciiTheme="minorHAnsi" w:hAnsiTheme="minorHAnsi" w:cstheme="minorHAnsi"/>
                <w:sz w:val="22"/>
                <w:szCs w:val="22"/>
              </w:rPr>
              <w:t xml:space="preserve">2010 – 2013: 25% improvement on 2010 Building Regulations (CSH Level 4) </w:t>
            </w:r>
          </w:p>
          <w:p w14:paraId="2304EF2A" w14:textId="77777777" w:rsidR="006C111C" w:rsidRPr="006C111C" w:rsidRDefault="006C111C" w:rsidP="006C111C">
            <w:pPr>
              <w:numPr>
                <w:ilvl w:val="0"/>
                <w:numId w:val="9"/>
              </w:numPr>
              <w:ind w:left="284" w:hanging="218"/>
              <w:contextualSpacing/>
              <w:rPr>
                <w:rFonts w:asciiTheme="minorHAnsi" w:hAnsiTheme="minorHAnsi" w:cstheme="minorHAnsi"/>
                <w:sz w:val="22"/>
                <w:szCs w:val="22"/>
              </w:rPr>
            </w:pPr>
            <w:r w:rsidRPr="006C111C">
              <w:rPr>
                <w:rFonts w:asciiTheme="minorHAnsi" w:hAnsiTheme="minorHAnsi" w:cstheme="minorHAnsi"/>
                <w:sz w:val="22"/>
                <w:szCs w:val="22"/>
              </w:rPr>
              <w:t>2013 – 2016: 40% improvement on 2010 Building Regulations</w:t>
            </w:r>
          </w:p>
          <w:p w14:paraId="0F57E3DF" w14:textId="77777777" w:rsidR="006C111C" w:rsidRPr="006C111C" w:rsidRDefault="006C111C" w:rsidP="006C111C">
            <w:pPr>
              <w:numPr>
                <w:ilvl w:val="0"/>
                <w:numId w:val="9"/>
              </w:numPr>
              <w:ind w:left="284" w:hanging="218"/>
              <w:contextualSpacing/>
              <w:jc w:val="both"/>
              <w:rPr>
                <w:rFonts w:asciiTheme="minorHAnsi" w:hAnsiTheme="minorHAnsi" w:cstheme="minorHAnsi"/>
                <w:sz w:val="22"/>
                <w:szCs w:val="22"/>
              </w:rPr>
            </w:pPr>
            <w:r w:rsidRPr="006C111C">
              <w:rPr>
                <w:rFonts w:asciiTheme="minorHAnsi" w:hAnsiTheme="minorHAnsi" w:cstheme="minorHAnsi"/>
                <w:sz w:val="22"/>
                <w:szCs w:val="22"/>
              </w:rPr>
              <w:t>2016 – 2031 Zero Carbon</w:t>
            </w:r>
          </w:p>
        </w:tc>
        <w:tc>
          <w:tcPr>
            <w:tcW w:w="3144" w:type="dxa"/>
          </w:tcPr>
          <w:p w14:paraId="39CD8BAC" w14:textId="77777777" w:rsidR="006C111C" w:rsidRPr="006C111C" w:rsidRDefault="006C111C" w:rsidP="006C111C">
            <w:pPr>
              <w:numPr>
                <w:ilvl w:val="0"/>
                <w:numId w:val="9"/>
              </w:numPr>
              <w:ind w:left="244" w:hanging="258"/>
              <w:contextualSpacing/>
              <w:rPr>
                <w:rFonts w:asciiTheme="minorHAnsi" w:hAnsiTheme="minorHAnsi" w:cstheme="minorHAnsi"/>
                <w:sz w:val="22"/>
                <w:szCs w:val="22"/>
              </w:rPr>
            </w:pPr>
            <w:r w:rsidRPr="006C111C">
              <w:rPr>
                <w:rFonts w:asciiTheme="minorHAnsi" w:hAnsiTheme="minorHAnsi" w:cstheme="minorHAnsi"/>
                <w:sz w:val="22"/>
                <w:szCs w:val="22"/>
              </w:rPr>
              <w:t>2010 – 2013: 25% improvement on 2010 Building Regulations (CSH Level 4)</w:t>
            </w:r>
          </w:p>
          <w:p w14:paraId="1D741F07" w14:textId="77777777" w:rsidR="006C111C" w:rsidRPr="006C111C" w:rsidRDefault="006C111C" w:rsidP="006C111C">
            <w:pPr>
              <w:numPr>
                <w:ilvl w:val="0"/>
                <w:numId w:val="9"/>
              </w:numPr>
              <w:ind w:left="244" w:hanging="258"/>
              <w:contextualSpacing/>
              <w:rPr>
                <w:rFonts w:asciiTheme="minorHAnsi" w:hAnsiTheme="minorHAnsi" w:cstheme="minorHAnsi"/>
                <w:sz w:val="22"/>
                <w:szCs w:val="22"/>
              </w:rPr>
            </w:pPr>
            <w:r w:rsidRPr="006C111C">
              <w:rPr>
                <w:rFonts w:asciiTheme="minorHAnsi" w:hAnsiTheme="minorHAnsi" w:cstheme="minorHAnsi"/>
                <w:sz w:val="22"/>
                <w:szCs w:val="22"/>
              </w:rPr>
              <w:t xml:space="preserve">2013 – 2016: 40% improvement on 2010 Building Regulations. </w:t>
            </w:r>
          </w:p>
          <w:p w14:paraId="0AD70558" w14:textId="77777777" w:rsidR="006C111C" w:rsidRPr="006C111C" w:rsidRDefault="006C111C" w:rsidP="006C111C">
            <w:pPr>
              <w:numPr>
                <w:ilvl w:val="0"/>
                <w:numId w:val="9"/>
              </w:numPr>
              <w:ind w:left="244" w:hanging="258"/>
              <w:contextualSpacing/>
              <w:rPr>
                <w:rFonts w:asciiTheme="minorHAnsi" w:hAnsiTheme="minorHAnsi" w:cstheme="minorHAnsi"/>
                <w:sz w:val="22"/>
                <w:szCs w:val="22"/>
              </w:rPr>
            </w:pPr>
            <w:r w:rsidRPr="006C111C">
              <w:rPr>
                <w:rFonts w:asciiTheme="minorHAnsi" w:hAnsiTheme="minorHAnsi" w:cstheme="minorHAnsi"/>
                <w:sz w:val="22"/>
                <w:szCs w:val="22"/>
              </w:rPr>
              <w:t xml:space="preserve">2016 – 2019: As Building Regulations requirements </w:t>
            </w:r>
          </w:p>
          <w:p w14:paraId="75F4C47A" w14:textId="77777777" w:rsidR="006C111C" w:rsidRPr="006C111C" w:rsidRDefault="006C111C" w:rsidP="006C111C">
            <w:pPr>
              <w:numPr>
                <w:ilvl w:val="0"/>
                <w:numId w:val="9"/>
              </w:numPr>
              <w:ind w:left="244" w:hanging="258"/>
              <w:contextualSpacing/>
              <w:jc w:val="both"/>
              <w:rPr>
                <w:rFonts w:asciiTheme="minorHAnsi" w:hAnsiTheme="minorHAnsi" w:cstheme="minorHAnsi"/>
                <w:sz w:val="22"/>
                <w:szCs w:val="22"/>
              </w:rPr>
            </w:pPr>
            <w:r w:rsidRPr="006C111C">
              <w:rPr>
                <w:rFonts w:asciiTheme="minorHAnsi" w:hAnsiTheme="minorHAnsi" w:cstheme="minorHAnsi"/>
                <w:sz w:val="22"/>
                <w:szCs w:val="22"/>
              </w:rPr>
              <w:t>2019 – 2031: Zero Carbon</w:t>
            </w:r>
          </w:p>
        </w:tc>
      </w:tr>
    </w:tbl>
    <w:p w14:paraId="2618E8FC" w14:textId="77777777" w:rsidR="006C111C" w:rsidRDefault="006C111C">
      <w:pPr>
        <w:pStyle w:val="Default"/>
        <w:ind w:firstLine="0"/>
        <w:rPr>
          <w:i/>
          <w:iCs/>
        </w:rPr>
      </w:pPr>
    </w:p>
    <w:p w14:paraId="24AEDD39" w14:textId="77777777" w:rsidR="003C22C9" w:rsidRDefault="003C22C9">
      <w:pPr>
        <w:pStyle w:val="Default"/>
      </w:pPr>
    </w:p>
    <w:p w14:paraId="636986BB" w14:textId="77777777" w:rsidR="003C22C9" w:rsidRDefault="00847AF4">
      <w:pPr>
        <w:pStyle w:val="Default"/>
        <w:ind w:firstLine="0"/>
        <w:rPr>
          <w:i/>
          <w:iCs/>
        </w:rPr>
      </w:pPr>
      <w:r>
        <w:rPr>
          <w:i/>
          <w:iCs/>
          <w:lang w:val="en-US"/>
        </w:rPr>
        <w:t>C - Major developments proposals should include a detailed energy assessment to demonstrate how the targets for carbon dioxide emissions reduction outlined above are to be met within the framework of the energy hierarchy.</w:t>
      </w:r>
    </w:p>
    <w:p w14:paraId="6262A885" w14:textId="77777777" w:rsidR="003C22C9" w:rsidRDefault="003C22C9">
      <w:pPr>
        <w:pStyle w:val="Default"/>
        <w:rPr>
          <w:i/>
          <w:iCs/>
        </w:rPr>
      </w:pPr>
    </w:p>
    <w:p w14:paraId="7DE7E86E" w14:textId="77777777" w:rsidR="003C22C9" w:rsidRDefault="00847AF4">
      <w:pPr>
        <w:pStyle w:val="Default"/>
        <w:ind w:firstLine="0"/>
        <w:rPr>
          <w:i/>
          <w:iCs/>
        </w:rPr>
      </w:pPr>
      <w:r>
        <w:rPr>
          <w:i/>
          <w:iCs/>
          <w:lang w:val="en-US"/>
        </w:rPr>
        <w:t xml:space="preserve">D </w:t>
      </w:r>
      <w:r>
        <w:rPr>
          <w:i/>
          <w:iCs/>
        </w:rPr>
        <w:t xml:space="preserve">– </w:t>
      </w:r>
      <w:r>
        <w:rPr>
          <w:i/>
          <w:iCs/>
          <w:lang w:val="en-US"/>
        </w:rPr>
        <w:t>As a minimum, energy assessments should include the following details:</w:t>
      </w:r>
    </w:p>
    <w:p w14:paraId="44CCB64D" w14:textId="77777777" w:rsidR="003C22C9" w:rsidRDefault="00847AF4">
      <w:pPr>
        <w:pStyle w:val="Default"/>
        <w:ind w:firstLine="0"/>
        <w:rPr>
          <w:i/>
          <w:iCs/>
        </w:rPr>
      </w:pPr>
      <w:r>
        <w:rPr>
          <w:i/>
          <w:iCs/>
          <w:lang w:val="en-US"/>
        </w:rPr>
        <w:t xml:space="preserve">a </w:t>
      </w:r>
      <w:r>
        <w:rPr>
          <w:i/>
          <w:iCs/>
          <w:lang w:val="en-US"/>
        </w:rPr>
        <w:tab/>
        <w:t>Calculation of the energy demand and carbon dioxide emissions covered by the Building Regulations and, separately, the energy demand and carbon dioxide emissions from any other part of the development, including plant or equipment, that are not covered by the Building Regulations</w:t>
      </w:r>
      <w:r>
        <w:rPr>
          <w:i/>
          <w:iCs/>
        </w:rPr>
        <w:t xml:space="preserve">… </w:t>
      </w:r>
      <w:r>
        <w:rPr>
          <w:i/>
          <w:iCs/>
          <w:lang w:val="en-US"/>
        </w:rPr>
        <w:t xml:space="preserve">at each stage of the energy hierarchy. </w:t>
      </w:r>
    </w:p>
    <w:p w14:paraId="7C7A8900" w14:textId="77777777" w:rsidR="003C22C9" w:rsidRDefault="00847AF4">
      <w:pPr>
        <w:pStyle w:val="Default"/>
        <w:ind w:firstLine="0"/>
        <w:rPr>
          <w:i/>
          <w:iCs/>
        </w:rPr>
      </w:pPr>
      <w:r>
        <w:rPr>
          <w:i/>
          <w:iCs/>
          <w:lang w:val="en-US"/>
        </w:rPr>
        <w:t>b</w:t>
      </w:r>
      <w:r>
        <w:rPr>
          <w:i/>
          <w:iCs/>
          <w:lang w:val="en-US"/>
        </w:rPr>
        <w:tab/>
        <w:t xml:space="preserve">Proposals to reduce carbon dioxide emissions through the energy efficient design of the site, </w:t>
      </w:r>
      <w:proofErr w:type="gramStart"/>
      <w:r>
        <w:rPr>
          <w:i/>
          <w:iCs/>
          <w:lang w:val="en-US"/>
        </w:rPr>
        <w:t>buildings</w:t>
      </w:r>
      <w:proofErr w:type="gramEnd"/>
      <w:r>
        <w:rPr>
          <w:i/>
          <w:iCs/>
          <w:lang w:val="en-US"/>
        </w:rPr>
        <w:t xml:space="preserve"> and services</w:t>
      </w:r>
    </w:p>
    <w:p w14:paraId="03E6CDD3" w14:textId="77777777" w:rsidR="003C22C9" w:rsidRDefault="00847AF4">
      <w:pPr>
        <w:pStyle w:val="Default"/>
        <w:ind w:firstLine="0"/>
        <w:rPr>
          <w:i/>
          <w:iCs/>
        </w:rPr>
      </w:pPr>
      <w:r>
        <w:rPr>
          <w:i/>
          <w:iCs/>
          <w:lang w:val="en-US"/>
        </w:rPr>
        <w:t>c</w:t>
      </w:r>
      <w:r>
        <w:rPr>
          <w:i/>
          <w:iCs/>
          <w:lang w:val="en-US"/>
        </w:rPr>
        <w:tab/>
        <w:t xml:space="preserve">Proposals to further reduce carbon dioxide emissions </w:t>
      </w:r>
      <w:proofErr w:type="gramStart"/>
      <w:r>
        <w:rPr>
          <w:i/>
          <w:iCs/>
          <w:lang w:val="en-US"/>
        </w:rPr>
        <w:t>through the use of</w:t>
      </w:r>
      <w:proofErr w:type="gramEnd"/>
      <w:r>
        <w:rPr>
          <w:i/>
          <w:iCs/>
          <w:lang w:val="en-US"/>
        </w:rPr>
        <w:t xml:space="preserve"> </w:t>
      </w:r>
      <w:proofErr w:type="spellStart"/>
      <w:r>
        <w:rPr>
          <w:i/>
          <w:iCs/>
          <w:lang w:val="en-US"/>
        </w:rPr>
        <w:t>decentralised</w:t>
      </w:r>
      <w:proofErr w:type="spellEnd"/>
      <w:r>
        <w:rPr>
          <w:i/>
          <w:iCs/>
          <w:lang w:val="en-US"/>
        </w:rPr>
        <w:t xml:space="preserve"> energy where feasible, such as district heating and cooling and combined heat and power (CHP)</w:t>
      </w:r>
    </w:p>
    <w:p w14:paraId="4872BED7" w14:textId="77777777" w:rsidR="003C22C9" w:rsidRDefault="00847AF4">
      <w:pPr>
        <w:pStyle w:val="Default"/>
        <w:ind w:firstLine="0"/>
        <w:rPr>
          <w:i/>
          <w:iCs/>
        </w:rPr>
      </w:pPr>
      <w:r>
        <w:rPr>
          <w:i/>
          <w:iCs/>
          <w:lang w:val="en-US"/>
        </w:rPr>
        <w:t xml:space="preserve">d </w:t>
      </w:r>
      <w:r>
        <w:rPr>
          <w:i/>
          <w:iCs/>
          <w:lang w:val="en-US"/>
        </w:rPr>
        <w:tab/>
        <w:t xml:space="preserve">Proposals to further reduce carbon dioxide emissions </w:t>
      </w:r>
      <w:proofErr w:type="gramStart"/>
      <w:r>
        <w:rPr>
          <w:i/>
          <w:iCs/>
          <w:lang w:val="en-US"/>
        </w:rPr>
        <w:t>through the use of</w:t>
      </w:r>
      <w:proofErr w:type="gramEnd"/>
      <w:r>
        <w:rPr>
          <w:i/>
          <w:iCs/>
          <w:lang w:val="en-US"/>
        </w:rPr>
        <w:t xml:space="preserve"> on-site renewable energy technologies.</w:t>
      </w:r>
    </w:p>
    <w:p w14:paraId="751017DE" w14:textId="77777777" w:rsidR="003C22C9" w:rsidRDefault="003C22C9">
      <w:pPr>
        <w:pStyle w:val="Default"/>
        <w:rPr>
          <w:i/>
          <w:iCs/>
        </w:rPr>
      </w:pPr>
    </w:p>
    <w:p w14:paraId="057090B8" w14:textId="77777777" w:rsidR="003C22C9" w:rsidRDefault="00847AF4">
      <w:pPr>
        <w:pStyle w:val="Default"/>
        <w:ind w:firstLine="0"/>
        <w:rPr>
          <w:i/>
          <w:iCs/>
        </w:rPr>
      </w:pPr>
      <w:r>
        <w:rPr>
          <w:i/>
          <w:iCs/>
        </w:rPr>
        <w:t xml:space="preserve">E – </w:t>
      </w:r>
      <w:r>
        <w:rPr>
          <w:i/>
          <w:iCs/>
          <w:lang w:val="en-US"/>
        </w:rPr>
        <w:t>The carbon dioxide reduction targets should be met on-site. Where it is clearly demonstrated that the specific targets cannot be fully achieved on-site, any shortfall may be provided off-site or through a cash in lieu contribution to the relevant borough to be ring fenced to secure delivery of carbon dioxide savings elsewhere.'</w:t>
      </w:r>
    </w:p>
    <w:p w14:paraId="4A6C9A11" w14:textId="77777777" w:rsidR="003C22C9" w:rsidRDefault="003C22C9">
      <w:pPr>
        <w:pStyle w:val="Default"/>
        <w:ind w:firstLine="0"/>
        <w:rPr>
          <w:sz w:val="24"/>
          <w:szCs w:val="24"/>
        </w:rPr>
      </w:pPr>
    </w:p>
    <w:p w14:paraId="435F52FF" w14:textId="098DC5CD" w:rsidR="00972249" w:rsidRPr="00574C21" w:rsidRDefault="00574C21" w:rsidP="00574C21">
      <w:pPr>
        <w:pStyle w:val="Default"/>
        <w:ind w:firstLine="0"/>
        <w:rPr>
          <w:rFonts w:asciiTheme="minorHAnsi" w:hAnsiTheme="minorHAnsi" w:cstheme="minorHAnsi"/>
        </w:rPr>
      </w:pPr>
      <w:r w:rsidRPr="00574C21">
        <w:rPr>
          <w:rFonts w:asciiTheme="minorHAnsi" w:hAnsiTheme="minorHAnsi" w:cstheme="minorHAnsi"/>
        </w:rPr>
        <w:t xml:space="preserve">Whilst the project shall aspire to deliver the fullest achievable contribution to carbon reductions it should be noted that the London Plan carbon reduction targets </w:t>
      </w:r>
      <w:r w:rsidRPr="000A13D1">
        <w:rPr>
          <w:rFonts w:asciiTheme="minorHAnsi" w:hAnsiTheme="minorHAnsi" w:cstheme="minorHAnsi"/>
          <w:u w:val="single"/>
        </w:rPr>
        <w:t xml:space="preserve">are not applicable </w:t>
      </w:r>
      <w:r w:rsidRPr="00574C21">
        <w:rPr>
          <w:rFonts w:asciiTheme="minorHAnsi" w:hAnsiTheme="minorHAnsi" w:cstheme="minorHAnsi"/>
        </w:rPr>
        <w:t xml:space="preserve">to </w:t>
      </w:r>
      <w:r w:rsidR="00144E28">
        <w:rPr>
          <w:rFonts w:asciiTheme="minorHAnsi" w:hAnsiTheme="minorHAnsi" w:cstheme="minorHAnsi"/>
        </w:rPr>
        <w:t xml:space="preserve">73a </w:t>
      </w:r>
      <w:proofErr w:type="spellStart"/>
      <w:r w:rsidR="00144E28">
        <w:rPr>
          <w:rFonts w:asciiTheme="minorHAnsi" w:hAnsiTheme="minorHAnsi" w:cstheme="minorHAnsi"/>
        </w:rPr>
        <w:t>Maygrove</w:t>
      </w:r>
      <w:proofErr w:type="spellEnd"/>
      <w:r w:rsidR="00144E28">
        <w:rPr>
          <w:rFonts w:asciiTheme="minorHAnsi" w:hAnsiTheme="minorHAnsi" w:cstheme="minorHAnsi"/>
        </w:rPr>
        <w:t xml:space="preserve"> Road</w:t>
      </w:r>
      <w:r>
        <w:rPr>
          <w:rFonts w:asciiTheme="minorHAnsi" w:hAnsiTheme="minorHAnsi" w:cstheme="minorHAnsi"/>
        </w:rPr>
        <w:t xml:space="preserve"> </w:t>
      </w:r>
      <w:r w:rsidRPr="00574C21">
        <w:rPr>
          <w:rFonts w:asciiTheme="minorHAnsi" w:hAnsiTheme="minorHAnsi" w:cstheme="minorHAnsi"/>
        </w:rPr>
        <w:t xml:space="preserve">as a minor development. </w:t>
      </w:r>
    </w:p>
    <w:p w14:paraId="3AFFCBCA" w14:textId="77777777" w:rsidR="00574C21" w:rsidRDefault="00574C21" w:rsidP="00574C21">
      <w:pPr>
        <w:pStyle w:val="Default"/>
        <w:ind w:firstLine="0"/>
        <w:rPr>
          <w:i/>
          <w:iCs/>
        </w:rPr>
      </w:pPr>
    </w:p>
    <w:p w14:paraId="0239E558" w14:textId="77777777" w:rsidR="003C22C9" w:rsidRDefault="00847AF4">
      <w:pPr>
        <w:pStyle w:val="Default"/>
        <w:ind w:firstLine="0"/>
        <w:rPr>
          <w:b/>
          <w:bCs/>
          <w:sz w:val="24"/>
          <w:szCs w:val="24"/>
        </w:rPr>
      </w:pPr>
      <w:r>
        <w:rPr>
          <w:b/>
          <w:bCs/>
          <w:sz w:val="24"/>
          <w:szCs w:val="24"/>
          <w:lang w:val="en-US"/>
        </w:rPr>
        <w:t>GLA Energy Team Guidance on Planning Energy Assessments</w:t>
      </w:r>
    </w:p>
    <w:p w14:paraId="02201619" w14:textId="77777777" w:rsidR="003C22C9" w:rsidRDefault="00847AF4">
      <w:pPr>
        <w:pStyle w:val="Default"/>
      </w:pPr>
      <w:r>
        <w:rPr>
          <w:lang w:val="en-US"/>
        </w:rPr>
        <w:t>3.</w:t>
      </w:r>
      <w:r w:rsidR="00D51EEF">
        <w:rPr>
          <w:lang w:val="en-US"/>
        </w:rPr>
        <w:t>6</w:t>
      </w:r>
      <w:r>
        <w:rPr>
          <w:lang w:val="en-US"/>
        </w:rPr>
        <w:tab/>
        <w:t>The GLA Energy team published a guidance note which provides further detail on addressing the London Plan</w:t>
      </w:r>
      <w:r>
        <w:t>’</w:t>
      </w:r>
      <w:r>
        <w:rPr>
          <w:lang w:val="en-US"/>
        </w:rPr>
        <w:t>s energy hierarchy through the provision of an Energy Assessment. The most r</w:t>
      </w:r>
      <w:r w:rsidR="003F03FD">
        <w:rPr>
          <w:lang w:val="en-US"/>
        </w:rPr>
        <w:t xml:space="preserve">ecent version published in March </w:t>
      </w:r>
      <w:r>
        <w:rPr>
          <w:lang w:val="en-US"/>
        </w:rPr>
        <w:t>201</w:t>
      </w:r>
      <w:r w:rsidR="003F03FD">
        <w:rPr>
          <w:lang w:val="en-US"/>
        </w:rPr>
        <w:t>6</w:t>
      </w:r>
      <w:r>
        <w:rPr>
          <w:vertAlign w:val="superscript"/>
        </w:rPr>
        <w:t>7</w:t>
      </w:r>
      <w:r>
        <w:rPr>
          <w:lang w:val="en-US"/>
        </w:rPr>
        <w:t xml:space="preserve"> describes </w:t>
      </w:r>
      <w:proofErr w:type="gramStart"/>
      <w:r>
        <w:rPr>
          <w:lang w:val="en-US"/>
        </w:rPr>
        <w:t>the means by which</w:t>
      </w:r>
      <w:proofErr w:type="gramEnd"/>
      <w:r>
        <w:rPr>
          <w:lang w:val="en-US"/>
        </w:rPr>
        <w:t xml:space="preserve"> development proposals can demonstrate that climate change mitigation and adaptation measures are integral to the context of the development.</w:t>
      </w:r>
    </w:p>
    <w:p w14:paraId="23FC683F" w14:textId="77777777" w:rsidR="003C22C9" w:rsidRDefault="003C22C9">
      <w:pPr>
        <w:pStyle w:val="Default"/>
      </w:pPr>
    </w:p>
    <w:p w14:paraId="2537F4FA" w14:textId="77777777" w:rsidR="003C22C9" w:rsidRDefault="00847AF4">
      <w:pPr>
        <w:pStyle w:val="Default"/>
      </w:pPr>
      <w:r>
        <w:rPr>
          <w:lang w:val="en-US"/>
        </w:rPr>
        <w:t>3.8</w:t>
      </w:r>
      <w:r>
        <w:rPr>
          <w:lang w:val="en-US"/>
        </w:rPr>
        <w:tab/>
        <w:t>The document has provided a guide to the structure and content of the energy assessment which has been adopted by this Statement</w:t>
      </w:r>
      <w:r w:rsidR="00D51EEF">
        <w:rPr>
          <w:lang w:val="en-US"/>
        </w:rPr>
        <w:t xml:space="preserve"> for all applicable considerations. </w:t>
      </w:r>
    </w:p>
    <w:p w14:paraId="6EBDE093" w14:textId="77777777" w:rsidR="003C22C9" w:rsidRDefault="003C22C9">
      <w:pPr>
        <w:pStyle w:val="Default"/>
      </w:pPr>
    </w:p>
    <w:p w14:paraId="055D6BBB" w14:textId="77777777" w:rsidR="00D51EEF" w:rsidRDefault="00D51EEF">
      <w:pPr>
        <w:pStyle w:val="Default"/>
      </w:pPr>
    </w:p>
    <w:p w14:paraId="5251E6AE" w14:textId="77777777" w:rsidR="003C22C9" w:rsidRPr="00ED5452" w:rsidRDefault="00847AF4">
      <w:pPr>
        <w:pStyle w:val="Default"/>
        <w:ind w:firstLine="0"/>
        <w:rPr>
          <w:sz w:val="24"/>
          <w:szCs w:val="24"/>
        </w:rPr>
      </w:pPr>
      <w:r w:rsidRPr="00ED5452">
        <w:rPr>
          <w:sz w:val="24"/>
          <w:szCs w:val="24"/>
          <w:lang w:val="en-US"/>
        </w:rPr>
        <w:t xml:space="preserve">Local </w:t>
      </w:r>
      <w:r w:rsidRPr="00ED5452">
        <w:rPr>
          <w:sz w:val="24"/>
          <w:szCs w:val="24"/>
        </w:rPr>
        <w:t>Policy</w:t>
      </w:r>
      <w:r w:rsidRPr="00ED5452">
        <w:rPr>
          <w:sz w:val="24"/>
          <w:szCs w:val="24"/>
          <w:lang w:val="en-US"/>
        </w:rPr>
        <w:t xml:space="preserve"> Drivers</w:t>
      </w:r>
    </w:p>
    <w:p w14:paraId="2B0B95E0" w14:textId="77777777" w:rsidR="00AF5468" w:rsidRDefault="00AF5468">
      <w:pPr>
        <w:pStyle w:val="Default"/>
        <w:ind w:firstLine="0"/>
        <w:rPr>
          <w:b/>
          <w:bCs/>
          <w:sz w:val="24"/>
          <w:szCs w:val="24"/>
          <w:lang w:val="en-US"/>
        </w:rPr>
      </w:pPr>
    </w:p>
    <w:p w14:paraId="76818518" w14:textId="4B743223" w:rsidR="003C22C9" w:rsidRDefault="00847AF4">
      <w:pPr>
        <w:pStyle w:val="Default"/>
        <w:ind w:firstLine="0"/>
        <w:rPr>
          <w:b/>
          <w:bCs/>
          <w:sz w:val="24"/>
          <w:szCs w:val="24"/>
        </w:rPr>
      </w:pPr>
      <w:r>
        <w:rPr>
          <w:b/>
          <w:bCs/>
          <w:sz w:val="24"/>
          <w:szCs w:val="24"/>
          <w:lang w:val="en-US"/>
        </w:rPr>
        <w:t>London Borough of</w:t>
      </w:r>
      <w:r w:rsidR="00181516">
        <w:rPr>
          <w:b/>
          <w:bCs/>
          <w:sz w:val="24"/>
          <w:szCs w:val="24"/>
          <w:lang w:val="en-US"/>
        </w:rPr>
        <w:t xml:space="preserve"> Camden </w:t>
      </w:r>
      <w:r w:rsidR="0055207B">
        <w:rPr>
          <w:b/>
          <w:bCs/>
          <w:sz w:val="24"/>
          <w:szCs w:val="24"/>
          <w:lang w:val="en-US"/>
        </w:rPr>
        <w:t xml:space="preserve">Local Plan </w:t>
      </w:r>
      <w:r>
        <w:rPr>
          <w:b/>
          <w:bCs/>
          <w:sz w:val="24"/>
          <w:szCs w:val="24"/>
          <w:lang w:val="en-US"/>
        </w:rPr>
        <w:t xml:space="preserve"> </w:t>
      </w:r>
    </w:p>
    <w:p w14:paraId="60230981" w14:textId="4775ACFF" w:rsidR="00181516" w:rsidRPr="00181516" w:rsidRDefault="00847AF4" w:rsidP="00181516">
      <w:pPr>
        <w:pStyle w:val="Default"/>
      </w:pPr>
      <w:r>
        <w:rPr>
          <w:lang w:val="en-US"/>
        </w:rPr>
        <w:t>3.9</w:t>
      </w:r>
      <w:r>
        <w:rPr>
          <w:lang w:val="en-US"/>
        </w:rPr>
        <w:tab/>
      </w:r>
      <w:r w:rsidR="00181516">
        <w:rPr>
          <w:lang w:val="en-US"/>
        </w:rPr>
        <w:t xml:space="preserve">The Camden </w:t>
      </w:r>
      <w:r w:rsidR="0055207B">
        <w:rPr>
          <w:lang w:val="en-US"/>
        </w:rPr>
        <w:t>Local Plan</w:t>
      </w:r>
      <w:r>
        <w:rPr>
          <w:vertAlign w:val="superscript"/>
        </w:rPr>
        <w:t>2</w:t>
      </w:r>
      <w:r w:rsidR="007E4FEB">
        <w:rPr>
          <w:lang w:val="en-US"/>
        </w:rPr>
        <w:t xml:space="preserve"> (20</w:t>
      </w:r>
      <w:r w:rsidR="00D51EEF">
        <w:rPr>
          <w:lang w:val="en-US"/>
        </w:rPr>
        <w:t>1</w:t>
      </w:r>
      <w:r w:rsidR="00181516">
        <w:rPr>
          <w:lang w:val="en-US"/>
        </w:rPr>
        <w:t>7</w:t>
      </w:r>
      <w:r>
        <w:rPr>
          <w:lang w:val="en-US"/>
        </w:rPr>
        <w:t>)</w:t>
      </w:r>
      <w:r w:rsidR="00181516" w:rsidRPr="00181516">
        <w:rPr>
          <w:rFonts w:ascii="ArialMT" w:hAnsi="ArialMT" w:cs="ArialMT"/>
        </w:rPr>
        <w:t xml:space="preserve"> </w:t>
      </w:r>
      <w:r w:rsidR="00181516" w:rsidRPr="00181516">
        <w:t xml:space="preserve">sets out the Council’s planning policies and </w:t>
      </w:r>
      <w:proofErr w:type="gramStart"/>
      <w:r w:rsidR="00181516" w:rsidRPr="00181516">
        <w:t>replaces</w:t>
      </w:r>
      <w:proofErr w:type="gramEnd"/>
    </w:p>
    <w:p w14:paraId="34593FDB" w14:textId="77777777" w:rsidR="00181516" w:rsidRDefault="00181516" w:rsidP="00181516">
      <w:pPr>
        <w:pStyle w:val="Default"/>
        <w:ind w:left="1440"/>
      </w:pPr>
      <w:r w:rsidRPr="00181516">
        <w:t>the Core Strategy and Development Policies planning documents (adopted</w:t>
      </w:r>
      <w:r>
        <w:t xml:space="preserve"> </w:t>
      </w:r>
      <w:r w:rsidRPr="00181516">
        <w:t>in 2010)</w:t>
      </w:r>
      <w:r>
        <w:t xml:space="preserve">. </w:t>
      </w:r>
    </w:p>
    <w:p w14:paraId="49F7F385" w14:textId="44C0E49D" w:rsidR="003C22C9" w:rsidRDefault="00181516" w:rsidP="00181516">
      <w:pPr>
        <w:pStyle w:val="Default"/>
        <w:ind w:firstLine="0"/>
      </w:pPr>
      <w:r w:rsidRPr="00181516">
        <w:lastRenderedPageBreak/>
        <w:t xml:space="preserve">It ensures that Camden continues to have robust, </w:t>
      </w:r>
      <w:proofErr w:type="gramStart"/>
      <w:r w:rsidRPr="00181516">
        <w:t>effective</w:t>
      </w:r>
      <w:proofErr w:type="gramEnd"/>
      <w:r w:rsidRPr="00181516">
        <w:t xml:space="preserve"> and up</w:t>
      </w:r>
      <w:r>
        <w:t xml:space="preserve"> </w:t>
      </w:r>
      <w:r w:rsidRPr="00181516">
        <w:t>to</w:t>
      </w:r>
      <w:r>
        <w:t xml:space="preserve"> </w:t>
      </w:r>
      <w:r w:rsidRPr="00181516">
        <w:t>date planning policies that respond to changing circumstances and the</w:t>
      </w:r>
      <w:r>
        <w:t xml:space="preserve"> </w:t>
      </w:r>
      <w:r w:rsidRPr="00181516">
        <w:t>borough’s unique characteristics and contribute to delivering the Camden Plan</w:t>
      </w:r>
      <w:r>
        <w:t xml:space="preserve"> </w:t>
      </w:r>
      <w:r w:rsidRPr="00181516">
        <w:t>and other local priorities. The Local Plan will cover the period from 2016-2031.</w:t>
      </w:r>
    </w:p>
    <w:p w14:paraId="370F33FA" w14:textId="77777777" w:rsidR="00181516" w:rsidRDefault="00181516" w:rsidP="00181516">
      <w:pPr>
        <w:pStyle w:val="Default"/>
        <w:ind w:firstLine="0"/>
      </w:pPr>
    </w:p>
    <w:p w14:paraId="48460D48" w14:textId="3E455E98" w:rsidR="003C22C9" w:rsidRPr="008B0ABB" w:rsidRDefault="008B0ABB">
      <w:pPr>
        <w:pStyle w:val="Default"/>
        <w:ind w:firstLine="0"/>
        <w:rPr>
          <w:i/>
          <w:iCs/>
        </w:rPr>
      </w:pPr>
      <w:r>
        <w:rPr>
          <w:i/>
          <w:noProof/>
        </w:rPr>
        <w:t>Policy</w:t>
      </w:r>
      <w:r w:rsidR="00181516">
        <w:rPr>
          <w:i/>
          <w:noProof/>
        </w:rPr>
        <w:t xml:space="preserve"> CC1</w:t>
      </w:r>
      <w:r w:rsidR="0055207B">
        <w:rPr>
          <w:i/>
          <w:noProof/>
        </w:rPr>
        <w:t xml:space="preserve"> </w:t>
      </w:r>
      <w:r w:rsidRPr="008B0ABB">
        <w:rPr>
          <w:i/>
          <w:noProof/>
        </w:rPr>
        <w:t>‘</w:t>
      </w:r>
      <w:r w:rsidR="00181516">
        <w:rPr>
          <w:i/>
          <w:noProof/>
        </w:rPr>
        <w:t>Climate Change Mitigation’</w:t>
      </w:r>
      <w:r w:rsidRPr="008B0ABB">
        <w:rPr>
          <w:i/>
          <w:noProof/>
        </w:rPr>
        <w:t>’</w:t>
      </w:r>
    </w:p>
    <w:p w14:paraId="181E3074" w14:textId="696DC264" w:rsidR="00DA4170" w:rsidRPr="00DA4170" w:rsidRDefault="002363E2" w:rsidP="00DA4170">
      <w:pPr>
        <w:pStyle w:val="Default"/>
        <w:ind w:firstLine="0"/>
        <w:rPr>
          <w:rFonts w:asciiTheme="minorHAnsi" w:hAnsiTheme="minorHAnsi" w:cstheme="minorHAnsi"/>
          <w:i/>
        </w:rPr>
      </w:pPr>
      <w:r>
        <w:rPr>
          <w:rFonts w:asciiTheme="minorHAnsi" w:hAnsiTheme="minorHAnsi" w:cstheme="minorHAnsi"/>
          <w:i/>
        </w:rPr>
        <w:t>‘</w:t>
      </w:r>
      <w:r w:rsidR="00DA4170" w:rsidRPr="00DA4170">
        <w:rPr>
          <w:rFonts w:asciiTheme="minorHAnsi" w:hAnsiTheme="minorHAnsi" w:cstheme="minorHAnsi"/>
          <w:i/>
        </w:rPr>
        <w:t>The Council will require all development to minimise the effects of climate</w:t>
      </w:r>
      <w:r w:rsidR="00DA4170">
        <w:rPr>
          <w:rFonts w:asciiTheme="minorHAnsi" w:hAnsiTheme="minorHAnsi" w:cstheme="minorHAnsi"/>
          <w:i/>
        </w:rPr>
        <w:t xml:space="preserve"> </w:t>
      </w:r>
      <w:r w:rsidR="00DA4170" w:rsidRPr="00DA4170">
        <w:rPr>
          <w:rFonts w:asciiTheme="minorHAnsi" w:hAnsiTheme="minorHAnsi" w:cstheme="minorHAnsi"/>
          <w:i/>
        </w:rPr>
        <w:t>change and encourage all developments to meet the highest feasible</w:t>
      </w:r>
      <w:r w:rsidR="00DA4170">
        <w:rPr>
          <w:rFonts w:asciiTheme="minorHAnsi" w:hAnsiTheme="minorHAnsi" w:cstheme="minorHAnsi"/>
          <w:i/>
        </w:rPr>
        <w:t xml:space="preserve"> </w:t>
      </w:r>
      <w:r w:rsidR="00DA4170" w:rsidRPr="00DA4170">
        <w:rPr>
          <w:rFonts w:asciiTheme="minorHAnsi" w:hAnsiTheme="minorHAnsi" w:cstheme="minorHAnsi"/>
          <w:i/>
        </w:rPr>
        <w:t>environmental standards that are financially viable during construction and</w:t>
      </w:r>
      <w:r w:rsidR="00DA4170">
        <w:rPr>
          <w:rFonts w:asciiTheme="minorHAnsi" w:hAnsiTheme="minorHAnsi" w:cstheme="minorHAnsi"/>
          <w:i/>
        </w:rPr>
        <w:t xml:space="preserve"> </w:t>
      </w:r>
      <w:r w:rsidR="00DA4170" w:rsidRPr="00DA4170">
        <w:rPr>
          <w:rFonts w:asciiTheme="minorHAnsi" w:hAnsiTheme="minorHAnsi" w:cstheme="minorHAnsi"/>
          <w:i/>
        </w:rPr>
        <w:t>occupation.</w:t>
      </w:r>
    </w:p>
    <w:p w14:paraId="59359A38" w14:textId="77777777" w:rsidR="00DA4170" w:rsidRPr="00DA4170" w:rsidRDefault="00DA4170" w:rsidP="00DA4170">
      <w:pPr>
        <w:pStyle w:val="Default"/>
        <w:ind w:left="1440"/>
        <w:rPr>
          <w:rFonts w:asciiTheme="minorHAnsi" w:hAnsiTheme="minorHAnsi" w:cstheme="minorHAnsi"/>
          <w:i/>
        </w:rPr>
      </w:pPr>
      <w:r w:rsidRPr="00DA4170">
        <w:rPr>
          <w:rFonts w:asciiTheme="minorHAnsi" w:hAnsiTheme="minorHAnsi" w:cstheme="minorHAnsi"/>
          <w:i/>
        </w:rPr>
        <w:t>We will:</w:t>
      </w:r>
    </w:p>
    <w:p w14:paraId="78D06F72" w14:textId="03A86C21" w:rsidR="00DA4170" w:rsidRPr="00DA4170" w:rsidRDefault="00DA4170" w:rsidP="00DA4170">
      <w:pPr>
        <w:pStyle w:val="Default"/>
        <w:ind w:firstLine="0"/>
        <w:rPr>
          <w:rFonts w:asciiTheme="minorHAnsi" w:hAnsiTheme="minorHAnsi" w:cstheme="minorHAnsi"/>
          <w:i/>
        </w:rPr>
      </w:pPr>
      <w:r w:rsidRPr="00DA4170">
        <w:rPr>
          <w:rFonts w:asciiTheme="minorHAnsi" w:hAnsiTheme="minorHAnsi" w:cstheme="minorHAnsi"/>
          <w:i/>
        </w:rPr>
        <w:t xml:space="preserve">a. </w:t>
      </w:r>
      <w:proofErr w:type="gramStart"/>
      <w:r w:rsidRPr="00DA4170">
        <w:rPr>
          <w:rFonts w:asciiTheme="minorHAnsi" w:hAnsiTheme="minorHAnsi" w:cstheme="minorHAnsi"/>
          <w:i/>
        </w:rPr>
        <w:t>promote</w:t>
      </w:r>
      <w:proofErr w:type="gramEnd"/>
      <w:r w:rsidRPr="00DA4170">
        <w:rPr>
          <w:rFonts w:asciiTheme="minorHAnsi" w:hAnsiTheme="minorHAnsi" w:cstheme="minorHAnsi"/>
          <w:i/>
        </w:rPr>
        <w:t xml:space="preserve"> zero carbon development and require all development to</w:t>
      </w:r>
      <w:r>
        <w:rPr>
          <w:rFonts w:asciiTheme="minorHAnsi" w:hAnsiTheme="minorHAnsi" w:cstheme="minorHAnsi"/>
          <w:i/>
        </w:rPr>
        <w:t xml:space="preserve"> </w:t>
      </w:r>
      <w:r w:rsidRPr="00DA4170">
        <w:rPr>
          <w:rFonts w:asciiTheme="minorHAnsi" w:hAnsiTheme="minorHAnsi" w:cstheme="minorHAnsi"/>
          <w:i/>
        </w:rPr>
        <w:t>reduce carbon dioxide emissions through following the steps in the</w:t>
      </w:r>
      <w:r>
        <w:rPr>
          <w:rFonts w:asciiTheme="minorHAnsi" w:hAnsiTheme="minorHAnsi" w:cstheme="minorHAnsi"/>
          <w:i/>
        </w:rPr>
        <w:t xml:space="preserve"> </w:t>
      </w:r>
      <w:r w:rsidRPr="00DA4170">
        <w:rPr>
          <w:rFonts w:asciiTheme="minorHAnsi" w:hAnsiTheme="minorHAnsi" w:cstheme="minorHAnsi"/>
          <w:i/>
        </w:rPr>
        <w:t>energy hierarchy;</w:t>
      </w:r>
    </w:p>
    <w:p w14:paraId="77468FB2" w14:textId="5C236B33" w:rsidR="00DA4170" w:rsidRPr="00DA4170" w:rsidRDefault="00DA4170" w:rsidP="00DA4170">
      <w:pPr>
        <w:pStyle w:val="Default"/>
        <w:ind w:firstLine="0"/>
        <w:rPr>
          <w:rFonts w:asciiTheme="minorHAnsi" w:hAnsiTheme="minorHAnsi" w:cstheme="minorHAnsi"/>
          <w:i/>
        </w:rPr>
      </w:pPr>
      <w:r w:rsidRPr="00DA4170">
        <w:rPr>
          <w:rFonts w:asciiTheme="minorHAnsi" w:hAnsiTheme="minorHAnsi" w:cstheme="minorHAnsi"/>
          <w:i/>
        </w:rPr>
        <w:t xml:space="preserve">b. </w:t>
      </w:r>
      <w:proofErr w:type="gramStart"/>
      <w:r w:rsidRPr="00DA4170">
        <w:rPr>
          <w:rFonts w:asciiTheme="minorHAnsi" w:hAnsiTheme="minorHAnsi" w:cstheme="minorHAnsi"/>
          <w:i/>
        </w:rPr>
        <w:t>require</w:t>
      </w:r>
      <w:proofErr w:type="gramEnd"/>
      <w:r w:rsidRPr="00DA4170">
        <w:rPr>
          <w:rFonts w:asciiTheme="minorHAnsi" w:hAnsiTheme="minorHAnsi" w:cstheme="minorHAnsi"/>
          <w:i/>
        </w:rPr>
        <w:t xml:space="preserve"> all major development to demonstrate how London Plan targets</w:t>
      </w:r>
      <w:r>
        <w:rPr>
          <w:rFonts w:asciiTheme="minorHAnsi" w:hAnsiTheme="minorHAnsi" w:cstheme="minorHAnsi"/>
          <w:i/>
        </w:rPr>
        <w:t xml:space="preserve"> </w:t>
      </w:r>
      <w:r w:rsidRPr="00DA4170">
        <w:rPr>
          <w:rFonts w:asciiTheme="minorHAnsi" w:hAnsiTheme="minorHAnsi" w:cstheme="minorHAnsi"/>
          <w:i/>
        </w:rPr>
        <w:t>for carbon dioxide emissions have been met;</w:t>
      </w:r>
    </w:p>
    <w:p w14:paraId="680BE15C" w14:textId="66E24F81" w:rsidR="00DA4170" w:rsidRPr="00DA4170" w:rsidRDefault="00DA4170" w:rsidP="00DA4170">
      <w:pPr>
        <w:pStyle w:val="Default"/>
        <w:ind w:firstLine="0"/>
        <w:rPr>
          <w:rFonts w:asciiTheme="minorHAnsi" w:hAnsiTheme="minorHAnsi" w:cstheme="minorHAnsi"/>
          <w:i/>
        </w:rPr>
      </w:pPr>
      <w:r w:rsidRPr="00DA4170">
        <w:rPr>
          <w:rFonts w:asciiTheme="minorHAnsi" w:hAnsiTheme="minorHAnsi" w:cstheme="minorHAnsi"/>
          <w:i/>
        </w:rPr>
        <w:t xml:space="preserve">c. </w:t>
      </w:r>
      <w:proofErr w:type="gramStart"/>
      <w:r w:rsidRPr="00DA4170">
        <w:rPr>
          <w:rFonts w:asciiTheme="minorHAnsi" w:hAnsiTheme="minorHAnsi" w:cstheme="minorHAnsi"/>
          <w:i/>
        </w:rPr>
        <w:t>ensure</w:t>
      </w:r>
      <w:proofErr w:type="gramEnd"/>
      <w:r w:rsidRPr="00DA4170">
        <w:rPr>
          <w:rFonts w:asciiTheme="minorHAnsi" w:hAnsiTheme="minorHAnsi" w:cstheme="minorHAnsi"/>
          <w:i/>
        </w:rPr>
        <w:t xml:space="preserve"> that the location of development and mix of land uses minimise</w:t>
      </w:r>
      <w:r>
        <w:rPr>
          <w:rFonts w:asciiTheme="minorHAnsi" w:hAnsiTheme="minorHAnsi" w:cstheme="minorHAnsi"/>
          <w:i/>
        </w:rPr>
        <w:t xml:space="preserve"> </w:t>
      </w:r>
      <w:r w:rsidRPr="00DA4170">
        <w:rPr>
          <w:rFonts w:asciiTheme="minorHAnsi" w:hAnsiTheme="minorHAnsi" w:cstheme="minorHAnsi"/>
          <w:i/>
        </w:rPr>
        <w:t>the need to travel by car and help to support decentralised energy</w:t>
      </w:r>
      <w:r>
        <w:rPr>
          <w:rFonts w:asciiTheme="minorHAnsi" w:hAnsiTheme="minorHAnsi" w:cstheme="minorHAnsi"/>
          <w:i/>
        </w:rPr>
        <w:t xml:space="preserve"> </w:t>
      </w:r>
      <w:r w:rsidRPr="00DA4170">
        <w:rPr>
          <w:rFonts w:asciiTheme="minorHAnsi" w:hAnsiTheme="minorHAnsi" w:cstheme="minorHAnsi"/>
          <w:i/>
        </w:rPr>
        <w:t>networks;</w:t>
      </w:r>
    </w:p>
    <w:p w14:paraId="401E5CB7" w14:textId="0C16AC64" w:rsidR="00DA4170" w:rsidRPr="00DA4170" w:rsidRDefault="00DA4170" w:rsidP="00DA4170">
      <w:pPr>
        <w:pStyle w:val="Default"/>
        <w:ind w:firstLine="0"/>
        <w:rPr>
          <w:rFonts w:asciiTheme="minorHAnsi" w:hAnsiTheme="minorHAnsi" w:cstheme="minorHAnsi"/>
          <w:i/>
        </w:rPr>
      </w:pPr>
      <w:r w:rsidRPr="00DA4170">
        <w:rPr>
          <w:rFonts w:asciiTheme="minorHAnsi" w:hAnsiTheme="minorHAnsi" w:cstheme="minorHAnsi"/>
          <w:i/>
        </w:rPr>
        <w:t>d. support and encourage sensitive energy efficiency improvements to</w:t>
      </w:r>
      <w:r>
        <w:rPr>
          <w:rFonts w:asciiTheme="minorHAnsi" w:hAnsiTheme="minorHAnsi" w:cstheme="minorHAnsi"/>
          <w:i/>
        </w:rPr>
        <w:t xml:space="preserve"> </w:t>
      </w:r>
      <w:r w:rsidRPr="00DA4170">
        <w:rPr>
          <w:rFonts w:asciiTheme="minorHAnsi" w:hAnsiTheme="minorHAnsi" w:cstheme="minorHAnsi"/>
          <w:i/>
        </w:rPr>
        <w:t xml:space="preserve">existing </w:t>
      </w:r>
      <w:proofErr w:type="gramStart"/>
      <w:r w:rsidRPr="00DA4170">
        <w:rPr>
          <w:rFonts w:asciiTheme="minorHAnsi" w:hAnsiTheme="minorHAnsi" w:cstheme="minorHAnsi"/>
          <w:i/>
        </w:rPr>
        <w:t>buildings;</w:t>
      </w:r>
      <w:proofErr w:type="gramEnd"/>
    </w:p>
    <w:p w14:paraId="58D545FA" w14:textId="1EFD4F83" w:rsidR="00DA4170" w:rsidRPr="00DA4170" w:rsidRDefault="00DA4170" w:rsidP="00DA4170">
      <w:pPr>
        <w:pStyle w:val="Default"/>
        <w:ind w:firstLine="0"/>
        <w:rPr>
          <w:rFonts w:asciiTheme="minorHAnsi" w:hAnsiTheme="minorHAnsi" w:cstheme="minorHAnsi"/>
          <w:i/>
        </w:rPr>
      </w:pPr>
      <w:r w:rsidRPr="00DA4170">
        <w:rPr>
          <w:rFonts w:asciiTheme="minorHAnsi" w:hAnsiTheme="minorHAnsi" w:cstheme="minorHAnsi"/>
          <w:i/>
        </w:rPr>
        <w:t xml:space="preserve">e. </w:t>
      </w:r>
      <w:proofErr w:type="gramStart"/>
      <w:r w:rsidRPr="00DA4170">
        <w:rPr>
          <w:rFonts w:asciiTheme="minorHAnsi" w:hAnsiTheme="minorHAnsi" w:cstheme="minorHAnsi"/>
          <w:i/>
        </w:rPr>
        <w:t>require</w:t>
      </w:r>
      <w:proofErr w:type="gramEnd"/>
      <w:r w:rsidRPr="00DA4170">
        <w:rPr>
          <w:rFonts w:asciiTheme="minorHAnsi" w:hAnsiTheme="minorHAnsi" w:cstheme="minorHAnsi"/>
          <w:i/>
        </w:rPr>
        <w:t xml:space="preserve"> all proposals that involve substantial demolition to demonstrate</w:t>
      </w:r>
      <w:r>
        <w:rPr>
          <w:rFonts w:asciiTheme="minorHAnsi" w:hAnsiTheme="minorHAnsi" w:cstheme="minorHAnsi"/>
          <w:i/>
        </w:rPr>
        <w:t xml:space="preserve"> </w:t>
      </w:r>
      <w:r w:rsidRPr="00DA4170">
        <w:rPr>
          <w:rFonts w:asciiTheme="minorHAnsi" w:hAnsiTheme="minorHAnsi" w:cstheme="minorHAnsi"/>
          <w:i/>
        </w:rPr>
        <w:t>that it is not possible to retain and improve the existing building; and</w:t>
      </w:r>
    </w:p>
    <w:p w14:paraId="06E6F251" w14:textId="0AD8574F" w:rsidR="0055207B" w:rsidRDefault="00DA4170" w:rsidP="00DA4170">
      <w:pPr>
        <w:pStyle w:val="Default"/>
        <w:ind w:firstLine="0"/>
        <w:rPr>
          <w:rFonts w:asciiTheme="minorHAnsi" w:hAnsiTheme="minorHAnsi" w:cstheme="minorHAnsi"/>
          <w:i/>
        </w:rPr>
      </w:pPr>
      <w:r w:rsidRPr="00DA4170">
        <w:rPr>
          <w:rFonts w:asciiTheme="minorHAnsi" w:hAnsiTheme="minorHAnsi" w:cstheme="minorHAnsi"/>
          <w:i/>
        </w:rPr>
        <w:t xml:space="preserve">f. </w:t>
      </w:r>
      <w:proofErr w:type="gramStart"/>
      <w:r w:rsidRPr="00DA4170">
        <w:rPr>
          <w:rFonts w:asciiTheme="minorHAnsi" w:hAnsiTheme="minorHAnsi" w:cstheme="minorHAnsi"/>
          <w:i/>
        </w:rPr>
        <w:t>expect</w:t>
      </w:r>
      <w:proofErr w:type="gramEnd"/>
      <w:r w:rsidRPr="00DA4170">
        <w:rPr>
          <w:rFonts w:asciiTheme="minorHAnsi" w:hAnsiTheme="minorHAnsi" w:cstheme="minorHAnsi"/>
          <w:i/>
        </w:rPr>
        <w:t xml:space="preserve"> all developments to optimise resource efficiency</w:t>
      </w:r>
      <w:r>
        <w:rPr>
          <w:rFonts w:asciiTheme="minorHAnsi" w:hAnsiTheme="minorHAnsi" w:cstheme="minorHAnsi"/>
          <w:i/>
        </w:rPr>
        <w:t>.’</w:t>
      </w:r>
    </w:p>
    <w:p w14:paraId="289A20FB" w14:textId="3BF00843" w:rsidR="00DA4170" w:rsidRDefault="00DA4170" w:rsidP="00DA4170">
      <w:pPr>
        <w:pStyle w:val="Default"/>
        <w:ind w:firstLine="0"/>
        <w:rPr>
          <w:rFonts w:asciiTheme="minorHAnsi" w:hAnsiTheme="minorHAnsi" w:cstheme="minorHAnsi"/>
          <w:i/>
        </w:rPr>
      </w:pPr>
    </w:p>
    <w:p w14:paraId="1C8CD461" w14:textId="77777777" w:rsidR="00B41A45" w:rsidRPr="00B41A45" w:rsidRDefault="00B41A45" w:rsidP="002363E2">
      <w:pPr>
        <w:pStyle w:val="Default"/>
        <w:ind w:firstLine="0"/>
        <w:rPr>
          <w:iCs/>
        </w:rPr>
      </w:pPr>
      <w:r w:rsidRPr="00B41A45">
        <w:rPr>
          <w:iCs/>
        </w:rPr>
        <w:t xml:space="preserve">In response to the above, this statement will outline how the proposed development will address the following measures: </w:t>
      </w:r>
    </w:p>
    <w:p w14:paraId="61BC3F4A" w14:textId="064ABE98" w:rsidR="00B41A45" w:rsidRPr="00B41A45" w:rsidRDefault="00B41A45" w:rsidP="00B41A45">
      <w:pPr>
        <w:pStyle w:val="Default"/>
        <w:numPr>
          <w:ilvl w:val="0"/>
          <w:numId w:val="25"/>
        </w:numPr>
        <w:rPr>
          <w:iCs/>
        </w:rPr>
      </w:pPr>
      <w:r w:rsidRPr="00B41A45">
        <w:rPr>
          <w:iCs/>
        </w:rPr>
        <w:t>Minimising of CO</w:t>
      </w:r>
      <w:r w:rsidRPr="00B41A45">
        <w:rPr>
          <w:iCs/>
          <w:vertAlign w:val="subscript"/>
        </w:rPr>
        <w:t>2</w:t>
      </w:r>
      <w:r w:rsidRPr="00B41A45">
        <w:rPr>
          <w:iCs/>
        </w:rPr>
        <w:t xml:space="preserve"> emissions following the lean, clean, green energy hierarchy. </w:t>
      </w:r>
    </w:p>
    <w:p w14:paraId="0DD4E09D" w14:textId="77777777" w:rsidR="00B41A45" w:rsidRPr="00B41A45" w:rsidRDefault="00B41A45" w:rsidP="00B41A45">
      <w:pPr>
        <w:pStyle w:val="Default"/>
        <w:numPr>
          <w:ilvl w:val="0"/>
          <w:numId w:val="25"/>
        </w:numPr>
        <w:rPr>
          <w:iCs/>
        </w:rPr>
      </w:pPr>
      <w:r w:rsidRPr="00B41A45">
        <w:rPr>
          <w:iCs/>
        </w:rPr>
        <w:t xml:space="preserve">Efficient water consumption </w:t>
      </w:r>
    </w:p>
    <w:p w14:paraId="3AB99BA3" w14:textId="77777777" w:rsidR="00B41A45" w:rsidRPr="00B41A45" w:rsidRDefault="00B41A45" w:rsidP="00B41A45">
      <w:pPr>
        <w:pStyle w:val="Default"/>
        <w:numPr>
          <w:ilvl w:val="0"/>
          <w:numId w:val="25"/>
        </w:numPr>
        <w:rPr>
          <w:iCs/>
        </w:rPr>
      </w:pPr>
      <w:r w:rsidRPr="00B41A45">
        <w:rPr>
          <w:iCs/>
        </w:rPr>
        <w:t xml:space="preserve">Energy Efficient Materials </w:t>
      </w:r>
    </w:p>
    <w:p w14:paraId="7D948352" w14:textId="77777777" w:rsidR="00B41A45" w:rsidRPr="00B41A45" w:rsidRDefault="00B41A45" w:rsidP="00B41A45">
      <w:pPr>
        <w:pStyle w:val="Default"/>
        <w:numPr>
          <w:ilvl w:val="0"/>
          <w:numId w:val="25"/>
        </w:numPr>
        <w:rPr>
          <w:iCs/>
        </w:rPr>
      </w:pPr>
      <w:r w:rsidRPr="00B41A45">
        <w:rPr>
          <w:iCs/>
        </w:rPr>
        <w:t xml:space="preserve">Reduction of Construction Waste </w:t>
      </w:r>
    </w:p>
    <w:p w14:paraId="2BF54B34" w14:textId="77777777" w:rsidR="00F777BD" w:rsidRDefault="002363E2" w:rsidP="002363E2">
      <w:pPr>
        <w:pStyle w:val="Default"/>
        <w:rPr>
          <w:i/>
          <w:iCs/>
        </w:rPr>
      </w:pPr>
      <w:r>
        <w:rPr>
          <w:i/>
          <w:iCs/>
        </w:rPr>
        <w:tab/>
      </w:r>
    </w:p>
    <w:p w14:paraId="7C52C72E" w14:textId="77777777" w:rsidR="003C22C9" w:rsidRDefault="00847AF4">
      <w:pPr>
        <w:pStyle w:val="Default"/>
        <w:ind w:firstLine="0"/>
        <w:rPr>
          <w:sz w:val="24"/>
          <w:szCs w:val="24"/>
        </w:rPr>
      </w:pPr>
      <w:r>
        <w:rPr>
          <w:sz w:val="24"/>
          <w:szCs w:val="24"/>
          <w:lang w:val="en-US"/>
        </w:rPr>
        <w:t>BUILDING REGULATIONS</w:t>
      </w:r>
    </w:p>
    <w:p w14:paraId="0EB01FE2" w14:textId="77777777" w:rsidR="003C22C9" w:rsidRDefault="00847AF4">
      <w:pPr>
        <w:pStyle w:val="Default"/>
      </w:pPr>
      <w:r>
        <w:rPr>
          <w:lang w:val="en-US"/>
        </w:rPr>
        <w:t>3.11</w:t>
      </w:r>
      <w:r>
        <w:rPr>
          <w:lang w:val="en-US"/>
        </w:rPr>
        <w:tab/>
        <w:t xml:space="preserve">Building Regulations exist to ensure the health, safety, </w:t>
      </w:r>
      <w:proofErr w:type="gramStart"/>
      <w:r>
        <w:rPr>
          <w:lang w:val="en-US"/>
        </w:rPr>
        <w:t>welfare</w:t>
      </w:r>
      <w:proofErr w:type="gramEnd"/>
      <w:r>
        <w:rPr>
          <w:lang w:val="en-US"/>
        </w:rPr>
        <w:t xml:space="preserve"> and convenience of people in and around buildings, and the energy efficiency of buildings. The regulations apply to most new buildings and many alterations of existing buildings in England, whether new residential, </w:t>
      </w:r>
      <w:r w:rsidR="00C516A1">
        <w:rPr>
          <w:lang w:val="en-US"/>
        </w:rPr>
        <w:t xml:space="preserve">or non-residential. </w:t>
      </w:r>
    </w:p>
    <w:p w14:paraId="15C3D16F" w14:textId="77777777" w:rsidR="003C22C9" w:rsidRDefault="003C22C9">
      <w:pPr>
        <w:pStyle w:val="Default"/>
      </w:pPr>
    </w:p>
    <w:p w14:paraId="144648DF" w14:textId="077462BC" w:rsidR="003C22C9" w:rsidRDefault="00847AF4">
      <w:pPr>
        <w:pStyle w:val="Default"/>
      </w:pPr>
      <w:r>
        <w:rPr>
          <w:lang w:val="en-US"/>
        </w:rPr>
        <w:t>3.12</w:t>
      </w:r>
      <w:r>
        <w:rPr>
          <w:lang w:val="en-US"/>
        </w:rPr>
        <w:tab/>
        <w:t xml:space="preserve">The development at </w:t>
      </w:r>
      <w:proofErr w:type="spellStart"/>
      <w:r w:rsidR="00DA4170">
        <w:rPr>
          <w:lang w:val="en-US"/>
        </w:rPr>
        <w:t>M</w:t>
      </w:r>
      <w:r w:rsidR="006506E4">
        <w:rPr>
          <w:lang w:val="en-US"/>
        </w:rPr>
        <w:t>a</w:t>
      </w:r>
      <w:r w:rsidR="00DA4170">
        <w:rPr>
          <w:lang w:val="en-US"/>
        </w:rPr>
        <w:t>ygrove</w:t>
      </w:r>
      <w:proofErr w:type="spellEnd"/>
      <w:r w:rsidR="00DA4170">
        <w:rPr>
          <w:lang w:val="en-US"/>
        </w:rPr>
        <w:t xml:space="preserve"> Road</w:t>
      </w:r>
      <w:r>
        <w:rPr>
          <w:lang w:val="en-US"/>
        </w:rPr>
        <w:t xml:space="preserve"> will be constructed </w:t>
      </w:r>
      <w:r w:rsidR="006506E4">
        <w:rPr>
          <w:lang w:val="en-US"/>
        </w:rPr>
        <w:t xml:space="preserve">as an extension, </w:t>
      </w:r>
      <w:r>
        <w:rPr>
          <w:lang w:val="en-US"/>
        </w:rPr>
        <w:t>to be compliant with Building Regulations Part L</w:t>
      </w:r>
      <w:r w:rsidR="00F540E5">
        <w:rPr>
          <w:lang w:val="en-US"/>
        </w:rPr>
        <w:t>1</w:t>
      </w:r>
      <w:r w:rsidR="006506E4">
        <w:rPr>
          <w:lang w:val="en-US"/>
        </w:rPr>
        <w:t>b</w:t>
      </w:r>
      <w:r w:rsidR="00F540E5">
        <w:rPr>
          <w:lang w:val="en-US"/>
        </w:rPr>
        <w:t xml:space="preserve"> (2013)</w:t>
      </w:r>
      <w:r>
        <w:rPr>
          <w:lang w:val="en-US"/>
        </w:rPr>
        <w:t>, which represent the current Regulations at the time of construction and are</w:t>
      </w:r>
      <w:r w:rsidR="006506E4">
        <w:rPr>
          <w:lang w:val="en-US"/>
        </w:rPr>
        <w:t xml:space="preserve"> most</w:t>
      </w:r>
      <w:r>
        <w:rPr>
          <w:lang w:val="en-US"/>
        </w:rPr>
        <w:t xml:space="preserve"> appropriate </w:t>
      </w:r>
      <w:r w:rsidR="003966EB">
        <w:rPr>
          <w:lang w:val="en-US"/>
        </w:rPr>
        <w:t>to</w:t>
      </w:r>
      <w:r>
        <w:rPr>
          <w:lang w:val="en-US"/>
        </w:rPr>
        <w:t xml:space="preserve"> the works. </w:t>
      </w:r>
    </w:p>
    <w:p w14:paraId="676659AB" w14:textId="77777777" w:rsidR="003C22C9" w:rsidRDefault="003C22C9">
      <w:pPr>
        <w:pStyle w:val="Default"/>
      </w:pPr>
    </w:p>
    <w:p w14:paraId="039577F4" w14:textId="50C089EB" w:rsidR="003C22C9" w:rsidRDefault="003C22C9">
      <w:pPr>
        <w:pStyle w:val="Default"/>
        <w:ind w:firstLine="0"/>
        <w:rPr>
          <w:color w:val="FF2600"/>
          <w:sz w:val="28"/>
          <w:szCs w:val="28"/>
        </w:rPr>
      </w:pPr>
    </w:p>
    <w:p w14:paraId="0577CDF9" w14:textId="3C96245A" w:rsidR="00D959E2" w:rsidRDefault="00D959E2">
      <w:pPr>
        <w:pStyle w:val="Default"/>
        <w:ind w:firstLine="0"/>
        <w:rPr>
          <w:color w:val="FF2600"/>
          <w:sz w:val="28"/>
          <w:szCs w:val="28"/>
        </w:rPr>
      </w:pPr>
    </w:p>
    <w:p w14:paraId="66FD6031" w14:textId="21602D4A" w:rsidR="00D959E2" w:rsidRDefault="00D959E2">
      <w:pPr>
        <w:pStyle w:val="Default"/>
        <w:ind w:firstLine="0"/>
        <w:rPr>
          <w:color w:val="FF2600"/>
          <w:sz w:val="28"/>
          <w:szCs w:val="28"/>
        </w:rPr>
      </w:pPr>
    </w:p>
    <w:p w14:paraId="01B64288" w14:textId="48231C4B" w:rsidR="00D959E2" w:rsidRDefault="00D959E2">
      <w:pPr>
        <w:pStyle w:val="Default"/>
        <w:ind w:firstLine="0"/>
        <w:rPr>
          <w:color w:val="FF2600"/>
          <w:sz w:val="28"/>
          <w:szCs w:val="28"/>
        </w:rPr>
      </w:pPr>
    </w:p>
    <w:p w14:paraId="06014EA1" w14:textId="77777777" w:rsidR="00D959E2" w:rsidRDefault="00D959E2">
      <w:pPr>
        <w:pStyle w:val="Default"/>
        <w:ind w:firstLine="0"/>
        <w:rPr>
          <w:color w:val="FF2600"/>
          <w:sz w:val="28"/>
          <w:szCs w:val="28"/>
        </w:rPr>
      </w:pPr>
    </w:p>
    <w:p w14:paraId="181A1B4D" w14:textId="77777777" w:rsidR="00D959E2" w:rsidRDefault="00D959E2">
      <w:pPr>
        <w:pStyle w:val="Default"/>
        <w:ind w:firstLine="0"/>
        <w:rPr>
          <w:color w:val="FF2600"/>
          <w:sz w:val="28"/>
          <w:szCs w:val="28"/>
        </w:rPr>
      </w:pPr>
    </w:p>
    <w:p w14:paraId="2DC6A1FF" w14:textId="77777777" w:rsidR="003C22C9" w:rsidRDefault="00847AF4">
      <w:pPr>
        <w:pStyle w:val="Heading"/>
      </w:pPr>
      <w:r>
        <w:rPr>
          <w:lang w:val="de-DE"/>
        </w:rPr>
        <w:lastRenderedPageBreak/>
        <w:t>4.0</w:t>
      </w:r>
      <w:r>
        <w:rPr>
          <w:lang w:val="de-DE"/>
        </w:rPr>
        <w:tab/>
        <w:t>ENERGY ASSESSMENT</w:t>
      </w:r>
    </w:p>
    <w:p w14:paraId="384174FA" w14:textId="77777777" w:rsidR="003C22C9" w:rsidRDefault="003C22C9">
      <w:pPr>
        <w:pStyle w:val="Default"/>
      </w:pPr>
    </w:p>
    <w:p w14:paraId="42315D48" w14:textId="16FC6B77" w:rsidR="003C22C9" w:rsidRDefault="00847AF4">
      <w:pPr>
        <w:pStyle w:val="Default"/>
        <w:rPr>
          <w:color w:val="FF2600"/>
        </w:rPr>
      </w:pPr>
      <w:r>
        <w:rPr>
          <w:lang w:val="en-US"/>
        </w:rPr>
        <w:t>4.1</w:t>
      </w:r>
      <w:r>
        <w:rPr>
          <w:lang w:val="en-US"/>
        </w:rPr>
        <w:tab/>
        <w:t xml:space="preserve">In order to assess the likely energy demands of the development, the emissions have been calculated using drawings produced by </w:t>
      </w:r>
      <w:r w:rsidR="00E42959">
        <w:rPr>
          <w:lang w:val="en-US"/>
        </w:rPr>
        <w:t xml:space="preserve">Create Design + Architecture </w:t>
      </w:r>
      <w:r>
        <w:rPr>
          <w:lang w:val="en-US"/>
        </w:rPr>
        <w:t>of the proposed development</w:t>
      </w:r>
      <w:r w:rsidR="006C111C">
        <w:rPr>
          <w:lang w:val="en-US"/>
        </w:rPr>
        <w:t xml:space="preserve">. </w:t>
      </w:r>
    </w:p>
    <w:p w14:paraId="7AD4716A" w14:textId="77777777" w:rsidR="003C22C9" w:rsidRDefault="003C22C9">
      <w:pPr>
        <w:pStyle w:val="Default"/>
        <w:rPr>
          <w:color w:val="FF2600"/>
        </w:rPr>
      </w:pPr>
    </w:p>
    <w:p w14:paraId="430FDCAE" w14:textId="77777777" w:rsidR="003C22C9" w:rsidRDefault="006C111C">
      <w:pPr>
        <w:pStyle w:val="Default"/>
      </w:pPr>
      <w:r>
        <w:rPr>
          <w:lang w:val="en-US"/>
        </w:rPr>
        <w:t>4.2</w:t>
      </w:r>
      <w:r>
        <w:rPr>
          <w:lang w:val="en-US"/>
        </w:rPr>
        <w:tab/>
        <w:t>An e</w:t>
      </w:r>
      <w:r w:rsidR="00847AF4">
        <w:rPr>
          <w:lang w:val="en-US"/>
        </w:rPr>
        <w:t>nergy modelling exercise</w:t>
      </w:r>
      <w:r>
        <w:rPr>
          <w:lang w:val="en-US"/>
        </w:rPr>
        <w:t xml:space="preserve"> has been</w:t>
      </w:r>
      <w:r w:rsidR="00847AF4">
        <w:rPr>
          <w:lang w:val="en-US"/>
        </w:rPr>
        <w:t xml:space="preserve"> undertaken </w:t>
      </w:r>
      <w:r>
        <w:rPr>
          <w:lang w:val="en-US"/>
        </w:rPr>
        <w:t>to determine</w:t>
      </w:r>
      <w:r w:rsidR="00847AF4">
        <w:rPr>
          <w:lang w:val="en-US"/>
        </w:rPr>
        <w:t xml:space="preserve"> the anticipated Building Regulations baseline, which indicates the minimum regulatory performance for the regulated emissions </w:t>
      </w:r>
      <w:r>
        <w:rPr>
          <w:lang w:val="en-US"/>
        </w:rPr>
        <w:t>of</w:t>
      </w:r>
      <w:r w:rsidR="00847AF4">
        <w:rPr>
          <w:lang w:val="en-US"/>
        </w:rPr>
        <w:t xml:space="preserve"> the proposed development.</w:t>
      </w:r>
    </w:p>
    <w:p w14:paraId="5291CBB6" w14:textId="77777777" w:rsidR="003C22C9" w:rsidRDefault="003C22C9">
      <w:pPr>
        <w:pStyle w:val="Default"/>
      </w:pPr>
    </w:p>
    <w:p w14:paraId="3E40F06A" w14:textId="77777777" w:rsidR="003C22C9" w:rsidRDefault="00847AF4">
      <w:pPr>
        <w:pStyle w:val="Default"/>
      </w:pPr>
      <w:r>
        <w:rPr>
          <w:lang w:val="en-US"/>
        </w:rPr>
        <w:t>4.3</w:t>
      </w:r>
      <w:r>
        <w:rPr>
          <w:lang w:val="en-US"/>
        </w:rPr>
        <w:tab/>
        <w:t>The methodology used to estimate the energy demand from the building has been informed by the guidance in the following publications:</w:t>
      </w:r>
    </w:p>
    <w:p w14:paraId="5C53F08B" w14:textId="77777777" w:rsidR="003C22C9" w:rsidRDefault="00847AF4" w:rsidP="006C111C">
      <w:pPr>
        <w:pStyle w:val="Default"/>
        <w:numPr>
          <w:ilvl w:val="0"/>
          <w:numId w:val="8"/>
        </w:numPr>
      </w:pPr>
      <w:r>
        <w:rPr>
          <w:lang w:val="en-US"/>
        </w:rPr>
        <w:t xml:space="preserve">The London </w:t>
      </w:r>
      <w:proofErr w:type="gramStart"/>
      <w:r>
        <w:rPr>
          <w:lang w:val="en-US"/>
        </w:rPr>
        <w:t>Plan</w:t>
      </w:r>
      <w:r>
        <w:rPr>
          <w:vertAlign w:val="superscript"/>
        </w:rPr>
        <w:t>1</w:t>
      </w:r>
      <w:r>
        <w:t>;</w:t>
      </w:r>
      <w:proofErr w:type="gramEnd"/>
    </w:p>
    <w:p w14:paraId="1B3FDCC4" w14:textId="77777777" w:rsidR="003C22C9" w:rsidRDefault="00E42959" w:rsidP="006C111C">
      <w:pPr>
        <w:pStyle w:val="Default"/>
        <w:numPr>
          <w:ilvl w:val="0"/>
          <w:numId w:val="8"/>
        </w:numPr>
      </w:pPr>
      <w:r>
        <w:rPr>
          <w:lang w:val="en-US"/>
        </w:rPr>
        <w:t xml:space="preserve">Standard Assessment </w:t>
      </w:r>
      <w:r w:rsidR="00DF191F">
        <w:rPr>
          <w:lang w:val="en-US"/>
        </w:rPr>
        <w:t>Procedure</w:t>
      </w:r>
      <w:r w:rsidR="00847AF4">
        <w:rPr>
          <w:lang w:val="en-US"/>
        </w:rPr>
        <w:t xml:space="preserve"> (</w:t>
      </w:r>
      <w:r>
        <w:rPr>
          <w:lang w:val="en-US"/>
        </w:rPr>
        <w:t>SAP</w:t>
      </w:r>
      <w:r w:rsidR="00847AF4">
        <w:rPr>
          <w:lang w:val="en-US"/>
        </w:rPr>
        <w:t>) modelling guide</w:t>
      </w:r>
      <w:r w:rsidR="00847AF4">
        <w:rPr>
          <w:vertAlign w:val="superscript"/>
        </w:rPr>
        <w:t xml:space="preserve"> </w:t>
      </w:r>
      <w:proofErr w:type="gramStart"/>
      <w:r w:rsidR="00847AF4">
        <w:rPr>
          <w:vertAlign w:val="superscript"/>
        </w:rPr>
        <w:t>8</w:t>
      </w:r>
      <w:r w:rsidR="00847AF4">
        <w:t>;</w:t>
      </w:r>
      <w:proofErr w:type="gramEnd"/>
    </w:p>
    <w:p w14:paraId="7C04FDA0" w14:textId="77777777" w:rsidR="003C22C9" w:rsidRDefault="00847AF4" w:rsidP="006C111C">
      <w:pPr>
        <w:pStyle w:val="Default"/>
        <w:numPr>
          <w:ilvl w:val="0"/>
          <w:numId w:val="8"/>
        </w:numPr>
      </w:pPr>
      <w:r>
        <w:rPr>
          <w:lang w:val="en-US"/>
        </w:rPr>
        <w:t xml:space="preserve">The GLA Energy Planning </w:t>
      </w:r>
      <w:r>
        <w:t xml:space="preserve">– </w:t>
      </w:r>
      <w:r>
        <w:rPr>
          <w:lang w:val="en-US"/>
        </w:rPr>
        <w:t xml:space="preserve">Guidance on preparing energy </w:t>
      </w:r>
      <w:proofErr w:type="gramStart"/>
      <w:r>
        <w:rPr>
          <w:lang w:val="en-US"/>
        </w:rPr>
        <w:t>statements</w:t>
      </w:r>
      <w:r>
        <w:rPr>
          <w:vertAlign w:val="superscript"/>
        </w:rPr>
        <w:t>7</w:t>
      </w:r>
      <w:r>
        <w:t>;</w:t>
      </w:r>
      <w:proofErr w:type="gramEnd"/>
      <w:r>
        <w:t xml:space="preserve"> </w:t>
      </w:r>
    </w:p>
    <w:p w14:paraId="6682ECB1" w14:textId="77777777" w:rsidR="003C22C9" w:rsidRDefault="003C22C9">
      <w:pPr>
        <w:pStyle w:val="Default"/>
      </w:pPr>
    </w:p>
    <w:p w14:paraId="47BF2F06" w14:textId="77777777" w:rsidR="003C22C9" w:rsidRDefault="00847AF4">
      <w:pPr>
        <w:pStyle w:val="Default"/>
      </w:pPr>
      <w:r>
        <w:rPr>
          <w:lang w:val="en-US"/>
        </w:rPr>
        <w:t>4.4</w:t>
      </w:r>
      <w:r>
        <w:rPr>
          <w:lang w:val="en-US"/>
        </w:rPr>
        <w:tab/>
        <w:t xml:space="preserve">The software used to generate the Regulation baseline is approved by the DCLG as being compliant with the </w:t>
      </w:r>
      <w:r w:rsidR="00E42959">
        <w:rPr>
          <w:lang w:val="en-US"/>
        </w:rPr>
        <w:t>Standard Assessment Procedure 2012 (SAP)</w:t>
      </w:r>
      <w:r>
        <w:rPr>
          <w:lang w:val="en-US"/>
        </w:rPr>
        <w:t>.</w:t>
      </w:r>
    </w:p>
    <w:p w14:paraId="0C7BC22A" w14:textId="77777777" w:rsidR="003C22C9" w:rsidRDefault="003C22C9">
      <w:pPr>
        <w:pStyle w:val="Default"/>
      </w:pPr>
    </w:p>
    <w:p w14:paraId="02D47597" w14:textId="77777777" w:rsidR="003C22C9" w:rsidRDefault="00847AF4">
      <w:pPr>
        <w:pStyle w:val="Default"/>
        <w:ind w:firstLine="0"/>
        <w:rPr>
          <w:sz w:val="24"/>
          <w:szCs w:val="24"/>
        </w:rPr>
      </w:pPr>
      <w:r>
        <w:rPr>
          <w:sz w:val="24"/>
          <w:szCs w:val="24"/>
          <w:lang w:val="de-DE"/>
        </w:rPr>
        <w:t>REGULATED EMISSIONS BASELINE</w:t>
      </w:r>
    </w:p>
    <w:p w14:paraId="2BAFDB67" w14:textId="77777777" w:rsidR="003C22C9" w:rsidRDefault="00847AF4">
      <w:pPr>
        <w:pStyle w:val="Default"/>
      </w:pPr>
      <w:r>
        <w:rPr>
          <w:lang w:val="en-US"/>
        </w:rPr>
        <w:t>4.5</w:t>
      </w:r>
      <w:r>
        <w:rPr>
          <w:lang w:val="en-US"/>
        </w:rPr>
        <w:tab/>
        <w:t>The</w:t>
      </w:r>
      <w:r w:rsidR="00DF191F">
        <w:rPr>
          <w:lang w:val="en-US"/>
        </w:rPr>
        <w:t xml:space="preserve"> average</w:t>
      </w:r>
      <w:r>
        <w:rPr>
          <w:lang w:val="en-US"/>
        </w:rPr>
        <w:t xml:space="preserve"> regulated emissions baseline for the proposed development is taken as the baseline compliance figures generated by the calculation </w:t>
      </w:r>
      <w:r w:rsidR="006C111C">
        <w:rPr>
          <w:lang w:val="en-US"/>
        </w:rPr>
        <w:t>software to achieve regulatory (Part L</w:t>
      </w:r>
      <w:r w:rsidR="00E42959">
        <w:rPr>
          <w:lang w:val="en-US"/>
        </w:rPr>
        <w:t>1</w:t>
      </w:r>
      <w:r w:rsidR="00DF191F">
        <w:rPr>
          <w:lang w:val="en-US"/>
        </w:rPr>
        <w:t>a</w:t>
      </w:r>
      <w:r w:rsidR="006C111C">
        <w:rPr>
          <w:lang w:val="en-US"/>
        </w:rPr>
        <w:t>) compliance</w:t>
      </w:r>
      <w:r>
        <w:rPr>
          <w:lang w:val="en-US"/>
        </w:rPr>
        <w:t>.</w:t>
      </w:r>
    </w:p>
    <w:p w14:paraId="1480C515" w14:textId="77777777" w:rsidR="003C22C9" w:rsidRDefault="00847AF4">
      <w:pPr>
        <w:pStyle w:val="Default"/>
      </w:pPr>
      <w:r>
        <w:t xml:space="preserve"> </w:t>
      </w:r>
    </w:p>
    <w:tbl>
      <w:tblPr>
        <w:tblStyle w:val="TableGrid3"/>
        <w:tblW w:w="0" w:type="auto"/>
        <w:jc w:val="center"/>
        <w:tblLook w:val="04A0" w:firstRow="1" w:lastRow="0" w:firstColumn="1" w:lastColumn="0" w:noHBand="0" w:noVBand="1"/>
      </w:tblPr>
      <w:tblGrid>
        <w:gridCol w:w="4578"/>
      </w:tblGrid>
      <w:tr w:rsidR="0034231B" w:rsidRPr="000D351D" w14:paraId="6EEDA6FB" w14:textId="77777777" w:rsidTr="00DF191F">
        <w:trPr>
          <w:trHeight w:val="666"/>
          <w:jc w:val="center"/>
        </w:trPr>
        <w:tc>
          <w:tcPr>
            <w:tcW w:w="4578" w:type="dxa"/>
            <w:shd w:val="clear" w:color="auto" w:fill="auto"/>
            <w:vAlign w:val="center"/>
          </w:tcPr>
          <w:p w14:paraId="2B1565C3" w14:textId="77777777" w:rsidR="0034231B" w:rsidRPr="000D351D" w:rsidRDefault="0034231B" w:rsidP="006F41EC">
            <w:pPr>
              <w:jc w:val="center"/>
              <w:rPr>
                <w:rFonts w:asciiTheme="minorHAnsi" w:hAnsiTheme="minorHAnsi" w:cstheme="minorHAnsi"/>
                <w:b/>
                <w:sz w:val="22"/>
                <w:szCs w:val="22"/>
              </w:rPr>
            </w:pPr>
            <w:r w:rsidRPr="000D351D">
              <w:rPr>
                <w:rFonts w:asciiTheme="minorHAnsi" w:hAnsiTheme="minorHAnsi" w:cstheme="minorHAnsi"/>
                <w:b/>
                <w:sz w:val="22"/>
                <w:szCs w:val="22"/>
              </w:rPr>
              <w:t>Baseline CO</w:t>
            </w:r>
            <w:r w:rsidRPr="000D351D">
              <w:rPr>
                <w:rFonts w:asciiTheme="minorHAnsi" w:hAnsiTheme="minorHAnsi" w:cstheme="minorHAnsi"/>
                <w:b/>
                <w:sz w:val="22"/>
                <w:szCs w:val="22"/>
                <w:vertAlign w:val="subscript"/>
              </w:rPr>
              <w:t>2</w:t>
            </w:r>
            <w:r w:rsidRPr="000D351D">
              <w:rPr>
                <w:rFonts w:asciiTheme="minorHAnsi" w:hAnsiTheme="minorHAnsi" w:cstheme="minorHAnsi"/>
                <w:b/>
                <w:sz w:val="22"/>
                <w:szCs w:val="22"/>
              </w:rPr>
              <w:t xml:space="preserve"> Emissions (tonnesCO</w:t>
            </w:r>
            <w:r w:rsidRPr="000D351D">
              <w:rPr>
                <w:rFonts w:asciiTheme="minorHAnsi" w:hAnsiTheme="minorHAnsi" w:cstheme="minorHAnsi"/>
                <w:b/>
                <w:sz w:val="22"/>
                <w:szCs w:val="22"/>
                <w:vertAlign w:val="subscript"/>
              </w:rPr>
              <w:t>2</w:t>
            </w:r>
            <w:r w:rsidRPr="000D351D">
              <w:rPr>
                <w:rFonts w:asciiTheme="minorHAnsi" w:hAnsiTheme="minorHAnsi" w:cstheme="minorHAnsi"/>
                <w:b/>
                <w:sz w:val="22"/>
                <w:szCs w:val="22"/>
              </w:rPr>
              <w:t>/</w:t>
            </w:r>
            <w:proofErr w:type="spellStart"/>
            <w:r w:rsidRPr="000D351D">
              <w:rPr>
                <w:rFonts w:asciiTheme="minorHAnsi" w:hAnsiTheme="minorHAnsi" w:cstheme="minorHAnsi"/>
                <w:b/>
                <w:sz w:val="22"/>
                <w:szCs w:val="22"/>
              </w:rPr>
              <w:t>yr</w:t>
            </w:r>
            <w:proofErr w:type="spellEnd"/>
            <w:r w:rsidRPr="000D351D">
              <w:rPr>
                <w:rFonts w:asciiTheme="minorHAnsi" w:hAnsiTheme="minorHAnsi" w:cstheme="minorHAnsi"/>
                <w:b/>
                <w:sz w:val="22"/>
                <w:szCs w:val="22"/>
              </w:rPr>
              <w:t>)</w:t>
            </w:r>
          </w:p>
        </w:tc>
      </w:tr>
      <w:tr w:rsidR="0034231B" w:rsidRPr="006F41EC" w14:paraId="61743A71" w14:textId="77777777" w:rsidTr="00DF191F">
        <w:trPr>
          <w:trHeight w:val="324"/>
          <w:jc w:val="center"/>
        </w:trPr>
        <w:tc>
          <w:tcPr>
            <w:tcW w:w="4578" w:type="dxa"/>
            <w:vAlign w:val="center"/>
          </w:tcPr>
          <w:p w14:paraId="2E2BCD6A" w14:textId="4B670F7C" w:rsidR="0034231B" w:rsidRPr="006F41EC" w:rsidRDefault="003966EB" w:rsidP="006F41EC">
            <w:pPr>
              <w:jc w:val="center"/>
              <w:rPr>
                <w:rFonts w:asciiTheme="minorHAnsi" w:hAnsiTheme="minorHAnsi" w:cstheme="minorHAnsi"/>
                <w:sz w:val="22"/>
                <w:szCs w:val="22"/>
              </w:rPr>
            </w:pPr>
            <w:r>
              <w:rPr>
                <w:rFonts w:asciiTheme="minorHAnsi" w:hAnsiTheme="minorHAnsi" w:cstheme="minorHAnsi"/>
                <w:sz w:val="22"/>
                <w:szCs w:val="22"/>
              </w:rPr>
              <w:t>10.78</w:t>
            </w:r>
          </w:p>
        </w:tc>
      </w:tr>
    </w:tbl>
    <w:p w14:paraId="42F2E036" w14:textId="77777777" w:rsidR="006C111C" w:rsidRDefault="006C111C">
      <w:pPr>
        <w:pStyle w:val="Default"/>
        <w:jc w:val="center"/>
        <w:rPr>
          <w:b/>
          <w:bCs/>
        </w:rPr>
      </w:pPr>
    </w:p>
    <w:p w14:paraId="0BC01C21" w14:textId="77777777" w:rsidR="003C22C9" w:rsidRDefault="00847AF4">
      <w:pPr>
        <w:pStyle w:val="Default"/>
        <w:ind w:firstLine="0"/>
        <w:rPr>
          <w:sz w:val="24"/>
          <w:szCs w:val="24"/>
        </w:rPr>
      </w:pPr>
      <w:r>
        <w:rPr>
          <w:sz w:val="24"/>
          <w:szCs w:val="24"/>
          <w:lang w:val="en-US"/>
        </w:rPr>
        <w:t>REGULATED &amp; UNREGULATED EMISSIONS</w:t>
      </w:r>
    </w:p>
    <w:p w14:paraId="6403E073" w14:textId="77777777" w:rsidR="003C22C9" w:rsidRDefault="00847AF4">
      <w:pPr>
        <w:pStyle w:val="Default"/>
      </w:pPr>
      <w:r>
        <w:rPr>
          <w:lang w:val="en-US"/>
        </w:rPr>
        <w:t>4.6</w:t>
      </w:r>
      <w:r>
        <w:rPr>
          <w:lang w:val="en-US"/>
        </w:rPr>
        <w:tab/>
        <w:t xml:space="preserve">In addition to the resultant carbon dioxide emissions from the regulated emissions, there are additional uses of energy which are unregulated, examples of which include energy for lifts, small power and building type specific processes, such as IT </w:t>
      </w:r>
      <w:r w:rsidR="00A839A9">
        <w:rPr>
          <w:lang w:val="en-US"/>
        </w:rPr>
        <w:t xml:space="preserve">or </w:t>
      </w:r>
      <w:proofErr w:type="gramStart"/>
      <w:r w:rsidR="00A839A9">
        <w:rPr>
          <w:lang w:val="en-US"/>
        </w:rPr>
        <w:t>plug in</w:t>
      </w:r>
      <w:proofErr w:type="gramEnd"/>
      <w:r w:rsidR="00A839A9">
        <w:rPr>
          <w:lang w:val="en-US"/>
        </w:rPr>
        <w:t xml:space="preserve"> </w:t>
      </w:r>
      <w:r>
        <w:rPr>
          <w:lang w:val="en-US"/>
        </w:rPr>
        <w:t xml:space="preserve">equipment. Process energy used in buildings is described as unregulated energy use (emissions) as it is not </w:t>
      </w:r>
      <w:r w:rsidR="00A839A9">
        <w:rPr>
          <w:lang w:val="en-US"/>
        </w:rPr>
        <w:t xml:space="preserve">directly </w:t>
      </w:r>
      <w:r>
        <w:rPr>
          <w:lang w:val="en-US"/>
        </w:rPr>
        <w:t xml:space="preserve">covered by </w:t>
      </w:r>
      <w:r w:rsidR="00A839A9">
        <w:rPr>
          <w:lang w:val="en-US"/>
        </w:rPr>
        <w:t xml:space="preserve">the </w:t>
      </w:r>
      <w:r w:rsidR="00C13FF8">
        <w:rPr>
          <w:lang w:val="en-US"/>
        </w:rPr>
        <w:t xml:space="preserve">standard </w:t>
      </w:r>
      <w:r w:rsidR="00A839A9">
        <w:rPr>
          <w:lang w:val="en-US"/>
        </w:rPr>
        <w:t xml:space="preserve">compliance calculation. </w:t>
      </w:r>
    </w:p>
    <w:p w14:paraId="03C67A0B" w14:textId="77777777" w:rsidR="003C22C9" w:rsidRDefault="003C22C9">
      <w:pPr>
        <w:pStyle w:val="Default"/>
      </w:pPr>
    </w:p>
    <w:p w14:paraId="70449870" w14:textId="77777777" w:rsidR="003C22C9" w:rsidRDefault="00847AF4">
      <w:pPr>
        <w:pStyle w:val="Default"/>
      </w:pPr>
      <w:r>
        <w:rPr>
          <w:lang w:val="en-US"/>
        </w:rPr>
        <w:t>4.7</w:t>
      </w:r>
      <w:r>
        <w:rPr>
          <w:lang w:val="en-US"/>
        </w:rPr>
        <w:tab/>
        <w:t>Unregulated energy use has been calculated</w:t>
      </w:r>
      <w:r w:rsidR="00A839A9">
        <w:rPr>
          <w:lang w:val="en-US"/>
        </w:rPr>
        <w:t xml:space="preserve"> using the </w:t>
      </w:r>
      <w:r w:rsidR="00E42959">
        <w:rPr>
          <w:lang w:val="en-US"/>
        </w:rPr>
        <w:t>Standard Assessment Procedure 2012</w:t>
      </w:r>
      <w:r w:rsidR="00A839A9">
        <w:rPr>
          <w:lang w:val="en-US"/>
        </w:rPr>
        <w:t xml:space="preserve"> (</w:t>
      </w:r>
      <w:r w:rsidR="00E42959">
        <w:rPr>
          <w:lang w:val="en-US"/>
        </w:rPr>
        <w:t>SAP</w:t>
      </w:r>
      <w:r w:rsidR="00A839A9">
        <w:rPr>
          <w:lang w:val="en-US"/>
        </w:rPr>
        <w:t xml:space="preserve">), </w:t>
      </w:r>
      <w:proofErr w:type="spellStart"/>
      <w:r>
        <w:rPr>
          <w:lang w:val="en-US"/>
        </w:rPr>
        <w:t>utilising</w:t>
      </w:r>
      <w:proofErr w:type="spellEnd"/>
      <w:r>
        <w:rPr>
          <w:lang w:val="en-US"/>
        </w:rPr>
        <w:t xml:space="preserve"> approved software. </w:t>
      </w:r>
    </w:p>
    <w:p w14:paraId="1298F37B" w14:textId="77777777" w:rsidR="003C22C9" w:rsidRDefault="003C22C9">
      <w:pPr>
        <w:pStyle w:val="Default"/>
      </w:pPr>
    </w:p>
    <w:tbl>
      <w:tblPr>
        <w:tblStyle w:val="TableGrid4"/>
        <w:tblW w:w="0" w:type="auto"/>
        <w:jc w:val="center"/>
        <w:tblLook w:val="04A0" w:firstRow="1" w:lastRow="0" w:firstColumn="1" w:lastColumn="0" w:noHBand="0" w:noVBand="1"/>
      </w:tblPr>
      <w:tblGrid>
        <w:gridCol w:w="5866"/>
      </w:tblGrid>
      <w:tr w:rsidR="00E42959" w:rsidRPr="000D351D" w14:paraId="687E8975" w14:textId="77777777" w:rsidTr="00DF191F">
        <w:trPr>
          <w:trHeight w:val="399"/>
          <w:jc w:val="center"/>
        </w:trPr>
        <w:tc>
          <w:tcPr>
            <w:tcW w:w="5866" w:type="dxa"/>
            <w:shd w:val="clear" w:color="auto" w:fill="auto"/>
            <w:vAlign w:val="center"/>
          </w:tcPr>
          <w:p w14:paraId="10C173A7" w14:textId="77777777" w:rsidR="00E42959" w:rsidRPr="000D351D" w:rsidRDefault="00E42959" w:rsidP="00A839A9">
            <w:pPr>
              <w:jc w:val="center"/>
              <w:rPr>
                <w:rFonts w:asciiTheme="minorHAnsi" w:hAnsiTheme="minorHAnsi" w:cstheme="minorHAnsi"/>
                <w:b/>
                <w:sz w:val="22"/>
                <w:szCs w:val="22"/>
              </w:rPr>
            </w:pPr>
            <w:r w:rsidRPr="000D351D">
              <w:rPr>
                <w:rFonts w:asciiTheme="minorHAnsi" w:hAnsiTheme="minorHAnsi" w:cstheme="minorHAnsi"/>
                <w:b/>
                <w:sz w:val="22"/>
                <w:szCs w:val="22"/>
              </w:rPr>
              <w:t>Baseline</w:t>
            </w:r>
            <w:r w:rsidR="00DF191F">
              <w:rPr>
                <w:rFonts w:asciiTheme="minorHAnsi" w:hAnsiTheme="minorHAnsi" w:cstheme="minorHAnsi"/>
                <w:b/>
                <w:sz w:val="22"/>
                <w:szCs w:val="22"/>
              </w:rPr>
              <w:t xml:space="preserve"> </w:t>
            </w:r>
            <w:proofErr w:type="gramStart"/>
            <w:r w:rsidR="00DF191F">
              <w:rPr>
                <w:rFonts w:asciiTheme="minorHAnsi" w:hAnsiTheme="minorHAnsi" w:cstheme="minorHAnsi"/>
                <w:b/>
                <w:sz w:val="22"/>
                <w:szCs w:val="22"/>
              </w:rPr>
              <w:t xml:space="preserve">Unregulated </w:t>
            </w:r>
            <w:r w:rsidRPr="000D351D">
              <w:rPr>
                <w:rFonts w:asciiTheme="minorHAnsi" w:hAnsiTheme="minorHAnsi" w:cstheme="minorHAnsi"/>
                <w:b/>
                <w:sz w:val="22"/>
                <w:szCs w:val="22"/>
              </w:rPr>
              <w:t xml:space="preserve"> CO</w:t>
            </w:r>
            <w:r w:rsidRPr="000D351D">
              <w:rPr>
                <w:rFonts w:asciiTheme="minorHAnsi" w:hAnsiTheme="minorHAnsi" w:cstheme="minorHAnsi"/>
                <w:b/>
                <w:sz w:val="22"/>
                <w:szCs w:val="22"/>
                <w:vertAlign w:val="subscript"/>
              </w:rPr>
              <w:t>2</w:t>
            </w:r>
            <w:proofErr w:type="gramEnd"/>
            <w:r w:rsidRPr="000D351D">
              <w:rPr>
                <w:rFonts w:asciiTheme="minorHAnsi" w:hAnsiTheme="minorHAnsi" w:cstheme="minorHAnsi"/>
                <w:b/>
                <w:sz w:val="22"/>
                <w:szCs w:val="22"/>
              </w:rPr>
              <w:t xml:space="preserve"> Emissions (tonnesCO</w:t>
            </w:r>
            <w:r w:rsidRPr="000D351D">
              <w:rPr>
                <w:rFonts w:asciiTheme="minorHAnsi" w:hAnsiTheme="minorHAnsi" w:cstheme="minorHAnsi"/>
                <w:b/>
                <w:sz w:val="22"/>
                <w:szCs w:val="22"/>
                <w:vertAlign w:val="subscript"/>
              </w:rPr>
              <w:t>2</w:t>
            </w:r>
            <w:r w:rsidRPr="000D351D">
              <w:rPr>
                <w:rFonts w:asciiTheme="minorHAnsi" w:hAnsiTheme="minorHAnsi" w:cstheme="minorHAnsi"/>
                <w:b/>
                <w:sz w:val="22"/>
                <w:szCs w:val="22"/>
              </w:rPr>
              <w:t>/</w:t>
            </w:r>
            <w:proofErr w:type="spellStart"/>
            <w:r w:rsidRPr="000D351D">
              <w:rPr>
                <w:rFonts w:asciiTheme="minorHAnsi" w:hAnsiTheme="minorHAnsi" w:cstheme="minorHAnsi"/>
                <w:b/>
                <w:sz w:val="22"/>
                <w:szCs w:val="22"/>
              </w:rPr>
              <w:t>yr</w:t>
            </w:r>
            <w:proofErr w:type="spellEnd"/>
            <w:r w:rsidRPr="000D351D">
              <w:rPr>
                <w:rFonts w:asciiTheme="minorHAnsi" w:hAnsiTheme="minorHAnsi" w:cstheme="minorHAnsi"/>
                <w:b/>
                <w:sz w:val="22"/>
                <w:szCs w:val="22"/>
              </w:rPr>
              <w:t>)</w:t>
            </w:r>
          </w:p>
        </w:tc>
      </w:tr>
      <w:tr w:rsidR="00E42959" w:rsidRPr="00A839A9" w14:paraId="2AA32DCA" w14:textId="77777777" w:rsidTr="00DF191F">
        <w:trPr>
          <w:trHeight w:val="190"/>
          <w:jc w:val="center"/>
        </w:trPr>
        <w:tc>
          <w:tcPr>
            <w:tcW w:w="5866" w:type="dxa"/>
            <w:vAlign w:val="center"/>
          </w:tcPr>
          <w:p w14:paraId="596C4BC2" w14:textId="77777777" w:rsidR="00E42959" w:rsidRPr="00A839A9" w:rsidRDefault="00E42959" w:rsidP="00A839A9">
            <w:pPr>
              <w:jc w:val="center"/>
              <w:rPr>
                <w:rFonts w:asciiTheme="minorHAnsi" w:hAnsiTheme="minorHAnsi" w:cstheme="minorHAnsi"/>
                <w:sz w:val="22"/>
                <w:szCs w:val="22"/>
              </w:rPr>
            </w:pPr>
            <w:r>
              <w:rPr>
                <w:rFonts w:asciiTheme="minorHAnsi" w:hAnsiTheme="minorHAnsi" w:cstheme="minorHAnsi"/>
                <w:sz w:val="22"/>
                <w:szCs w:val="22"/>
              </w:rPr>
              <w:t>2.62</w:t>
            </w:r>
          </w:p>
        </w:tc>
      </w:tr>
    </w:tbl>
    <w:p w14:paraId="51206FD4" w14:textId="77777777" w:rsidR="003C22C9" w:rsidRDefault="003C22C9">
      <w:pPr>
        <w:pStyle w:val="Default"/>
      </w:pPr>
    </w:p>
    <w:p w14:paraId="646F02DD" w14:textId="77777777" w:rsidR="005B0609" w:rsidRDefault="005B0609">
      <w:pPr>
        <w:pStyle w:val="Default"/>
      </w:pPr>
    </w:p>
    <w:p w14:paraId="11CDB2E0" w14:textId="1AF369B5" w:rsidR="00DF191F" w:rsidRDefault="00DF191F">
      <w:pPr>
        <w:pStyle w:val="Default"/>
      </w:pPr>
    </w:p>
    <w:p w14:paraId="072B1814" w14:textId="1B476A25" w:rsidR="003E6392" w:rsidRDefault="003E6392">
      <w:pPr>
        <w:pStyle w:val="Default"/>
      </w:pPr>
    </w:p>
    <w:p w14:paraId="1B540602" w14:textId="77777777" w:rsidR="00DF191F" w:rsidRDefault="00DF191F">
      <w:pPr>
        <w:pStyle w:val="Default"/>
      </w:pPr>
    </w:p>
    <w:p w14:paraId="01772AE9" w14:textId="77777777" w:rsidR="003C22C9" w:rsidRDefault="00847AF4">
      <w:pPr>
        <w:pStyle w:val="Default"/>
        <w:ind w:firstLine="0"/>
        <w:rPr>
          <w:sz w:val="24"/>
          <w:szCs w:val="24"/>
        </w:rPr>
      </w:pPr>
      <w:r>
        <w:rPr>
          <w:sz w:val="24"/>
          <w:szCs w:val="24"/>
          <w:lang w:val="en-US"/>
        </w:rPr>
        <w:lastRenderedPageBreak/>
        <w:t>BASELINE SUMMARY</w:t>
      </w:r>
    </w:p>
    <w:p w14:paraId="53B5D840" w14:textId="77777777" w:rsidR="003C22C9" w:rsidRDefault="00847AF4">
      <w:pPr>
        <w:pStyle w:val="Default"/>
      </w:pPr>
      <w:r>
        <w:rPr>
          <w:lang w:val="en-US"/>
        </w:rPr>
        <w:t>4.9</w:t>
      </w:r>
      <w:r>
        <w:rPr>
          <w:lang w:val="en-US"/>
        </w:rPr>
        <w:tab/>
        <w:t xml:space="preserve">This section describes the baseline of the anticipated energy use of the development at the application site. Regulated and unregulated emissions have been </w:t>
      </w:r>
      <w:r w:rsidR="00070EE4">
        <w:rPr>
          <w:lang w:val="en-US"/>
        </w:rPr>
        <w:t xml:space="preserve">established using </w:t>
      </w:r>
      <w:r>
        <w:rPr>
          <w:lang w:val="en-US"/>
        </w:rPr>
        <w:t>government app</w:t>
      </w:r>
      <w:r w:rsidR="00070EE4">
        <w:rPr>
          <w:lang w:val="en-US"/>
        </w:rPr>
        <w:t xml:space="preserve">roved energy modelling software, and where required, government approved fuel conversion factors. </w:t>
      </w:r>
    </w:p>
    <w:p w14:paraId="02360485" w14:textId="77777777" w:rsidR="003C22C9" w:rsidRDefault="00847AF4">
      <w:pPr>
        <w:pStyle w:val="Default"/>
      </w:pPr>
      <w:r>
        <w:rPr>
          <w:color w:val="FF2600"/>
        </w:rPr>
        <w:t xml:space="preserve"> </w:t>
      </w:r>
    </w:p>
    <w:p w14:paraId="6D580528" w14:textId="2DA3C573" w:rsidR="00070EE4" w:rsidRDefault="00847AF4" w:rsidP="00043835">
      <w:pPr>
        <w:pStyle w:val="Default"/>
        <w:ind w:firstLine="0"/>
        <w:jc w:val="center"/>
        <w:rPr>
          <w:b/>
          <w:bCs/>
        </w:rPr>
      </w:pPr>
      <w:r>
        <w:rPr>
          <w:b/>
          <w:bCs/>
        </w:rPr>
        <w:t>CO</w:t>
      </w:r>
      <w:r>
        <w:rPr>
          <w:b/>
          <w:bCs/>
          <w:vertAlign w:val="subscript"/>
        </w:rPr>
        <w:t>2</w:t>
      </w:r>
      <w:r>
        <w:rPr>
          <w:b/>
          <w:bCs/>
          <w:lang w:val="en-US"/>
        </w:rPr>
        <w:t xml:space="preserve"> Emissions Baseline for </w:t>
      </w:r>
      <w:proofErr w:type="spellStart"/>
      <w:r w:rsidR="00DD2F6D">
        <w:rPr>
          <w:b/>
          <w:bCs/>
          <w:lang w:val="en-US"/>
        </w:rPr>
        <w:t>Maygrove</w:t>
      </w:r>
      <w:proofErr w:type="spellEnd"/>
      <w:r w:rsidR="00DD2F6D">
        <w:rPr>
          <w:b/>
          <w:bCs/>
          <w:lang w:val="en-US"/>
        </w:rPr>
        <w:t xml:space="preserve"> Road</w:t>
      </w:r>
      <w:r w:rsidR="00043835">
        <w:rPr>
          <w:b/>
          <w:bCs/>
          <w:lang w:val="en-US"/>
        </w:rPr>
        <w:t>:</w:t>
      </w:r>
    </w:p>
    <w:tbl>
      <w:tblPr>
        <w:tblStyle w:val="TableGrid5"/>
        <w:tblW w:w="0" w:type="auto"/>
        <w:jc w:val="center"/>
        <w:tblLook w:val="04A0" w:firstRow="1" w:lastRow="0" w:firstColumn="1" w:lastColumn="0" w:noHBand="0" w:noVBand="1"/>
      </w:tblPr>
      <w:tblGrid>
        <w:gridCol w:w="2472"/>
        <w:gridCol w:w="2274"/>
        <w:gridCol w:w="2537"/>
      </w:tblGrid>
      <w:tr w:rsidR="00070EE4" w:rsidRPr="00070EE4" w14:paraId="6B850BB7" w14:textId="77777777" w:rsidTr="000D351D">
        <w:trPr>
          <w:trHeight w:val="289"/>
          <w:jc w:val="center"/>
        </w:trPr>
        <w:tc>
          <w:tcPr>
            <w:tcW w:w="2472" w:type="dxa"/>
            <w:vMerge w:val="restart"/>
            <w:tcBorders>
              <w:top w:val="nil"/>
              <w:left w:val="nil"/>
            </w:tcBorders>
            <w:shd w:val="clear" w:color="auto" w:fill="706B6E"/>
          </w:tcPr>
          <w:p w14:paraId="64CABB21" w14:textId="77777777" w:rsidR="00070EE4" w:rsidRPr="00070EE4" w:rsidRDefault="00070EE4" w:rsidP="00956148">
            <w:pPr>
              <w:jc w:val="center"/>
              <w:rPr>
                <w:rFonts w:asciiTheme="minorHAnsi" w:hAnsiTheme="minorHAnsi" w:cstheme="minorHAnsi"/>
                <w:sz w:val="22"/>
                <w:szCs w:val="22"/>
              </w:rPr>
            </w:pPr>
          </w:p>
        </w:tc>
        <w:tc>
          <w:tcPr>
            <w:tcW w:w="4811" w:type="dxa"/>
            <w:gridSpan w:val="2"/>
            <w:shd w:val="clear" w:color="auto" w:fill="auto"/>
          </w:tcPr>
          <w:p w14:paraId="5079CB9C" w14:textId="77777777" w:rsidR="00070EE4" w:rsidRPr="000D351D" w:rsidRDefault="00070EE4" w:rsidP="00070EE4">
            <w:pPr>
              <w:jc w:val="center"/>
              <w:rPr>
                <w:rFonts w:asciiTheme="minorHAnsi" w:hAnsiTheme="minorHAnsi" w:cstheme="minorHAnsi"/>
                <w:b/>
                <w:sz w:val="22"/>
                <w:szCs w:val="22"/>
              </w:rPr>
            </w:pPr>
            <w:r w:rsidRPr="000D351D">
              <w:rPr>
                <w:rFonts w:asciiTheme="minorHAnsi" w:hAnsiTheme="minorHAnsi" w:cstheme="minorHAnsi"/>
                <w:b/>
                <w:sz w:val="22"/>
                <w:szCs w:val="22"/>
              </w:rPr>
              <w:t>CO</w:t>
            </w:r>
            <w:r w:rsidRPr="000D351D">
              <w:rPr>
                <w:rFonts w:asciiTheme="minorHAnsi" w:hAnsiTheme="minorHAnsi" w:cstheme="minorHAnsi"/>
                <w:b/>
                <w:sz w:val="22"/>
                <w:szCs w:val="22"/>
                <w:vertAlign w:val="subscript"/>
              </w:rPr>
              <w:t>2</w:t>
            </w:r>
            <w:r w:rsidRPr="000D351D">
              <w:rPr>
                <w:rFonts w:asciiTheme="minorHAnsi" w:hAnsiTheme="minorHAnsi" w:cstheme="minorHAnsi"/>
                <w:b/>
                <w:sz w:val="22"/>
                <w:szCs w:val="22"/>
              </w:rPr>
              <w:t xml:space="preserve"> Emissions (tonnes/annum) </w:t>
            </w:r>
          </w:p>
        </w:tc>
      </w:tr>
      <w:tr w:rsidR="00070EE4" w:rsidRPr="00070EE4" w14:paraId="5B1A9034" w14:textId="77777777" w:rsidTr="000D351D">
        <w:trPr>
          <w:trHeight w:val="153"/>
          <w:jc w:val="center"/>
        </w:trPr>
        <w:tc>
          <w:tcPr>
            <w:tcW w:w="2472" w:type="dxa"/>
            <w:vMerge/>
            <w:tcBorders>
              <w:left w:val="nil"/>
            </w:tcBorders>
            <w:shd w:val="clear" w:color="auto" w:fill="706B6E"/>
          </w:tcPr>
          <w:p w14:paraId="6A1F68D5" w14:textId="77777777" w:rsidR="00070EE4" w:rsidRPr="00070EE4" w:rsidRDefault="00070EE4" w:rsidP="00070EE4">
            <w:pPr>
              <w:jc w:val="both"/>
              <w:rPr>
                <w:rFonts w:asciiTheme="minorHAnsi" w:hAnsiTheme="minorHAnsi" w:cstheme="minorHAnsi"/>
                <w:sz w:val="22"/>
                <w:szCs w:val="22"/>
              </w:rPr>
            </w:pPr>
          </w:p>
        </w:tc>
        <w:tc>
          <w:tcPr>
            <w:tcW w:w="2274" w:type="dxa"/>
            <w:shd w:val="clear" w:color="auto" w:fill="auto"/>
          </w:tcPr>
          <w:p w14:paraId="5205AF3C" w14:textId="77777777" w:rsidR="00070EE4" w:rsidRPr="000D351D" w:rsidRDefault="00070EE4" w:rsidP="00070EE4">
            <w:pPr>
              <w:jc w:val="center"/>
              <w:rPr>
                <w:rFonts w:asciiTheme="minorHAnsi" w:hAnsiTheme="minorHAnsi" w:cstheme="minorHAnsi"/>
                <w:b/>
                <w:sz w:val="22"/>
                <w:szCs w:val="22"/>
              </w:rPr>
            </w:pPr>
            <w:r w:rsidRPr="000D351D">
              <w:rPr>
                <w:rFonts w:asciiTheme="minorHAnsi" w:hAnsiTheme="minorHAnsi" w:cstheme="minorHAnsi"/>
                <w:b/>
                <w:sz w:val="22"/>
                <w:szCs w:val="22"/>
              </w:rPr>
              <w:t>Regulated</w:t>
            </w:r>
          </w:p>
        </w:tc>
        <w:tc>
          <w:tcPr>
            <w:tcW w:w="2537" w:type="dxa"/>
            <w:shd w:val="clear" w:color="auto" w:fill="auto"/>
          </w:tcPr>
          <w:p w14:paraId="3F20744D" w14:textId="77777777" w:rsidR="00070EE4" w:rsidRPr="000D351D" w:rsidRDefault="00070EE4" w:rsidP="00070EE4">
            <w:pPr>
              <w:jc w:val="center"/>
              <w:rPr>
                <w:rFonts w:asciiTheme="minorHAnsi" w:hAnsiTheme="minorHAnsi" w:cstheme="minorHAnsi"/>
                <w:b/>
                <w:sz w:val="22"/>
                <w:szCs w:val="22"/>
              </w:rPr>
            </w:pPr>
            <w:r w:rsidRPr="000D351D">
              <w:rPr>
                <w:rFonts w:asciiTheme="minorHAnsi" w:hAnsiTheme="minorHAnsi" w:cstheme="minorHAnsi"/>
                <w:b/>
                <w:sz w:val="22"/>
                <w:szCs w:val="22"/>
              </w:rPr>
              <w:t>Unregulated</w:t>
            </w:r>
          </w:p>
        </w:tc>
      </w:tr>
      <w:tr w:rsidR="00070EE4" w:rsidRPr="00070EE4" w14:paraId="760018D6" w14:textId="77777777" w:rsidTr="00956148">
        <w:trPr>
          <w:trHeight w:val="289"/>
          <w:jc w:val="center"/>
        </w:trPr>
        <w:tc>
          <w:tcPr>
            <w:tcW w:w="2472" w:type="dxa"/>
          </w:tcPr>
          <w:p w14:paraId="251AF9C0" w14:textId="77777777" w:rsidR="00070EE4" w:rsidRPr="00070EE4" w:rsidRDefault="00070EE4" w:rsidP="00070EE4">
            <w:pPr>
              <w:rPr>
                <w:rFonts w:asciiTheme="minorHAnsi" w:hAnsiTheme="minorHAnsi" w:cstheme="minorHAnsi"/>
                <w:sz w:val="22"/>
                <w:szCs w:val="22"/>
              </w:rPr>
            </w:pPr>
            <w:r w:rsidRPr="00070EE4">
              <w:rPr>
                <w:rFonts w:asciiTheme="minorHAnsi" w:hAnsiTheme="minorHAnsi" w:cstheme="minorHAnsi"/>
                <w:sz w:val="22"/>
                <w:szCs w:val="22"/>
              </w:rPr>
              <w:t>Building Regulations 2013 Part L Compliant Project</w:t>
            </w:r>
          </w:p>
        </w:tc>
        <w:tc>
          <w:tcPr>
            <w:tcW w:w="2274" w:type="dxa"/>
            <w:vAlign w:val="center"/>
          </w:tcPr>
          <w:p w14:paraId="16EC12F2" w14:textId="3ABCC7B1" w:rsidR="00070EE4" w:rsidRPr="00070EE4" w:rsidRDefault="003966EB" w:rsidP="00070EE4">
            <w:pPr>
              <w:jc w:val="center"/>
              <w:rPr>
                <w:rFonts w:asciiTheme="minorHAnsi" w:hAnsiTheme="minorHAnsi" w:cstheme="minorHAnsi"/>
                <w:sz w:val="22"/>
                <w:szCs w:val="22"/>
              </w:rPr>
            </w:pPr>
            <w:r>
              <w:rPr>
                <w:rFonts w:asciiTheme="minorHAnsi" w:hAnsiTheme="minorHAnsi" w:cstheme="minorHAnsi"/>
                <w:sz w:val="22"/>
                <w:szCs w:val="22"/>
              </w:rPr>
              <w:t>10.78</w:t>
            </w:r>
          </w:p>
        </w:tc>
        <w:tc>
          <w:tcPr>
            <w:tcW w:w="2537" w:type="dxa"/>
            <w:vAlign w:val="center"/>
          </w:tcPr>
          <w:p w14:paraId="799F795F" w14:textId="77777777" w:rsidR="00070EE4" w:rsidRPr="00070EE4" w:rsidRDefault="00E42959" w:rsidP="00070EE4">
            <w:pPr>
              <w:jc w:val="center"/>
              <w:rPr>
                <w:rFonts w:asciiTheme="minorHAnsi" w:hAnsiTheme="minorHAnsi" w:cstheme="minorHAnsi"/>
                <w:sz w:val="22"/>
                <w:szCs w:val="22"/>
              </w:rPr>
            </w:pPr>
            <w:r>
              <w:rPr>
                <w:rFonts w:asciiTheme="minorHAnsi" w:hAnsiTheme="minorHAnsi" w:cstheme="minorHAnsi"/>
                <w:sz w:val="22"/>
                <w:szCs w:val="22"/>
              </w:rPr>
              <w:t>2.62</w:t>
            </w:r>
          </w:p>
        </w:tc>
      </w:tr>
    </w:tbl>
    <w:p w14:paraId="7CC5B629" w14:textId="77777777" w:rsidR="003C22C9" w:rsidRDefault="003C22C9">
      <w:pPr>
        <w:pStyle w:val="Default"/>
      </w:pPr>
    </w:p>
    <w:p w14:paraId="47EA3CCD" w14:textId="77777777" w:rsidR="003C22C9" w:rsidRDefault="003C22C9">
      <w:pPr>
        <w:pStyle w:val="Default"/>
        <w:rPr>
          <w:color w:val="FF2600"/>
        </w:rPr>
      </w:pPr>
    </w:p>
    <w:p w14:paraId="002B72B2" w14:textId="77777777" w:rsidR="003C22C9" w:rsidRDefault="003C22C9">
      <w:pPr>
        <w:pStyle w:val="Default"/>
        <w:rPr>
          <w:color w:val="FF2600"/>
        </w:rPr>
      </w:pPr>
    </w:p>
    <w:p w14:paraId="1DDBD18F" w14:textId="77777777" w:rsidR="003C22C9" w:rsidRDefault="003C22C9">
      <w:pPr>
        <w:pStyle w:val="Default"/>
        <w:rPr>
          <w:color w:val="FF2600"/>
        </w:rPr>
      </w:pPr>
    </w:p>
    <w:p w14:paraId="15032BF3" w14:textId="77777777" w:rsidR="003C22C9" w:rsidRDefault="003C22C9">
      <w:pPr>
        <w:pStyle w:val="Default"/>
        <w:rPr>
          <w:color w:val="FF2600"/>
        </w:rPr>
      </w:pPr>
    </w:p>
    <w:p w14:paraId="35B9D8B4" w14:textId="77777777" w:rsidR="003C22C9" w:rsidRDefault="003C22C9">
      <w:pPr>
        <w:pStyle w:val="Default"/>
        <w:rPr>
          <w:color w:val="FF2600"/>
        </w:rPr>
      </w:pPr>
    </w:p>
    <w:p w14:paraId="35BB398C" w14:textId="77777777" w:rsidR="003C22C9" w:rsidRDefault="003C22C9">
      <w:pPr>
        <w:pStyle w:val="Default"/>
        <w:rPr>
          <w:color w:val="FF2600"/>
        </w:rPr>
      </w:pPr>
    </w:p>
    <w:p w14:paraId="6A9B86A0" w14:textId="77777777" w:rsidR="003C22C9" w:rsidRDefault="003C22C9">
      <w:pPr>
        <w:pStyle w:val="Default"/>
        <w:rPr>
          <w:color w:val="FF2600"/>
        </w:rPr>
      </w:pPr>
    </w:p>
    <w:p w14:paraId="6B888F00" w14:textId="77777777" w:rsidR="003C22C9" w:rsidRDefault="003C22C9">
      <w:pPr>
        <w:pStyle w:val="Default"/>
        <w:rPr>
          <w:color w:val="FF2600"/>
        </w:rPr>
      </w:pPr>
    </w:p>
    <w:p w14:paraId="70E2DBE6" w14:textId="77777777" w:rsidR="003C22C9" w:rsidRDefault="003C22C9">
      <w:pPr>
        <w:pStyle w:val="Default"/>
        <w:rPr>
          <w:color w:val="FF2600"/>
        </w:rPr>
      </w:pPr>
    </w:p>
    <w:p w14:paraId="4A1AEBC8" w14:textId="77777777" w:rsidR="003C22C9" w:rsidRDefault="003C22C9">
      <w:pPr>
        <w:pStyle w:val="Default"/>
        <w:rPr>
          <w:color w:val="FF2600"/>
        </w:rPr>
      </w:pPr>
    </w:p>
    <w:p w14:paraId="05D440C9" w14:textId="77777777" w:rsidR="003C22C9" w:rsidRDefault="003C22C9">
      <w:pPr>
        <w:pStyle w:val="Default"/>
        <w:spacing w:after="200"/>
        <w:jc w:val="left"/>
        <w:rPr>
          <w:color w:val="FF2600"/>
          <w:sz w:val="32"/>
          <w:szCs w:val="32"/>
        </w:rPr>
      </w:pPr>
    </w:p>
    <w:p w14:paraId="3AC60C6D" w14:textId="77777777" w:rsidR="003C22C9" w:rsidRDefault="003C22C9">
      <w:pPr>
        <w:pStyle w:val="Default"/>
        <w:spacing w:after="200"/>
        <w:jc w:val="left"/>
        <w:rPr>
          <w:color w:val="FF2600"/>
          <w:sz w:val="32"/>
          <w:szCs w:val="32"/>
        </w:rPr>
      </w:pPr>
    </w:p>
    <w:p w14:paraId="5AD78E48" w14:textId="77777777" w:rsidR="003C22C9" w:rsidRDefault="003C22C9">
      <w:pPr>
        <w:pStyle w:val="Default"/>
        <w:spacing w:after="200"/>
        <w:jc w:val="left"/>
        <w:rPr>
          <w:color w:val="FF2600"/>
          <w:sz w:val="32"/>
          <w:szCs w:val="32"/>
        </w:rPr>
      </w:pPr>
    </w:p>
    <w:p w14:paraId="1A7A5473" w14:textId="77777777" w:rsidR="003C22C9" w:rsidRDefault="003C22C9">
      <w:pPr>
        <w:pStyle w:val="Default"/>
        <w:spacing w:after="200"/>
        <w:jc w:val="left"/>
        <w:rPr>
          <w:color w:val="FF2600"/>
          <w:sz w:val="32"/>
          <w:szCs w:val="32"/>
        </w:rPr>
      </w:pPr>
    </w:p>
    <w:p w14:paraId="62066FA8" w14:textId="77777777" w:rsidR="003C22C9" w:rsidRDefault="003C22C9">
      <w:pPr>
        <w:pStyle w:val="Default"/>
        <w:spacing w:after="200"/>
        <w:jc w:val="left"/>
        <w:rPr>
          <w:color w:val="FF2600"/>
          <w:sz w:val="32"/>
          <w:szCs w:val="32"/>
        </w:rPr>
      </w:pPr>
    </w:p>
    <w:p w14:paraId="2BF65C7F" w14:textId="77777777" w:rsidR="0068645C" w:rsidRDefault="0068645C">
      <w:pPr>
        <w:pStyle w:val="Default"/>
        <w:spacing w:after="200"/>
        <w:jc w:val="left"/>
        <w:rPr>
          <w:color w:val="FF2600"/>
          <w:sz w:val="32"/>
          <w:szCs w:val="32"/>
        </w:rPr>
      </w:pPr>
    </w:p>
    <w:p w14:paraId="25472D29" w14:textId="77777777" w:rsidR="00DF191F" w:rsidRDefault="00DF191F">
      <w:pPr>
        <w:pStyle w:val="Default"/>
        <w:spacing w:after="200"/>
        <w:jc w:val="left"/>
        <w:rPr>
          <w:color w:val="FF2600"/>
          <w:sz w:val="32"/>
          <w:szCs w:val="32"/>
        </w:rPr>
      </w:pPr>
    </w:p>
    <w:p w14:paraId="369C3A23" w14:textId="77777777" w:rsidR="00DF191F" w:rsidRDefault="00DF191F">
      <w:pPr>
        <w:pStyle w:val="Default"/>
        <w:spacing w:after="200"/>
        <w:jc w:val="left"/>
        <w:rPr>
          <w:color w:val="FF2600"/>
          <w:sz w:val="32"/>
          <w:szCs w:val="32"/>
        </w:rPr>
      </w:pPr>
    </w:p>
    <w:p w14:paraId="226F2C0E" w14:textId="77777777" w:rsidR="00DF191F" w:rsidRDefault="00DF191F">
      <w:pPr>
        <w:pStyle w:val="Default"/>
        <w:spacing w:after="200"/>
        <w:jc w:val="left"/>
        <w:rPr>
          <w:color w:val="FF2600"/>
          <w:sz w:val="32"/>
          <w:szCs w:val="32"/>
        </w:rPr>
      </w:pPr>
    </w:p>
    <w:p w14:paraId="1DF9D8AC" w14:textId="77777777" w:rsidR="00DF191F" w:rsidRDefault="00DF191F">
      <w:pPr>
        <w:pStyle w:val="Default"/>
        <w:spacing w:after="200"/>
        <w:jc w:val="left"/>
        <w:rPr>
          <w:color w:val="FF2600"/>
          <w:sz w:val="32"/>
          <w:szCs w:val="32"/>
        </w:rPr>
      </w:pPr>
    </w:p>
    <w:p w14:paraId="14FA122F" w14:textId="77777777" w:rsidR="00DF191F" w:rsidRDefault="00DF191F">
      <w:pPr>
        <w:pStyle w:val="Default"/>
        <w:spacing w:after="200"/>
        <w:jc w:val="left"/>
        <w:rPr>
          <w:color w:val="FF2600"/>
          <w:sz w:val="32"/>
          <w:szCs w:val="32"/>
        </w:rPr>
      </w:pPr>
    </w:p>
    <w:p w14:paraId="5898446D" w14:textId="77777777" w:rsidR="003C22C9" w:rsidRDefault="00847AF4">
      <w:pPr>
        <w:pStyle w:val="Heading"/>
      </w:pPr>
      <w:r>
        <w:lastRenderedPageBreak/>
        <w:t>5.0</w:t>
      </w:r>
      <w:r>
        <w:tab/>
        <w:t>‘</w:t>
      </w:r>
      <w:r>
        <w:rPr>
          <w:lang w:val="pt-PT"/>
        </w:rPr>
        <w:t>BE LEAN</w:t>
      </w:r>
      <w:r>
        <w:t xml:space="preserve">’ </w:t>
      </w:r>
      <w:r>
        <w:rPr>
          <w:lang w:val="de-DE"/>
        </w:rPr>
        <w:t xml:space="preserve">- ENERGY EFFICIENCY MEASURES  </w:t>
      </w:r>
    </w:p>
    <w:p w14:paraId="64860201" w14:textId="77777777" w:rsidR="003C22C9" w:rsidRDefault="003C22C9">
      <w:pPr>
        <w:pStyle w:val="Default"/>
      </w:pPr>
    </w:p>
    <w:p w14:paraId="0407DC99" w14:textId="7065F8F5" w:rsidR="003C22C9" w:rsidRDefault="00847AF4">
      <w:pPr>
        <w:pStyle w:val="Default"/>
        <w:ind w:firstLine="0"/>
        <w:rPr>
          <w:sz w:val="24"/>
          <w:szCs w:val="24"/>
        </w:rPr>
      </w:pPr>
      <w:proofErr w:type="gramStart"/>
      <w:r>
        <w:rPr>
          <w:sz w:val="24"/>
          <w:szCs w:val="24"/>
          <w:lang w:val="en-US"/>
        </w:rPr>
        <w:t xml:space="preserve">THE </w:t>
      </w:r>
      <w:r>
        <w:rPr>
          <w:sz w:val="24"/>
          <w:szCs w:val="24"/>
          <w:lang w:val="de-DE"/>
        </w:rPr>
        <w:t xml:space="preserve"> ENERGY</w:t>
      </w:r>
      <w:proofErr w:type="gramEnd"/>
      <w:r>
        <w:rPr>
          <w:sz w:val="24"/>
          <w:szCs w:val="24"/>
          <w:lang w:val="de-DE"/>
        </w:rPr>
        <w:t xml:space="preserve"> HIERARCHY</w:t>
      </w:r>
    </w:p>
    <w:p w14:paraId="3CA69334" w14:textId="130CCE29" w:rsidR="003C22C9" w:rsidRDefault="00847AF4">
      <w:pPr>
        <w:pStyle w:val="Default"/>
      </w:pPr>
      <w:r>
        <w:rPr>
          <w:lang w:val="en-US"/>
        </w:rPr>
        <w:t>5.1</w:t>
      </w:r>
      <w:r>
        <w:rPr>
          <w:lang w:val="en-US"/>
        </w:rPr>
        <w:tab/>
        <w:t xml:space="preserve">The Energy Strategy adopts a set of principles to guide design development and decisions regarding energy, balanced with the need to </w:t>
      </w:r>
      <w:proofErr w:type="spellStart"/>
      <w:r>
        <w:rPr>
          <w:lang w:val="en-US"/>
        </w:rPr>
        <w:t>optimise</w:t>
      </w:r>
      <w:proofErr w:type="spellEnd"/>
      <w:r>
        <w:rPr>
          <w:lang w:val="en-US"/>
        </w:rPr>
        <w:t xml:space="preserve"> environmental and economic benefits. The London Plan</w:t>
      </w:r>
      <w:r>
        <w:rPr>
          <w:vertAlign w:val="superscript"/>
        </w:rPr>
        <w:t>1</w:t>
      </w:r>
      <w:r>
        <w:rPr>
          <w:lang w:val="en-US"/>
        </w:rPr>
        <w:t xml:space="preserve"> states that </w:t>
      </w:r>
      <w:r>
        <w:t>‘</w:t>
      </w:r>
      <w:r>
        <w:rPr>
          <w:lang w:val="en-US"/>
        </w:rPr>
        <w:t>The following hierarchy should be used to assess applications:</w:t>
      </w:r>
    </w:p>
    <w:p w14:paraId="5D69FF84" w14:textId="77777777" w:rsidR="003C22C9" w:rsidRDefault="00847AF4" w:rsidP="006913CB">
      <w:pPr>
        <w:pStyle w:val="Default"/>
        <w:numPr>
          <w:ilvl w:val="0"/>
          <w:numId w:val="13"/>
        </w:numPr>
      </w:pPr>
      <w:proofErr w:type="gramStart"/>
      <w:r>
        <w:rPr>
          <w:lang w:val="en-US"/>
        </w:rPr>
        <w:t>Using  less</w:t>
      </w:r>
      <w:proofErr w:type="gramEnd"/>
      <w:r>
        <w:rPr>
          <w:lang w:val="en-US"/>
        </w:rPr>
        <w:t xml:space="preserve">  energy,  in  particular  by  adopting  sustainable  design  and construction measures;</w:t>
      </w:r>
    </w:p>
    <w:p w14:paraId="467C4BAF" w14:textId="77777777" w:rsidR="003C22C9" w:rsidRDefault="00847AF4" w:rsidP="006913CB">
      <w:pPr>
        <w:pStyle w:val="Default"/>
        <w:numPr>
          <w:ilvl w:val="0"/>
          <w:numId w:val="13"/>
        </w:numPr>
      </w:pPr>
      <w:r>
        <w:rPr>
          <w:lang w:val="en-US"/>
        </w:rPr>
        <w:t xml:space="preserve">Supplying energy efficiency, </w:t>
      </w:r>
      <w:proofErr w:type="gramStart"/>
      <w:r>
        <w:rPr>
          <w:lang w:val="en-US"/>
        </w:rPr>
        <w:t>in particular by</w:t>
      </w:r>
      <w:proofErr w:type="gramEnd"/>
      <w:r>
        <w:rPr>
          <w:lang w:val="en-US"/>
        </w:rPr>
        <w:t xml:space="preserve"> </w:t>
      </w:r>
      <w:proofErr w:type="spellStart"/>
      <w:r>
        <w:rPr>
          <w:lang w:val="en-US"/>
        </w:rPr>
        <w:t>prioritising</w:t>
      </w:r>
      <w:proofErr w:type="spellEnd"/>
      <w:r>
        <w:rPr>
          <w:lang w:val="en-US"/>
        </w:rPr>
        <w:t xml:space="preserve"> </w:t>
      </w:r>
      <w:proofErr w:type="spellStart"/>
      <w:r>
        <w:rPr>
          <w:lang w:val="en-US"/>
        </w:rPr>
        <w:t>decentralised</w:t>
      </w:r>
      <w:proofErr w:type="spellEnd"/>
      <w:r>
        <w:rPr>
          <w:lang w:val="en-US"/>
        </w:rPr>
        <w:t xml:space="preserve"> energy generation; and</w:t>
      </w:r>
    </w:p>
    <w:p w14:paraId="29706586" w14:textId="77777777" w:rsidR="003C22C9" w:rsidRDefault="00847AF4" w:rsidP="006913CB">
      <w:pPr>
        <w:pStyle w:val="Default"/>
        <w:numPr>
          <w:ilvl w:val="0"/>
          <w:numId w:val="13"/>
        </w:numPr>
      </w:pPr>
      <w:r>
        <w:rPr>
          <w:lang w:val="en-US"/>
        </w:rPr>
        <w:t xml:space="preserve">Using renewable energy. </w:t>
      </w:r>
    </w:p>
    <w:p w14:paraId="57F37D33" w14:textId="77777777" w:rsidR="003C22C9" w:rsidRDefault="00847AF4">
      <w:pPr>
        <w:pStyle w:val="Default"/>
      </w:pPr>
      <w:r>
        <w:t xml:space="preserve"> </w:t>
      </w:r>
    </w:p>
    <w:p w14:paraId="3316FE38" w14:textId="77777777" w:rsidR="003C22C9" w:rsidRDefault="00847AF4">
      <w:pPr>
        <w:pStyle w:val="Default"/>
      </w:pPr>
      <w:r>
        <w:rPr>
          <w:lang w:val="en-US"/>
        </w:rPr>
        <w:t>5.2</w:t>
      </w:r>
      <w:r>
        <w:rPr>
          <w:lang w:val="en-US"/>
        </w:rPr>
        <w:tab/>
        <w:t xml:space="preserve">Consequently, the first stage in the energy strategy for the proposed development is the consideration of energy efficiency measures to ensure that the base energy demand is </w:t>
      </w:r>
      <w:proofErr w:type="spellStart"/>
      <w:r>
        <w:rPr>
          <w:lang w:val="en-US"/>
        </w:rPr>
        <w:t>minimised</w:t>
      </w:r>
      <w:proofErr w:type="spellEnd"/>
      <w:r>
        <w:rPr>
          <w:lang w:val="en-US"/>
        </w:rPr>
        <w:t>.</w:t>
      </w:r>
    </w:p>
    <w:p w14:paraId="14238B61" w14:textId="77777777" w:rsidR="003C22C9" w:rsidRDefault="003C22C9">
      <w:pPr>
        <w:pStyle w:val="Default"/>
        <w:rPr>
          <w:sz w:val="24"/>
          <w:szCs w:val="24"/>
        </w:rPr>
      </w:pPr>
    </w:p>
    <w:p w14:paraId="32A6C455" w14:textId="77777777" w:rsidR="003C22C9" w:rsidRDefault="00847AF4">
      <w:pPr>
        <w:pStyle w:val="Default"/>
        <w:ind w:firstLine="0"/>
        <w:rPr>
          <w:sz w:val="24"/>
          <w:szCs w:val="24"/>
        </w:rPr>
      </w:pPr>
      <w:r>
        <w:rPr>
          <w:sz w:val="24"/>
          <w:szCs w:val="24"/>
          <w:lang w:val="de-DE"/>
        </w:rPr>
        <w:t>ENERGY EFFICIENCY MEASURES</w:t>
      </w:r>
    </w:p>
    <w:p w14:paraId="42C6BE48" w14:textId="4F671A02" w:rsidR="003C22C9" w:rsidRDefault="00847AF4">
      <w:pPr>
        <w:pStyle w:val="Default"/>
      </w:pPr>
      <w:r>
        <w:rPr>
          <w:lang w:val="en-US"/>
        </w:rPr>
        <w:t>5.3</w:t>
      </w:r>
      <w:r>
        <w:rPr>
          <w:lang w:val="en-US"/>
        </w:rPr>
        <w:tab/>
        <w:t xml:space="preserve">In order to </w:t>
      </w:r>
      <w:r w:rsidR="006913CB">
        <w:rPr>
          <w:lang w:val="en-US"/>
        </w:rPr>
        <w:t xml:space="preserve">ensure the proposed development </w:t>
      </w:r>
      <w:r>
        <w:rPr>
          <w:lang w:val="en-US"/>
        </w:rPr>
        <w:t>complies with</w:t>
      </w:r>
      <w:r w:rsidR="003966EB">
        <w:rPr>
          <w:lang w:val="en-US"/>
        </w:rPr>
        <w:t xml:space="preserve"> Part L1</w:t>
      </w:r>
      <w:proofErr w:type="gramStart"/>
      <w:r w:rsidR="003966EB">
        <w:rPr>
          <w:lang w:val="en-US"/>
        </w:rPr>
        <w:t>b  of</w:t>
      </w:r>
      <w:proofErr w:type="gramEnd"/>
      <w:r w:rsidR="003966EB">
        <w:rPr>
          <w:lang w:val="en-US"/>
        </w:rPr>
        <w:t xml:space="preserve"> the 2</w:t>
      </w:r>
      <w:r>
        <w:rPr>
          <w:lang w:val="en-US"/>
        </w:rPr>
        <w:t xml:space="preserve">013 Building Regulations and improves upon the baseline compliance threshold, </w:t>
      </w:r>
      <w:r w:rsidR="006913CB">
        <w:rPr>
          <w:lang w:val="en-US"/>
        </w:rPr>
        <w:t xml:space="preserve">specific </w:t>
      </w:r>
      <w:r>
        <w:rPr>
          <w:lang w:val="en-US"/>
        </w:rPr>
        <w:t>measures to make the building energy efficient must be incorp</w:t>
      </w:r>
      <w:r w:rsidR="006913CB">
        <w:rPr>
          <w:lang w:val="en-US"/>
        </w:rPr>
        <w:t xml:space="preserve">orated within the scheme design and construction. </w:t>
      </w:r>
    </w:p>
    <w:p w14:paraId="5D7E9BFB" w14:textId="77777777" w:rsidR="003C22C9" w:rsidRDefault="003C22C9">
      <w:pPr>
        <w:pStyle w:val="Default"/>
      </w:pPr>
    </w:p>
    <w:p w14:paraId="5D32E57E" w14:textId="77777777" w:rsidR="003C22C9" w:rsidRDefault="00847AF4">
      <w:pPr>
        <w:pStyle w:val="Default"/>
        <w:rPr>
          <w:lang w:val="en-US"/>
        </w:rPr>
      </w:pPr>
      <w:r>
        <w:rPr>
          <w:lang w:val="en-US"/>
        </w:rPr>
        <w:t>5.4</w:t>
      </w:r>
      <w:r>
        <w:rPr>
          <w:lang w:val="en-US"/>
        </w:rPr>
        <w:tab/>
        <w:t>The following key energy efficiency design measures to reduce emissions have been incorporated in the design of the project:</w:t>
      </w:r>
    </w:p>
    <w:p w14:paraId="049AEF8A" w14:textId="77777777" w:rsidR="00CB1340" w:rsidRDefault="00CB1340">
      <w:pPr>
        <w:pStyle w:val="Default"/>
        <w:rPr>
          <w:lang w:val="en-US"/>
        </w:rPr>
      </w:pPr>
    </w:p>
    <w:tbl>
      <w:tblPr>
        <w:tblStyle w:val="TableGrid4"/>
        <w:tblW w:w="0" w:type="auto"/>
        <w:jc w:val="center"/>
        <w:tblLook w:val="04A0" w:firstRow="1" w:lastRow="0" w:firstColumn="1" w:lastColumn="0" w:noHBand="0" w:noVBand="1"/>
      </w:tblPr>
      <w:tblGrid>
        <w:gridCol w:w="2866"/>
        <w:gridCol w:w="2866"/>
      </w:tblGrid>
      <w:tr w:rsidR="005707B1" w:rsidRPr="005707B1" w14:paraId="3B055EE1" w14:textId="77777777" w:rsidTr="005707B1">
        <w:trPr>
          <w:trHeight w:val="268"/>
          <w:jc w:val="center"/>
        </w:trPr>
        <w:tc>
          <w:tcPr>
            <w:tcW w:w="5732" w:type="dxa"/>
            <w:gridSpan w:val="2"/>
            <w:shd w:val="clear" w:color="auto" w:fill="auto"/>
            <w:vAlign w:val="center"/>
          </w:tcPr>
          <w:p w14:paraId="46E42FAA" w14:textId="77777777" w:rsidR="00B41C04" w:rsidRPr="005707B1" w:rsidRDefault="00B41C04" w:rsidP="005C65AE">
            <w:pPr>
              <w:jc w:val="center"/>
              <w:rPr>
                <w:rFonts w:asciiTheme="minorHAnsi" w:hAnsiTheme="minorHAnsi" w:cstheme="minorHAnsi"/>
                <w:b/>
                <w:sz w:val="22"/>
                <w:szCs w:val="22"/>
              </w:rPr>
            </w:pPr>
            <w:r w:rsidRPr="005707B1">
              <w:rPr>
                <w:rFonts w:asciiTheme="minorHAnsi" w:hAnsiTheme="minorHAnsi" w:cstheme="minorHAnsi"/>
                <w:b/>
                <w:sz w:val="22"/>
                <w:szCs w:val="22"/>
              </w:rPr>
              <w:t>New Fabric Elements</w:t>
            </w:r>
          </w:p>
        </w:tc>
      </w:tr>
      <w:tr w:rsidR="00B41C04" w:rsidRPr="00A839A9" w14:paraId="1DD67FB5" w14:textId="77777777" w:rsidTr="005C65AE">
        <w:trPr>
          <w:trHeight w:val="209"/>
          <w:jc w:val="center"/>
        </w:trPr>
        <w:tc>
          <w:tcPr>
            <w:tcW w:w="2866" w:type="dxa"/>
            <w:vAlign w:val="center"/>
          </w:tcPr>
          <w:p w14:paraId="5815BA93" w14:textId="77777777" w:rsidR="00B41C04" w:rsidRPr="00A839A9" w:rsidRDefault="00B41C04" w:rsidP="005C65AE">
            <w:pPr>
              <w:jc w:val="center"/>
              <w:rPr>
                <w:rFonts w:asciiTheme="minorHAnsi" w:hAnsiTheme="minorHAnsi" w:cstheme="minorHAnsi"/>
                <w:sz w:val="22"/>
                <w:szCs w:val="22"/>
              </w:rPr>
            </w:pPr>
            <w:r>
              <w:rPr>
                <w:rFonts w:asciiTheme="minorHAnsi" w:hAnsiTheme="minorHAnsi" w:cstheme="minorHAnsi"/>
                <w:sz w:val="22"/>
                <w:szCs w:val="22"/>
              </w:rPr>
              <w:t>External walls</w:t>
            </w:r>
          </w:p>
        </w:tc>
        <w:tc>
          <w:tcPr>
            <w:tcW w:w="2866" w:type="dxa"/>
            <w:vAlign w:val="center"/>
          </w:tcPr>
          <w:p w14:paraId="54A37543" w14:textId="5AC56A68" w:rsidR="00B41C04" w:rsidRPr="00A839A9" w:rsidRDefault="00B41C04" w:rsidP="005C65AE">
            <w:pPr>
              <w:jc w:val="center"/>
              <w:rPr>
                <w:rFonts w:asciiTheme="minorHAnsi" w:hAnsiTheme="minorHAnsi" w:cstheme="minorHAnsi"/>
                <w:sz w:val="22"/>
                <w:szCs w:val="22"/>
              </w:rPr>
            </w:pPr>
            <w:r>
              <w:rPr>
                <w:rFonts w:asciiTheme="minorHAnsi" w:hAnsiTheme="minorHAnsi" w:cstheme="minorHAnsi"/>
                <w:sz w:val="22"/>
                <w:szCs w:val="22"/>
              </w:rPr>
              <w:t>0.</w:t>
            </w:r>
            <w:r w:rsidR="004039A8">
              <w:rPr>
                <w:rFonts w:asciiTheme="minorHAnsi" w:hAnsiTheme="minorHAnsi" w:cstheme="minorHAnsi"/>
                <w:sz w:val="22"/>
                <w:szCs w:val="22"/>
              </w:rPr>
              <w:t>1</w:t>
            </w:r>
            <w:r w:rsidR="00DD2F6D">
              <w:rPr>
                <w:rFonts w:asciiTheme="minorHAnsi" w:hAnsiTheme="minorHAnsi" w:cstheme="minorHAnsi"/>
                <w:sz w:val="22"/>
                <w:szCs w:val="22"/>
              </w:rPr>
              <w:t>7</w:t>
            </w:r>
            <w:r>
              <w:rPr>
                <w:rFonts w:asciiTheme="minorHAnsi" w:hAnsiTheme="minorHAnsi" w:cstheme="minorHAnsi"/>
                <w:sz w:val="22"/>
                <w:szCs w:val="22"/>
              </w:rPr>
              <w:t xml:space="preserve"> W/m2k</w:t>
            </w:r>
          </w:p>
        </w:tc>
      </w:tr>
      <w:tr w:rsidR="00B41C04" w:rsidRPr="00A839A9" w14:paraId="06DA0D48" w14:textId="77777777" w:rsidTr="005C65AE">
        <w:trPr>
          <w:trHeight w:val="209"/>
          <w:jc w:val="center"/>
        </w:trPr>
        <w:tc>
          <w:tcPr>
            <w:tcW w:w="2866" w:type="dxa"/>
            <w:vAlign w:val="center"/>
          </w:tcPr>
          <w:p w14:paraId="48EDF99A" w14:textId="77777777" w:rsidR="00B41C04" w:rsidRDefault="00B41C04" w:rsidP="005C65AE">
            <w:pPr>
              <w:jc w:val="center"/>
              <w:rPr>
                <w:rFonts w:asciiTheme="minorHAnsi" w:hAnsiTheme="minorHAnsi" w:cstheme="minorHAnsi"/>
                <w:sz w:val="22"/>
                <w:szCs w:val="22"/>
              </w:rPr>
            </w:pPr>
            <w:r>
              <w:rPr>
                <w:rFonts w:asciiTheme="minorHAnsi" w:hAnsiTheme="minorHAnsi" w:cstheme="minorHAnsi"/>
                <w:sz w:val="22"/>
                <w:szCs w:val="22"/>
              </w:rPr>
              <w:t>Ground Floor</w:t>
            </w:r>
          </w:p>
        </w:tc>
        <w:tc>
          <w:tcPr>
            <w:tcW w:w="2866" w:type="dxa"/>
            <w:vAlign w:val="center"/>
          </w:tcPr>
          <w:p w14:paraId="6C8D6149" w14:textId="74C85500" w:rsidR="00B41C04" w:rsidRDefault="00657350" w:rsidP="005C65AE">
            <w:pPr>
              <w:jc w:val="center"/>
              <w:rPr>
                <w:rFonts w:asciiTheme="minorHAnsi" w:hAnsiTheme="minorHAnsi" w:cstheme="minorHAnsi"/>
                <w:sz w:val="22"/>
                <w:szCs w:val="22"/>
              </w:rPr>
            </w:pPr>
            <w:r>
              <w:rPr>
                <w:rFonts w:asciiTheme="minorHAnsi" w:hAnsiTheme="minorHAnsi" w:cstheme="minorHAnsi"/>
                <w:sz w:val="22"/>
                <w:szCs w:val="22"/>
              </w:rPr>
              <w:t>0.1</w:t>
            </w:r>
            <w:r w:rsidR="00DD2F6D">
              <w:rPr>
                <w:rFonts w:asciiTheme="minorHAnsi" w:hAnsiTheme="minorHAnsi" w:cstheme="minorHAnsi"/>
                <w:sz w:val="22"/>
                <w:szCs w:val="22"/>
              </w:rPr>
              <w:t>6</w:t>
            </w:r>
            <w:r w:rsidR="00B41C04">
              <w:rPr>
                <w:rFonts w:asciiTheme="minorHAnsi" w:hAnsiTheme="minorHAnsi" w:cstheme="minorHAnsi"/>
                <w:sz w:val="22"/>
                <w:szCs w:val="22"/>
              </w:rPr>
              <w:t xml:space="preserve"> W/m2k</w:t>
            </w:r>
          </w:p>
        </w:tc>
      </w:tr>
      <w:tr w:rsidR="00B41C04" w:rsidRPr="00A839A9" w14:paraId="101CD45A" w14:textId="77777777" w:rsidTr="005C65AE">
        <w:trPr>
          <w:trHeight w:val="209"/>
          <w:jc w:val="center"/>
        </w:trPr>
        <w:tc>
          <w:tcPr>
            <w:tcW w:w="2866" w:type="dxa"/>
            <w:vAlign w:val="center"/>
          </w:tcPr>
          <w:p w14:paraId="763C3C06" w14:textId="77777777" w:rsidR="00B41C04" w:rsidRDefault="00B41C04" w:rsidP="005C65AE">
            <w:pPr>
              <w:jc w:val="center"/>
              <w:rPr>
                <w:rFonts w:asciiTheme="minorHAnsi" w:hAnsiTheme="minorHAnsi" w:cstheme="minorHAnsi"/>
                <w:sz w:val="22"/>
                <w:szCs w:val="22"/>
              </w:rPr>
            </w:pPr>
            <w:r>
              <w:rPr>
                <w:rFonts w:asciiTheme="minorHAnsi" w:hAnsiTheme="minorHAnsi" w:cstheme="minorHAnsi"/>
                <w:sz w:val="22"/>
                <w:szCs w:val="22"/>
              </w:rPr>
              <w:t>Roof</w:t>
            </w:r>
          </w:p>
        </w:tc>
        <w:tc>
          <w:tcPr>
            <w:tcW w:w="2866" w:type="dxa"/>
            <w:vAlign w:val="center"/>
          </w:tcPr>
          <w:p w14:paraId="7FD7AD35" w14:textId="3F565EBB" w:rsidR="00B41C04" w:rsidRDefault="00B41C04" w:rsidP="005C65AE">
            <w:pPr>
              <w:jc w:val="center"/>
              <w:rPr>
                <w:rFonts w:asciiTheme="minorHAnsi" w:hAnsiTheme="minorHAnsi" w:cstheme="minorHAnsi"/>
                <w:sz w:val="22"/>
                <w:szCs w:val="22"/>
              </w:rPr>
            </w:pPr>
            <w:r>
              <w:rPr>
                <w:rFonts w:asciiTheme="minorHAnsi" w:hAnsiTheme="minorHAnsi" w:cstheme="minorHAnsi"/>
                <w:sz w:val="22"/>
                <w:szCs w:val="22"/>
              </w:rPr>
              <w:t>0.</w:t>
            </w:r>
            <w:r w:rsidR="004039A8">
              <w:rPr>
                <w:rFonts w:asciiTheme="minorHAnsi" w:hAnsiTheme="minorHAnsi" w:cstheme="minorHAnsi"/>
                <w:sz w:val="22"/>
                <w:szCs w:val="22"/>
              </w:rPr>
              <w:t>09</w:t>
            </w:r>
            <w:r>
              <w:rPr>
                <w:rFonts w:asciiTheme="minorHAnsi" w:hAnsiTheme="minorHAnsi" w:cstheme="minorHAnsi"/>
                <w:sz w:val="22"/>
                <w:szCs w:val="22"/>
              </w:rPr>
              <w:t xml:space="preserve"> W/m2k</w:t>
            </w:r>
          </w:p>
        </w:tc>
      </w:tr>
      <w:tr w:rsidR="00B41C04" w:rsidRPr="00A839A9" w14:paraId="20F75C8B" w14:textId="77777777" w:rsidTr="005C65AE">
        <w:trPr>
          <w:trHeight w:val="209"/>
          <w:jc w:val="center"/>
        </w:trPr>
        <w:tc>
          <w:tcPr>
            <w:tcW w:w="2866" w:type="dxa"/>
            <w:vAlign w:val="center"/>
          </w:tcPr>
          <w:p w14:paraId="3D0B2B2E" w14:textId="77777777" w:rsidR="00B41C04" w:rsidRDefault="00DF191F" w:rsidP="005C65AE">
            <w:pPr>
              <w:jc w:val="center"/>
              <w:rPr>
                <w:rFonts w:asciiTheme="minorHAnsi" w:hAnsiTheme="minorHAnsi" w:cstheme="minorHAnsi"/>
                <w:sz w:val="22"/>
                <w:szCs w:val="22"/>
              </w:rPr>
            </w:pPr>
            <w:r>
              <w:rPr>
                <w:rFonts w:asciiTheme="minorHAnsi" w:hAnsiTheme="minorHAnsi" w:cstheme="minorHAnsi"/>
                <w:sz w:val="22"/>
                <w:szCs w:val="22"/>
              </w:rPr>
              <w:t xml:space="preserve">Entrance </w:t>
            </w:r>
            <w:r w:rsidR="00B41C04">
              <w:rPr>
                <w:rFonts w:asciiTheme="minorHAnsi" w:hAnsiTheme="minorHAnsi" w:cstheme="minorHAnsi"/>
                <w:sz w:val="22"/>
                <w:szCs w:val="22"/>
              </w:rPr>
              <w:t xml:space="preserve">Doors </w:t>
            </w:r>
          </w:p>
        </w:tc>
        <w:tc>
          <w:tcPr>
            <w:tcW w:w="2866" w:type="dxa"/>
            <w:vAlign w:val="center"/>
          </w:tcPr>
          <w:p w14:paraId="70845D2C" w14:textId="109C5267" w:rsidR="00B41C04" w:rsidRDefault="00B41C04" w:rsidP="005C65AE">
            <w:pPr>
              <w:jc w:val="center"/>
              <w:rPr>
                <w:rFonts w:asciiTheme="minorHAnsi" w:hAnsiTheme="minorHAnsi" w:cstheme="minorHAnsi"/>
                <w:sz w:val="22"/>
                <w:szCs w:val="22"/>
              </w:rPr>
            </w:pPr>
            <w:r>
              <w:rPr>
                <w:rFonts w:asciiTheme="minorHAnsi" w:hAnsiTheme="minorHAnsi" w:cstheme="minorHAnsi"/>
                <w:sz w:val="22"/>
                <w:szCs w:val="22"/>
              </w:rPr>
              <w:t>1.</w:t>
            </w:r>
            <w:r w:rsidR="00DD2F6D">
              <w:rPr>
                <w:rFonts w:asciiTheme="minorHAnsi" w:hAnsiTheme="minorHAnsi" w:cstheme="minorHAnsi"/>
                <w:sz w:val="22"/>
                <w:szCs w:val="22"/>
              </w:rPr>
              <w:t>4</w:t>
            </w:r>
            <w:r>
              <w:rPr>
                <w:rFonts w:asciiTheme="minorHAnsi" w:hAnsiTheme="minorHAnsi" w:cstheme="minorHAnsi"/>
                <w:sz w:val="22"/>
                <w:szCs w:val="22"/>
              </w:rPr>
              <w:t xml:space="preserve"> W/m2k </w:t>
            </w:r>
          </w:p>
        </w:tc>
      </w:tr>
      <w:tr w:rsidR="005707B1" w:rsidRPr="005707B1" w14:paraId="18958637" w14:textId="77777777" w:rsidTr="005707B1">
        <w:trPr>
          <w:trHeight w:val="209"/>
          <w:jc w:val="center"/>
        </w:trPr>
        <w:tc>
          <w:tcPr>
            <w:tcW w:w="5732" w:type="dxa"/>
            <w:gridSpan w:val="2"/>
            <w:shd w:val="clear" w:color="auto" w:fill="auto"/>
            <w:vAlign w:val="center"/>
          </w:tcPr>
          <w:p w14:paraId="4CA60834" w14:textId="77777777" w:rsidR="00B41C04" w:rsidRPr="005707B1" w:rsidRDefault="00B41C04" w:rsidP="005C65AE">
            <w:pPr>
              <w:jc w:val="center"/>
              <w:rPr>
                <w:rFonts w:asciiTheme="minorHAnsi" w:hAnsiTheme="minorHAnsi" w:cstheme="minorHAnsi"/>
                <w:b/>
                <w:sz w:val="22"/>
                <w:szCs w:val="22"/>
              </w:rPr>
            </w:pPr>
            <w:r w:rsidRPr="005707B1">
              <w:rPr>
                <w:rFonts w:asciiTheme="minorHAnsi" w:hAnsiTheme="minorHAnsi" w:cstheme="minorHAnsi"/>
                <w:b/>
                <w:sz w:val="22"/>
                <w:szCs w:val="22"/>
              </w:rPr>
              <w:t>New Glazing Parameters</w:t>
            </w:r>
          </w:p>
        </w:tc>
      </w:tr>
      <w:tr w:rsidR="00B41C04" w:rsidRPr="00A839A9" w14:paraId="4A3CD19D" w14:textId="77777777" w:rsidTr="005C65AE">
        <w:trPr>
          <w:trHeight w:val="209"/>
          <w:jc w:val="center"/>
        </w:trPr>
        <w:tc>
          <w:tcPr>
            <w:tcW w:w="2866" w:type="dxa"/>
            <w:vAlign w:val="center"/>
          </w:tcPr>
          <w:p w14:paraId="3B4A9EDB" w14:textId="77777777" w:rsidR="00B41C04" w:rsidRDefault="00B41C04" w:rsidP="005C65AE">
            <w:pPr>
              <w:jc w:val="center"/>
              <w:rPr>
                <w:rFonts w:asciiTheme="minorHAnsi" w:hAnsiTheme="minorHAnsi" w:cstheme="minorHAnsi"/>
                <w:sz w:val="22"/>
                <w:szCs w:val="22"/>
              </w:rPr>
            </w:pPr>
            <w:r>
              <w:rPr>
                <w:rFonts w:asciiTheme="minorHAnsi" w:hAnsiTheme="minorHAnsi" w:cstheme="minorHAnsi"/>
                <w:sz w:val="22"/>
                <w:szCs w:val="22"/>
              </w:rPr>
              <w:t xml:space="preserve">u-values </w:t>
            </w:r>
          </w:p>
        </w:tc>
        <w:tc>
          <w:tcPr>
            <w:tcW w:w="2866" w:type="dxa"/>
            <w:vAlign w:val="center"/>
          </w:tcPr>
          <w:p w14:paraId="38BD1E36" w14:textId="203B4B62" w:rsidR="00B41C04" w:rsidRDefault="00B41C04" w:rsidP="005C65AE">
            <w:pPr>
              <w:jc w:val="center"/>
              <w:rPr>
                <w:rFonts w:asciiTheme="minorHAnsi" w:hAnsiTheme="minorHAnsi" w:cstheme="minorHAnsi"/>
                <w:sz w:val="22"/>
                <w:szCs w:val="22"/>
              </w:rPr>
            </w:pPr>
            <w:r>
              <w:rPr>
                <w:rFonts w:asciiTheme="minorHAnsi" w:hAnsiTheme="minorHAnsi" w:cstheme="minorHAnsi"/>
                <w:sz w:val="22"/>
                <w:szCs w:val="22"/>
              </w:rPr>
              <w:t>1.</w:t>
            </w:r>
            <w:r w:rsidR="004039A8">
              <w:rPr>
                <w:rFonts w:asciiTheme="minorHAnsi" w:hAnsiTheme="minorHAnsi" w:cstheme="minorHAnsi"/>
                <w:sz w:val="22"/>
                <w:szCs w:val="22"/>
              </w:rPr>
              <w:t>4</w:t>
            </w:r>
            <w:r>
              <w:rPr>
                <w:rFonts w:asciiTheme="minorHAnsi" w:hAnsiTheme="minorHAnsi" w:cstheme="minorHAnsi"/>
                <w:sz w:val="22"/>
                <w:szCs w:val="22"/>
              </w:rPr>
              <w:t xml:space="preserve"> W/m2k</w:t>
            </w:r>
          </w:p>
        </w:tc>
      </w:tr>
      <w:tr w:rsidR="00B41C04" w:rsidRPr="00A839A9" w14:paraId="61DF6911" w14:textId="77777777" w:rsidTr="00DF191F">
        <w:trPr>
          <w:trHeight w:val="370"/>
          <w:jc w:val="center"/>
        </w:trPr>
        <w:tc>
          <w:tcPr>
            <w:tcW w:w="2866" w:type="dxa"/>
            <w:vAlign w:val="center"/>
          </w:tcPr>
          <w:p w14:paraId="1A423F44" w14:textId="77777777" w:rsidR="00B41C04" w:rsidRDefault="00B41C04" w:rsidP="005C65AE">
            <w:pPr>
              <w:jc w:val="center"/>
              <w:rPr>
                <w:rFonts w:asciiTheme="minorHAnsi" w:hAnsiTheme="minorHAnsi" w:cstheme="minorHAnsi"/>
                <w:sz w:val="22"/>
                <w:szCs w:val="22"/>
              </w:rPr>
            </w:pPr>
            <w:r>
              <w:rPr>
                <w:rFonts w:asciiTheme="minorHAnsi" w:hAnsiTheme="minorHAnsi" w:cstheme="minorHAnsi"/>
                <w:sz w:val="22"/>
                <w:szCs w:val="22"/>
              </w:rPr>
              <w:t>g-value</w:t>
            </w:r>
          </w:p>
        </w:tc>
        <w:tc>
          <w:tcPr>
            <w:tcW w:w="2866" w:type="dxa"/>
            <w:vAlign w:val="center"/>
          </w:tcPr>
          <w:p w14:paraId="7A81D543" w14:textId="73180E7B" w:rsidR="00B41C04" w:rsidRDefault="007315EF" w:rsidP="005C65AE">
            <w:pPr>
              <w:jc w:val="center"/>
              <w:rPr>
                <w:rFonts w:asciiTheme="minorHAnsi" w:hAnsiTheme="minorHAnsi" w:cstheme="minorHAnsi"/>
                <w:sz w:val="22"/>
                <w:szCs w:val="22"/>
              </w:rPr>
            </w:pPr>
            <w:r>
              <w:rPr>
                <w:rFonts w:asciiTheme="minorHAnsi" w:hAnsiTheme="minorHAnsi" w:cstheme="minorHAnsi"/>
                <w:sz w:val="22"/>
                <w:szCs w:val="22"/>
              </w:rPr>
              <w:t>0.</w:t>
            </w:r>
            <w:r w:rsidR="00DF191F">
              <w:rPr>
                <w:rFonts w:asciiTheme="minorHAnsi" w:hAnsiTheme="minorHAnsi" w:cstheme="minorHAnsi"/>
                <w:sz w:val="22"/>
                <w:szCs w:val="22"/>
              </w:rPr>
              <w:t>7</w:t>
            </w:r>
            <w:r w:rsidR="00DD2F6D">
              <w:rPr>
                <w:rFonts w:asciiTheme="minorHAnsi" w:hAnsiTheme="minorHAnsi" w:cstheme="minorHAnsi"/>
                <w:sz w:val="22"/>
                <w:szCs w:val="22"/>
              </w:rPr>
              <w:t>5</w:t>
            </w:r>
          </w:p>
        </w:tc>
      </w:tr>
    </w:tbl>
    <w:p w14:paraId="52CEA996" w14:textId="77777777" w:rsidR="00B41C04" w:rsidRDefault="00B41C04">
      <w:pPr>
        <w:pStyle w:val="Default"/>
        <w:rPr>
          <w:lang w:val="en-US"/>
        </w:rPr>
      </w:pPr>
    </w:p>
    <w:p w14:paraId="5D4CB55C" w14:textId="77777777" w:rsidR="00B41C04" w:rsidRPr="00B41C04" w:rsidRDefault="00B41C04" w:rsidP="00B41C04">
      <w:pPr>
        <w:pStyle w:val="Default"/>
      </w:pPr>
      <w:r>
        <w:tab/>
        <w:t xml:space="preserve">Other, active design measures included are also summarised below: </w:t>
      </w:r>
    </w:p>
    <w:p w14:paraId="62D66A67" w14:textId="77777777" w:rsidR="003C22C9" w:rsidRDefault="00847AF4" w:rsidP="006913CB">
      <w:pPr>
        <w:pStyle w:val="Default"/>
        <w:numPr>
          <w:ilvl w:val="0"/>
          <w:numId w:val="18"/>
        </w:numPr>
      </w:pPr>
      <w:r>
        <w:rPr>
          <w:lang w:val="en-US"/>
        </w:rPr>
        <w:t xml:space="preserve">Design Air Permeability of </w:t>
      </w:r>
      <w:r w:rsidR="00DF191F">
        <w:rPr>
          <w:lang w:val="en-US"/>
        </w:rPr>
        <w:t>5</w:t>
      </w:r>
      <w:r>
        <w:rPr>
          <w:lang w:val="en-US"/>
        </w:rPr>
        <w:t>m3/h</w:t>
      </w:r>
      <w:r w:rsidR="00B41C04">
        <w:rPr>
          <w:lang w:val="en-US"/>
        </w:rPr>
        <w:t>/</w:t>
      </w:r>
      <w:r>
        <w:rPr>
          <w:lang w:val="en-US"/>
        </w:rPr>
        <w:t>m2</w:t>
      </w:r>
      <w:r w:rsidR="00B41C04">
        <w:rPr>
          <w:lang w:val="en-US"/>
        </w:rPr>
        <w:t xml:space="preserve"> @ 50Pa</w:t>
      </w:r>
    </w:p>
    <w:p w14:paraId="56BCE568" w14:textId="77777777" w:rsidR="003C22C9" w:rsidRDefault="00847AF4" w:rsidP="006913CB">
      <w:pPr>
        <w:pStyle w:val="Default"/>
        <w:numPr>
          <w:ilvl w:val="0"/>
          <w:numId w:val="18"/>
        </w:numPr>
      </w:pPr>
      <w:r>
        <w:rPr>
          <w:lang w:val="en-US"/>
        </w:rPr>
        <w:t xml:space="preserve">100% low energy LED light fittings. </w:t>
      </w:r>
    </w:p>
    <w:p w14:paraId="27B9A784" w14:textId="3F56D31B" w:rsidR="00207B37" w:rsidRPr="00207B37" w:rsidRDefault="00847AF4" w:rsidP="007C5779">
      <w:pPr>
        <w:pStyle w:val="Default"/>
        <w:numPr>
          <w:ilvl w:val="0"/>
          <w:numId w:val="18"/>
        </w:numPr>
      </w:pPr>
      <w:r w:rsidRPr="00207B37">
        <w:rPr>
          <w:lang w:val="en-US"/>
        </w:rPr>
        <w:t>High efficie</w:t>
      </w:r>
      <w:r w:rsidR="006913CB" w:rsidRPr="00207B37">
        <w:rPr>
          <w:lang w:val="en-US"/>
        </w:rPr>
        <w:t xml:space="preserve">ncy, low NOx </w:t>
      </w:r>
      <w:r w:rsidR="00956148" w:rsidRPr="00207B37">
        <w:rPr>
          <w:lang w:val="en-US"/>
        </w:rPr>
        <w:t>gas fired</w:t>
      </w:r>
      <w:r w:rsidR="00207B37" w:rsidRPr="00207B37">
        <w:rPr>
          <w:lang w:val="en-US"/>
        </w:rPr>
        <w:t xml:space="preserve"> combi </w:t>
      </w:r>
      <w:r w:rsidR="00956148" w:rsidRPr="00207B37">
        <w:rPr>
          <w:lang w:val="en-US"/>
        </w:rPr>
        <w:t>boiler for</w:t>
      </w:r>
      <w:r w:rsidR="00207B37" w:rsidRPr="00207B37">
        <w:rPr>
          <w:lang w:val="en-US"/>
        </w:rPr>
        <w:t xml:space="preserve"> space heating &amp;</w:t>
      </w:r>
      <w:r w:rsidR="00956148" w:rsidRPr="00207B37">
        <w:rPr>
          <w:lang w:val="en-US"/>
        </w:rPr>
        <w:t xml:space="preserve"> hot water</w:t>
      </w:r>
      <w:r w:rsidR="00207B37">
        <w:rPr>
          <w:lang w:val="en-US"/>
        </w:rPr>
        <w:t xml:space="preserve">, minimum seasonal efficiency of </w:t>
      </w:r>
      <w:r w:rsidR="003966EB">
        <w:rPr>
          <w:lang w:val="en-US"/>
        </w:rPr>
        <w:t>87</w:t>
      </w:r>
      <w:r w:rsidR="00207B37">
        <w:rPr>
          <w:lang w:val="en-US"/>
        </w:rPr>
        <w:t xml:space="preserve">%. </w:t>
      </w:r>
    </w:p>
    <w:p w14:paraId="185C398A" w14:textId="1C1E94FB" w:rsidR="00207B37" w:rsidRPr="00207B37" w:rsidRDefault="00207B37" w:rsidP="007C5779">
      <w:pPr>
        <w:pStyle w:val="Default"/>
        <w:numPr>
          <w:ilvl w:val="0"/>
          <w:numId w:val="18"/>
        </w:numPr>
      </w:pPr>
      <w:r>
        <w:t xml:space="preserve">Space heating controls comprising of </w:t>
      </w:r>
      <w:r w:rsidR="003966EB">
        <w:t xml:space="preserve">programmer, room thermostat and TRVs. </w:t>
      </w:r>
    </w:p>
    <w:p w14:paraId="25181AA8" w14:textId="77777777" w:rsidR="003C22C9" w:rsidRDefault="003C22C9">
      <w:pPr>
        <w:pStyle w:val="Default"/>
        <w:rPr>
          <w:color w:val="FF2600"/>
        </w:rPr>
      </w:pPr>
    </w:p>
    <w:p w14:paraId="28C3695D" w14:textId="77777777" w:rsidR="00B35805" w:rsidRDefault="00B35805">
      <w:pPr>
        <w:pStyle w:val="Default"/>
        <w:rPr>
          <w:color w:val="FF2600"/>
        </w:rPr>
      </w:pPr>
    </w:p>
    <w:p w14:paraId="6BADCF74" w14:textId="77777777" w:rsidR="00B35805" w:rsidRDefault="00B35805">
      <w:pPr>
        <w:pStyle w:val="Default"/>
        <w:rPr>
          <w:color w:val="FF2600"/>
        </w:rPr>
      </w:pPr>
    </w:p>
    <w:p w14:paraId="05FC779A" w14:textId="5C462EE2" w:rsidR="00B35805" w:rsidRDefault="00B35805">
      <w:pPr>
        <w:pStyle w:val="Default"/>
        <w:rPr>
          <w:color w:val="FF2600"/>
        </w:rPr>
      </w:pPr>
    </w:p>
    <w:p w14:paraId="0B817BCE" w14:textId="77777777" w:rsidR="003966EB" w:rsidRDefault="003966EB">
      <w:pPr>
        <w:pStyle w:val="Default"/>
        <w:rPr>
          <w:color w:val="FF2600"/>
        </w:rPr>
      </w:pPr>
    </w:p>
    <w:p w14:paraId="4184F622" w14:textId="77777777" w:rsidR="003C22C9" w:rsidRDefault="009E2079" w:rsidP="000105AE">
      <w:pPr>
        <w:pStyle w:val="Default"/>
        <w:rPr>
          <w:sz w:val="24"/>
          <w:szCs w:val="24"/>
        </w:rPr>
      </w:pPr>
      <w:r>
        <w:rPr>
          <w:sz w:val="24"/>
          <w:szCs w:val="24"/>
          <w:lang w:val="en-US"/>
        </w:rPr>
        <w:lastRenderedPageBreak/>
        <w:t xml:space="preserve"> </w:t>
      </w:r>
      <w:r>
        <w:rPr>
          <w:sz w:val="24"/>
          <w:szCs w:val="24"/>
          <w:lang w:val="en-US"/>
        </w:rPr>
        <w:tab/>
      </w:r>
      <w:r w:rsidR="00847AF4">
        <w:rPr>
          <w:sz w:val="24"/>
          <w:szCs w:val="24"/>
          <w:lang w:val="de-DE"/>
        </w:rPr>
        <w:t>UNREGULATED EMISSIONS SAVINGS</w:t>
      </w:r>
    </w:p>
    <w:p w14:paraId="24E3501E" w14:textId="77777777" w:rsidR="003C22C9" w:rsidRDefault="00847AF4">
      <w:pPr>
        <w:pStyle w:val="Default"/>
      </w:pPr>
      <w:r>
        <w:rPr>
          <w:lang w:val="en-US"/>
        </w:rPr>
        <w:t>5</w:t>
      </w:r>
      <w:r w:rsidR="009E2079">
        <w:rPr>
          <w:lang w:val="en-US"/>
        </w:rPr>
        <w:t>.10</w:t>
      </w:r>
      <w:r>
        <w:rPr>
          <w:lang w:val="en-US"/>
        </w:rPr>
        <w:tab/>
        <w:t>The incorporation of energy efficiency measures proposed for the whole development is expected to meet 2013 Building Regulations and be comparable in performance with the baseline building. Whilst there will be measures included to reduce unregulated emissions (</w:t>
      </w:r>
      <w:proofErr w:type="gramStart"/>
      <w:r>
        <w:rPr>
          <w:lang w:val="en-US"/>
        </w:rPr>
        <w:t>e.g.</w:t>
      </w:r>
      <w:proofErr w:type="gramEnd"/>
      <w:r>
        <w:rPr>
          <w:lang w:val="en-US"/>
        </w:rPr>
        <w:t xml:space="preserve"> provision of Building User Guides and energy metering, which will encourage occupants to </w:t>
      </w:r>
      <w:proofErr w:type="spellStart"/>
      <w:r>
        <w:rPr>
          <w:lang w:val="en-US"/>
        </w:rPr>
        <w:t>utilise</w:t>
      </w:r>
      <w:proofErr w:type="spellEnd"/>
      <w:r>
        <w:rPr>
          <w:lang w:val="en-US"/>
        </w:rPr>
        <w:t xml:space="preserve"> the building in a sustainable and energy efficient manner), a quantitative assessment on the reduction of unregulated emissions is less technically rigorous than the assessment of regulated emissions.</w:t>
      </w:r>
    </w:p>
    <w:p w14:paraId="3F85599A" w14:textId="77777777" w:rsidR="003C22C9" w:rsidRDefault="003C22C9">
      <w:pPr>
        <w:pStyle w:val="Default"/>
      </w:pPr>
    </w:p>
    <w:p w14:paraId="79CB4674" w14:textId="77777777" w:rsidR="003C22C9" w:rsidRDefault="00847AF4">
      <w:pPr>
        <w:pStyle w:val="Default"/>
        <w:ind w:firstLine="0"/>
        <w:rPr>
          <w:sz w:val="24"/>
          <w:szCs w:val="24"/>
        </w:rPr>
      </w:pPr>
      <w:r>
        <w:rPr>
          <w:sz w:val="24"/>
          <w:szCs w:val="24"/>
          <w:lang w:val="en-US"/>
        </w:rPr>
        <w:t>EMBODIED CARBON DIOXIDE</w:t>
      </w:r>
    </w:p>
    <w:p w14:paraId="065AC45C" w14:textId="77777777" w:rsidR="003C22C9" w:rsidRDefault="00847AF4">
      <w:pPr>
        <w:pStyle w:val="Default"/>
      </w:pPr>
      <w:r>
        <w:rPr>
          <w:lang w:val="en-US"/>
        </w:rPr>
        <w:t>5.</w:t>
      </w:r>
      <w:r w:rsidR="009E2079">
        <w:rPr>
          <w:lang w:val="en-US"/>
        </w:rPr>
        <w:t>11</w:t>
      </w:r>
      <w:r>
        <w:rPr>
          <w:lang w:val="en-US"/>
        </w:rPr>
        <w:tab/>
        <w:t xml:space="preserve">For the new major building elements the design team </w:t>
      </w:r>
      <w:proofErr w:type="gramStart"/>
      <w:r>
        <w:rPr>
          <w:lang w:val="en-US"/>
        </w:rPr>
        <w:t>have the opportunity to</w:t>
      </w:r>
      <w:proofErr w:type="gramEnd"/>
      <w:r>
        <w:rPr>
          <w:lang w:val="en-US"/>
        </w:rPr>
        <w:t xml:space="preserve"> select materials with low embodied energy. Using the Green Guide to Specification</w:t>
      </w:r>
      <w:r>
        <w:rPr>
          <w:vertAlign w:val="superscript"/>
        </w:rPr>
        <w:t>9</w:t>
      </w:r>
      <w:r>
        <w:rPr>
          <w:lang w:val="en-US"/>
        </w:rPr>
        <w:t xml:space="preserve">, the team will </w:t>
      </w:r>
      <w:proofErr w:type="spellStart"/>
      <w:r>
        <w:rPr>
          <w:lang w:val="en-US"/>
        </w:rPr>
        <w:t>prioritise</w:t>
      </w:r>
      <w:proofErr w:type="spellEnd"/>
      <w:r>
        <w:rPr>
          <w:lang w:val="en-US"/>
        </w:rPr>
        <w:t xml:space="preserve"> the selection of materials given high ratings, though the guide does not assess embodied carbon dioxide performance alone.</w:t>
      </w:r>
    </w:p>
    <w:p w14:paraId="632BA668" w14:textId="77777777" w:rsidR="003C22C9" w:rsidRDefault="00847AF4">
      <w:pPr>
        <w:pStyle w:val="Default"/>
      </w:pPr>
      <w:r>
        <w:t xml:space="preserve"> </w:t>
      </w:r>
    </w:p>
    <w:p w14:paraId="1C9BCB56" w14:textId="77777777" w:rsidR="003C22C9" w:rsidRDefault="00847AF4">
      <w:pPr>
        <w:pStyle w:val="Default"/>
        <w:ind w:firstLine="0"/>
        <w:jc w:val="left"/>
        <w:rPr>
          <w:sz w:val="24"/>
          <w:szCs w:val="24"/>
        </w:rPr>
      </w:pPr>
      <w:r>
        <w:rPr>
          <w:sz w:val="24"/>
          <w:szCs w:val="24"/>
        </w:rPr>
        <w:t>‘</w:t>
      </w:r>
      <w:r>
        <w:rPr>
          <w:sz w:val="24"/>
          <w:szCs w:val="24"/>
          <w:lang w:val="pt-PT"/>
        </w:rPr>
        <w:t>BE LEAN</w:t>
      </w:r>
      <w:r>
        <w:rPr>
          <w:sz w:val="24"/>
          <w:szCs w:val="24"/>
        </w:rPr>
        <w:t xml:space="preserve">’ </w:t>
      </w:r>
      <w:r>
        <w:rPr>
          <w:sz w:val="24"/>
          <w:szCs w:val="24"/>
          <w:lang w:val="de-DE"/>
        </w:rPr>
        <w:t xml:space="preserve">EMISSIONS PERFORMANCE </w:t>
      </w:r>
    </w:p>
    <w:p w14:paraId="1FD456C5" w14:textId="77777777" w:rsidR="003C22C9" w:rsidRDefault="00847AF4">
      <w:pPr>
        <w:pStyle w:val="Default"/>
      </w:pPr>
      <w:r>
        <w:rPr>
          <w:lang w:val="en-US"/>
        </w:rPr>
        <w:t>5.12</w:t>
      </w:r>
      <w:r>
        <w:rPr>
          <w:lang w:val="en-US"/>
        </w:rPr>
        <w:tab/>
        <w:t>The energy modelling of the proposed development indicates that by incorporating the features described in Section 5.</w:t>
      </w:r>
      <w:r w:rsidR="00B35805">
        <w:rPr>
          <w:lang w:val="en-US"/>
        </w:rPr>
        <w:t>4</w:t>
      </w:r>
      <w:r>
        <w:rPr>
          <w:lang w:val="en-US"/>
        </w:rPr>
        <w:t>, the following performance can be achieved:</w:t>
      </w:r>
    </w:p>
    <w:p w14:paraId="301183B5" w14:textId="77777777" w:rsidR="003C22C9" w:rsidRDefault="00847AF4">
      <w:pPr>
        <w:pStyle w:val="Default"/>
      </w:pPr>
      <w:r>
        <w:t xml:space="preserve"> </w:t>
      </w:r>
    </w:p>
    <w:p w14:paraId="2AF67CD0" w14:textId="04F96152" w:rsidR="003C22C9" w:rsidRDefault="00070C3E" w:rsidP="002A4D88">
      <w:pPr>
        <w:pStyle w:val="Default"/>
        <w:ind w:left="0" w:firstLine="0"/>
        <w:jc w:val="center"/>
        <w:rPr>
          <w:b/>
          <w:bCs/>
          <w:lang w:val="en-US"/>
        </w:rPr>
      </w:pPr>
      <w:r>
        <w:rPr>
          <w:b/>
          <w:bCs/>
          <w:lang w:val="en-US"/>
        </w:rPr>
        <w:t xml:space="preserve">‘Be Lean’ </w:t>
      </w:r>
      <w:r w:rsidR="00847AF4">
        <w:rPr>
          <w:b/>
          <w:bCs/>
          <w:lang w:val="en-US"/>
        </w:rPr>
        <w:t xml:space="preserve">Building Emission Ratings for </w:t>
      </w:r>
      <w:proofErr w:type="spellStart"/>
      <w:r w:rsidR="00082290">
        <w:rPr>
          <w:b/>
          <w:bCs/>
          <w:lang w:val="en-US"/>
        </w:rPr>
        <w:t>Maygrove</w:t>
      </w:r>
      <w:proofErr w:type="spellEnd"/>
      <w:r w:rsidR="00082290">
        <w:rPr>
          <w:b/>
          <w:bCs/>
          <w:lang w:val="en-US"/>
        </w:rPr>
        <w:t xml:space="preserve"> </w:t>
      </w:r>
      <w:proofErr w:type="gramStart"/>
      <w:r w:rsidR="00082290">
        <w:rPr>
          <w:b/>
          <w:bCs/>
          <w:lang w:val="en-US"/>
        </w:rPr>
        <w:t xml:space="preserve">road </w:t>
      </w:r>
      <w:r w:rsidR="00847AF4">
        <w:rPr>
          <w:b/>
          <w:bCs/>
          <w:lang w:val="en-US"/>
        </w:rPr>
        <w:t>:</w:t>
      </w:r>
      <w:proofErr w:type="gramEnd"/>
    </w:p>
    <w:p w14:paraId="4D1F0B08" w14:textId="77777777" w:rsidR="00DA2579" w:rsidRDefault="00DA2579">
      <w:pPr>
        <w:pStyle w:val="Default"/>
        <w:ind w:firstLine="0"/>
        <w:rPr>
          <w:b/>
          <w:bCs/>
          <w:lang w:val="en-US"/>
        </w:rPr>
      </w:pPr>
    </w:p>
    <w:tbl>
      <w:tblPr>
        <w:tblStyle w:val="TableGrid3"/>
        <w:tblW w:w="0" w:type="auto"/>
        <w:jc w:val="center"/>
        <w:tblLook w:val="04A0" w:firstRow="1" w:lastRow="0" w:firstColumn="1" w:lastColumn="0" w:noHBand="0" w:noVBand="1"/>
      </w:tblPr>
      <w:tblGrid>
        <w:gridCol w:w="2965"/>
      </w:tblGrid>
      <w:tr w:rsidR="00240349" w:rsidRPr="00AE3B63" w14:paraId="348A190A" w14:textId="77777777" w:rsidTr="00AE3B63">
        <w:trPr>
          <w:trHeight w:val="799"/>
          <w:jc w:val="center"/>
        </w:trPr>
        <w:tc>
          <w:tcPr>
            <w:tcW w:w="2965" w:type="dxa"/>
            <w:shd w:val="clear" w:color="auto" w:fill="auto"/>
            <w:vAlign w:val="center"/>
          </w:tcPr>
          <w:p w14:paraId="3AF71915" w14:textId="77777777" w:rsidR="00240349" w:rsidRPr="00AE3B63" w:rsidRDefault="00240349" w:rsidP="005C65AE">
            <w:pPr>
              <w:jc w:val="center"/>
              <w:rPr>
                <w:rFonts w:asciiTheme="minorHAnsi" w:hAnsiTheme="minorHAnsi" w:cstheme="minorHAnsi"/>
                <w:b/>
                <w:sz w:val="22"/>
                <w:szCs w:val="22"/>
              </w:rPr>
            </w:pPr>
            <w:r w:rsidRPr="00AE3B63">
              <w:rPr>
                <w:rFonts w:asciiTheme="minorHAnsi" w:hAnsiTheme="minorHAnsi" w:cstheme="minorHAnsi"/>
                <w:b/>
                <w:sz w:val="22"/>
                <w:szCs w:val="22"/>
              </w:rPr>
              <w:t>Annual CO</w:t>
            </w:r>
            <w:r w:rsidRPr="00AE3B63">
              <w:rPr>
                <w:rFonts w:asciiTheme="minorHAnsi" w:hAnsiTheme="minorHAnsi" w:cstheme="minorHAnsi"/>
                <w:b/>
                <w:sz w:val="22"/>
                <w:szCs w:val="22"/>
                <w:vertAlign w:val="subscript"/>
              </w:rPr>
              <w:t>2</w:t>
            </w:r>
            <w:r w:rsidRPr="00AE3B63">
              <w:rPr>
                <w:rFonts w:asciiTheme="minorHAnsi" w:hAnsiTheme="minorHAnsi" w:cstheme="minorHAnsi"/>
                <w:b/>
                <w:sz w:val="22"/>
                <w:szCs w:val="22"/>
              </w:rPr>
              <w:t xml:space="preserve"> Emissions (tonnesCO</w:t>
            </w:r>
            <w:r w:rsidRPr="00AE3B63">
              <w:rPr>
                <w:rFonts w:asciiTheme="minorHAnsi" w:hAnsiTheme="minorHAnsi" w:cstheme="minorHAnsi"/>
                <w:b/>
                <w:sz w:val="22"/>
                <w:szCs w:val="22"/>
                <w:vertAlign w:val="subscript"/>
              </w:rPr>
              <w:t>2</w:t>
            </w:r>
            <w:r w:rsidRPr="00AE3B63">
              <w:rPr>
                <w:rFonts w:asciiTheme="minorHAnsi" w:hAnsiTheme="minorHAnsi" w:cstheme="minorHAnsi"/>
                <w:b/>
                <w:sz w:val="22"/>
                <w:szCs w:val="22"/>
              </w:rPr>
              <w:t>/</w:t>
            </w:r>
            <w:proofErr w:type="spellStart"/>
            <w:r w:rsidRPr="00AE3B63">
              <w:rPr>
                <w:rFonts w:asciiTheme="minorHAnsi" w:hAnsiTheme="minorHAnsi" w:cstheme="minorHAnsi"/>
                <w:b/>
                <w:sz w:val="22"/>
                <w:szCs w:val="22"/>
              </w:rPr>
              <w:t>yr</w:t>
            </w:r>
            <w:proofErr w:type="spellEnd"/>
            <w:r w:rsidRPr="00AE3B63">
              <w:rPr>
                <w:rFonts w:asciiTheme="minorHAnsi" w:hAnsiTheme="minorHAnsi" w:cstheme="minorHAnsi"/>
                <w:b/>
                <w:sz w:val="22"/>
                <w:szCs w:val="22"/>
              </w:rPr>
              <w:t>)</w:t>
            </w:r>
          </w:p>
        </w:tc>
      </w:tr>
      <w:tr w:rsidR="00240349" w:rsidRPr="006F41EC" w14:paraId="6BAA726C" w14:textId="77777777" w:rsidTr="00DA2579">
        <w:trPr>
          <w:trHeight w:val="390"/>
          <w:jc w:val="center"/>
        </w:trPr>
        <w:tc>
          <w:tcPr>
            <w:tcW w:w="2965" w:type="dxa"/>
            <w:vAlign w:val="center"/>
          </w:tcPr>
          <w:p w14:paraId="30EF6961" w14:textId="4F57DF19" w:rsidR="00240349" w:rsidRPr="006F41EC" w:rsidRDefault="003966EB" w:rsidP="005C65AE">
            <w:pPr>
              <w:jc w:val="center"/>
              <w:rPr>
                <w:rFonts w:asciiTheme="minorHAnsi" w:hAnsiTheme="minorHAnsi" w:cstheme="minorHAnsi"/>
                <w:sz w:val="22"/>
                <w:szCs w:val="22"/>
              </w:rPr>
            </w:pPr>
            <w:r>
              <w:rPr>
                <w:rFonts w:asciiTheme="minorHAnsi" w:hAnsiTheme="minorHAnsi" w:cstheme="minorHAnsi"/>
                <w:sz w:val="22"/>
                <w:szCs w:val="22"/>
              </w:rPr>
              <w:t>8.31</w:t>
            </w:r>
          </w:p>
        </w:tc>
      </w:tr>
    </w:tbl>
    <w:p w14:paraId="04F47E51" w14:textId="77777777" w:rsidR="003C22C9" w:rsidRDefault="003C22C9">
      <w:pPr>
        <w:pStyle w:val="Default"/>
        <w:jc w:val="center"/>
        <w:rPr>
          <w:b/>
          <w:bCs/>
        </w:rPr>
      </w:pPr>
    </w:p>
    <w:p w14:paraId="329E9E40" w14:textId="77777777" w:rsidR="00DA2579" w:rsidRDefault="00DA2579">
      <w:pPr>
        <w:pStyle w:val="Default"/>
      </w:pPr>
    </w:p>
    <w:p w14:paraId="0A29D944" w14:textId="0AB324EF" w:rsidR="003C22C9" w:rsidRDefault="00847AF4" w:rsidP="002A4D88">
      <w:pPr>
        <w:pStyle w:val="Default"/>
        <w:ind w:left="1440"/>
        <w:jc w:val="center"/>
        <w:rPr>
          <w:b/>
          <w:bCs/>
          <w:lang w:val="en-US"/>
        </w:rPr>
      </w:pPr>
      <w:r w:rsidRPr="002A4D88">
        <w:rPr>
          <w:b/>
          <w:bCs/>
          <w:lang w:val="en-US"/>
        </w:rPr>
        <w:t>A</w:t>
      </w:r>
      <w:r>
        <w:rPr>
          <w:b/>
          <w:bCs/>
          <w:lang w:val="en-US"/>
        </w:rPr>
        <w:t xml:space="preserve">nnual Regulated/Unregulated Emissions for </w:t>
      </w:r>
      <w:proofErr w:type="spellStart"/>
      <w:r w:rsidR="00082290">
        <w:rPr>
          <w:b/>
          <w:bCs/>
          <w:lang w:val="en-US"/>
        </w:rPr>
        <w:t>Maygrove</w:t>
      </w:r>
      <w:proofErr w:type="spellEnd"/>
      <w:r w:rsidR="00082290">
        <w:rPr>
          <w:b/>
          <w:bCs/>
          <w:lang w:val="en-US"/>
        </w:rPr>
        <w:t xml:space="preserve"> Road</w:t>
      </w:r>
      <w:r>
        <w:rPr>
          <w:b/>
          <w:bCs/>
          <w:lang w:val="en-US"/>
        </w:rPr>
        <w:t>:</w:t>
      </w:r>
    </w:p>
    <w:p w14:paraId="0280BB48" w14:textId="77777777" w:rsidR="00DA2579" w:rsidRDefault="00DA2579">
      <w:pPr>
        <w:pStyle w:val="Default"/>
        <w:rPr>
          <w:b/>
          <w:bCs/>
        </w:rPr>
      </w:pPr>
    </w:p>
    <w:tbl>
      <w:tblPr>
        <w:tblStyle w:val="TableGrid1"/>
        <w:tblW w:w="0" w:type="auto"/>
        <w:jc w:val="center"/>
        <w:tblLook w:val="04A0" w:firstRow="1" w:lastRow="0" w:firstColumn="1" w:lastColumn="0" w:noHBand="0" w:noVBand="1"/>
      </w:tblPr>
      <w:tblGrid>
        <w:gridCol w:w="2840"/>
        <w:gridCol w:w="1817"/>
        <w:gridCol w:w="2861"/>
      </w:tblGrid>
      <w:tr w:rsidR="00DA2579" w:rsidRPr="00792502" w14:paraId="189FA62F" w14:textId="77777777" w:rsidTr="00AE3B63">
        <w:trPr>
          <w:trHeight w:val="350"/>
          <w:jc w:val="center"/>
        </w:trPr>
        <w:tc>
          <w:tcPr>
            <w:tcW w:w="2840" w:type="dxa"/>
            <w:vMerge w:val="restart"/>
            <w:tcBorders>
              <w:top w:val="single" w:sz="4" w:space="0" w:color="auto"/>
              <w:left w:val="single" w:sz="4" w:space="0" w:color="auto"/>
            </w:tcBorders>
            <w:shd w:val="clear" w:color="auto" w:fill="706B6E"/>
            <w:vAlign w:val="center"/>
          </w:tcPr>
          <w:p w14:paraId="1F9D67C4" w14:textId="77777777" w:rsidR="00DA2579" w:rsidRPr="00792502" w:rsidRDefault="00DA2579" w:rsidP="005C65AE">
            <w:pPr>
              <w:jc w:val="both"/>
              <w:rPr>
                <w:rFonts w:asciiTheme="minorHAnsi" w:hAnsiTheme="minorHAnsi" w:cstheme="minorHAnsi"/>
                <w:sz w:val="22"/>
                <w:szCs w:val="22"/>
              </w:rPr>
            </w:pPr>
          </w:p>
        </w:tc>
        <w:tc>
          <w:tcPr>
            <w:tcW w:w="4678" w:type="dxa"/>
            <w:gridSpan w:val="2"/>
            <w:shd w:val="clear" w:color="auto" w:fill="auto"/>
            <w:vAlign w:val="center"/>
          </w:tcPr>
          <w:p w14:paraId="74A27CEE" w14:textId="77777777" w:rsidR="00DA2579" w:rsidRPr="00AE3B63" w:rsidRDefault="00DA2579" w:rsidP="005C65AE">
            <w:pPr>
              <w:jc w:val="center"/>
              <w:rPr>
                <w:rFonts w:asciiTheme="minorHAnsi" w:hAnsiTheme="minorHAnsi" w:cstheme="minorHAnsi"/>
                <w:b/>
                <w:sz w:val="22"/>
                <w:szCs w:val="22"/>
              </w:rPr>
            </w:pPr>
            <w:r w:rsidRPr="00AE3B63">
              <w:rPr>
                <w:rFonts w:asciiTheme="minorHAnsi" w:hAnsiTheme="minorHAnsi" w:cstheme="minorHAnsi"/>
                <w:b/>
                <w:sz w:val="22"/>
                <w:szCs w:val="22"/>
              </w:rPr>
              <w:t>CO</w:t>
            </w:r>
            <w:r w:rsidRPr="00AE3B63">
              <w:rPr>
                <w:rFonts w:asciiTheme="minorHAnsi" w:hAnsiTheme="minorHAnsi" w:cstheme="minorHAnsi"/>
                <w:b/>
                <w:sz w:val="22"/>
                <w:szCs w:val="22"/>
                <w:vertAlign w:val="subscript"/>
              </w:rPr>
              <w:t>2</w:t>
            </w:r>
            <w:r w:rsidRPr="00AE3B63">
              <w:rPr>
                <w:rFonts w:asciiTheme="minorHAnsi" w:hAnsiTheme="minorHAnsi" w:cstheme="minorHAnsi"/>
                <w:b/>
                <w:sz w:val="22"/>
                <w:szCs w:val="22"/>
              </w:rPr>
              <w:t xml:space="preserve"> Emissions (tonnes/annum)</w:t>
            </w:r>
          </w:p>
        </w:tc>
      </w:tr>
      <w:tr w:rsidR="00DA2579" w:rsidRPr="00792502" w14:paraId="688A1095" w14:textId="77777777" w:rsidTr="00AE3B63">
        <w:trPr>
          <w:trHeight w:val="186"/>
          <w:jc w:val="center"/>
        </w:trPr>
        <w:tc>
          <w:tcPr>
            <w:tcW w:w="2840" w:type="dxa"/>
            <w:vMerge/>
            <w:tcBorders>
              <w:left w:val="single" w:sz="4" w:space="0" w:color="auto"/>
            </w:tcBorders>
            <w:shd w:val="clear" w:color="auto" w:fill="706B6E"/>
            <w:vAlign w:val="center"/>
          </w:tcPr>
          <w:p w14:paraId="3FB705F5" w14:textId="77777777" w:rsidR="00DA2579" w:rsidRPr="00792502" w:rsidRDefault="00DA2579" w:rsidP="005C65AE">
            <w:pPr>
              <w:jc w:val="both"/>
              <w:rPr>
                <w:rFonts w:asciiTheme="minorHAnsi" w:hAnsiTheme="minorHAnsi" w:cstheme="minorHAnsi"/>
                <w:sz w:val="22"/>
                <w:szCs w:val="22"/>
              </w:rPr>
            </w:pPr>
          </w:p>
        </w:tc>
        <w:tc>
          <w:tcPr>
            <w:tcW w:w="1817" w:type="dxa"/>
            <w:shd w:val="clear" w:color="auto" w:fill="auto"/>
            <w:vAlign w:val="center"/>
          </w:tcPr>
          <w:p w14:paraId="6B6C5A46" w14:textId="77777777" w:rsidR="00DA2579" w:rsidRPr="00AE3B63" w:rsidRDefault="00DA2579" w:rsidP="005C65AE">
            <w:pPr>
              <w:jc w:val="center"/>
              <w:rPr>
                <w:rFonts w:asciiTheme="minorHAnsi" w:hAnsiTheme="minorHAnsi" w:cstheme="minorHAnsi"/>
                <w:b/>
                <w:sz w:val="22"/>
                <w:szCs w:val="22"/>
              </w:rPr>
            </w:pPr>
            <w:r w:rsidRPr="00AE3B63">
              <w:rPr>
                <w:rFonts w:asciiTheme="minorHAnsi" w:hAnsiTheme="minorHAnsi" w:cstheme="minorHAnsi"/>
                <w:b/>
                <w:sz w:val="22"/>
                <w:szCs w:val="22"/>
              </w:rPr>
              <w:t>Regulated</w:t>
            </w:r>
          </w:p>
        </w:tc>
        <w:tc>
          <w:tcPr>
            <w:tcW w:w="2861" w:type="dxa"/>
            <w:shd w:val="clear" w:color="auto" w:fill="auto"/>
            <w:vAlign w:val="center"/>
          </w:tcPr>
          <w:p w14:paraId="36D01A34" w14:textId="77777777" w:rsidR="00DA2579" w:rsidRPr="00AE3B63" w:rsidRDefault="00DA2579" w:rsidP="005C65AE">
            <w:pPr>
              <w:jc w:val="center"/>
              <w:rPr>
                <w:rFonts w:asciiTheme="minorHAnsi" w:hAnsiTheme="minorHAnsi" w:cstheme="minorHAnsi"/>
                <w:b/>
                <w:sz w:val="22"/>
                <w:szCs w:val="22"/>
              </w:rPr>
            </w:pPr>
            <w:r w:rsidRPr="00AE3B63">
              <w:rPr>
                <w:rFonts w:asciiTheme="minorHAnsi" w:hAnsiTheme="minorHAnsi" w:cstheme="minorHAnsi"/>
                <w:b/>
                <w:sz w:val="22"/>
                <w:szCs w:val="22"/>
              </w:rPr>
              <w:t>Unregulated</w:t>
            </w:r>
          </w:p>
        </w:tc>
      </w:tr>
      <w:tr w:rsidR="00DA2579" w:rsidRPr="00792502" w14:paraId="25911E1C" w14:textId="77777777" w:rsidTr="005C65AE">
        <w:trPr>
          <w:trHeight w:val="350"/>
          <w:jc w:val="center"/>
        </w:trPr>
        <w:tc>
          <w:tcPr>
            <w:tcW w:w="2840" w:type="dxa"/>
            <w:vAlign w:val="center"/>
          </w:tcPr>
          <w:p w14:paraId="13AB2037" w14:textId="77777777" w:rsidR="00DA2579" w:rsidRPr="00792502" w:rsidRDefault="00DA2579" w:rsidP="005C65AE">
            <w:pPr>
              <w:rPr>
                <w:rFonts w:asciiTheme="minorHAnsi" w:hAnsiTheme="minorHAnsi" w:cstheme="minorHAnsi"/>
                <w:sz w:val="22"/>
                <w:szCs w:val="22"/>
              </w:rPr>
            </w:pPr>
            <w:r w:rsidRPr="00792502">
              <w:rPr>
                <w:rFonts w:asciiTheme="minorHAnsi" w:hAnsiTheme="minorHAnsi" w:cstheme="minorHAnsi"/>
                <w:sz w:val="22"/>
                <w:szCs w:val="22"/>
              </w:rPr>
              <w:t>Building Regulations 2013 Part L Compliant Project</w:t>
            </w:r>
          </w:p>
        </w:tc>
        <w:tc>
          <w:tcPr>
            <w:tcW w:w="1817" w:type="dxa"/>
            <w:vAlign w:val="center"/>
          </w:tcPr>
          <w:p w14:paraId="26FF89AA" w14:textId="0A2F615D" w:rsidR="00DA2579" w:rsidRPr="00792502" w:rsidRDefault="003966EB" w:rsidP="005C65AE">
            <w:pPr>
              <w:jc w:val="center"/>
              <w:rPr>
                <w:rFonts w:asciiTheme="minorHAnsi" w:hAnsiTheme="minorHAnsi" w:cstheme="minorHAnsi"/>
                <w:sz w:val="22"/>
                <w:szCs w:val="22"/>
              </w:rPr>
            </w:pPr>
            <w:r>
              <w:rPr>
                <w:rFonts w:asciiTheme="minorHAnsi" w:hAnsiTheme="minorHAnsi" w:cstheme="minorHAnsi"/>
                <w:sz w:val="22"/>
                <w:szCs w:val="22"/>
              </w:rPr>
              <w:t>10.78</w:t>
            </w:r>
          </w:p>
        </w:tc>
        <w:tc>
          <w:tcPr>
            <w:tcW w:w="2861" w:type="dxa"/>
            <w:vAlign w:val="center"/>
          </w:tcPr>
          <w:p w14:paraId="345114A0" w14:textId="77777777" w:rsidR="00DA2579" w:rsidRPr="00792502" w:rsidRDefault="00240349" w:rsidP="005C65AE">
            <w:pPr>
              <w:jc w:val="center"/>
              <w:rPr>
                <w:rFonts w:asciiTheme="minorHAnsi" w:hAnsiTheme="minorHAnsi" w:cstheme="minorHAnsi"/>
                <w:sz w:val="22"/>
                <w:szCs w:val="22"/>
              </w:rPr>
            </w:pPr>
            <w:r>
              <w:rPr>
                <w:rFonts w:asciiTheme="minorHAnsi" w:hAnsiTheme="minorHAnsi" w:cstheme="minorHAnsi"/>
                <w:sz w:val="22"/>
                <w:szCs w:val="22"/>
              </w:rPr>
              <w:t>2.62</w:t>
            </w:r>
          </w:p>
        </w:tc>
      </w:tr>
      <w:tr w:rsidR="00DA2579" w:rsidRPr="00792502" w14:paraId="6E523CC1" w14:textId="77777777" w:rsidTr="005C65AE">
        <w:trPr>
          <w:trHeight w:val="350"/>
          <w:jc w:val="center"/>
        </w:trPr>
        <w:tc>
          <w:tcPr>
            <w:tcW w:w="2840" w:type="dxa"/>
            <w:vAlign w:val="center"/>
          </w:tcPr>
          <w:p w14:paraId="4B3CE5CC" w14:textId="77777777" w:rsidR="00DA2579" w:rsidRPr="00792502" w:rsidRDefault="00DA2579" w:rsidP="005C65AE">
            <w:pPr>
              <w:jc w:val="both"/>
              <w:rPr>
                <w:rFonts w:asciiTheme="minorHAnsi" w:hAnsiTheme="minorHAnsi" w:cstheme="minorHAnsi"/>
                <w:sz w:val="22"/>
                <w:szCs w:val="22"/>
              </w:rPr>
            </w:pPr>
            <w:r w:rsidRPr="00792502">
              <w:rPr>
                <w:rFonts w:asciiTheme="minorHAnsi" w:hAnsiTheme="minorHAnsi" w:cstheme="minorHAnsi"/>
                <w:sz w:val="22"/>
                <w:szCs w:val="22"/>
              </w:rPr>
              <w:t xml:space="preserve">‘Be Lean’ </w:t>
            </w:r>
          </w:p>
        </w:tc>
        <w:tc>
          <w:tcPr>
            <w:tcW w:w="1817" w:type="dxa"/>
            <w:vAlign w:val="center"/>
          </w:tcPr>
          <w:p w14:paraId="7A48A3D7" w14:textId="6AEB2C88" w:rsidR="00DA2579" w:rsidRPr="00792502" w:rsidRDefault="003966EB" w:rsidP="005C65AE">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4FC25C0D" w14:textId="77777777" w:rsidR="00DA2579" w:rsidRPr="00792502" w:rsidRDefault="00240349" w:rsidP="005C65AE">
            <w:pPr>
              <w:jc w:val="center"/>
              <w:rPr>
                <w:rFonts w:asciiTheme="minorHAnsi" w:hAnsiTheme="minorHAnsi" w:cstheme="minorHAnsi"/>
                <w:sz w:val="22"/>
                <w:szCs w:val="22"/>
              </w:rPr>
            </w:pPr>
            <w:r>
              <w:rPr>
                <w:rFonts w:asciiTheme="minorHAnsi" w:hAnsiTheme="minorHAnsi" w:cstheme="minorHAnsi"/>
                <w:sz w:val="22"/>
                <w:szCs w:val="22"/>
              </w:rPr>
              <w:t>2.62</w:t>
            </w:r>
          </w:p>
        </w:tc>
      </w:tr>
    </w:tbl>
    <w:p w14:paraId="63F1B6BE" w14:textId="77777777" w:rsidR="003C22C9" w:rsidRDefault="003C22C9">
      <w:pPr>
        <w:pStyle w:val="Default"/>
      </w:pPr>
    </w:p>
    <w:p w14:paraId="4AFC6FF7" w14:textId="77777777" w:rsidR="0072671F" w:rsidRDefault="0072671F">
      <w:pPr>
        <w:pStyle w:val="Default"/>
      </w:pPr>
    </w:p>
    <w:p w14:paraId="51602182" w14:textId="321024B7" w:rsidR="003C22C9" w:rsidRDefault="00070C3E" w:rsidP="002A4D88">
      <w:pPr>
        <w:pStyle w:val="Default"/>
        <w:ind w:firstLine="0"/>
        <w:jc w:val="center"/>
        <w:rPr>
          <w:b/>
          <w:bCs/>
          <w:lang w:val="en-US"/>
        </w:rPr>
      </w:pPr>
      <w:r>
        <w:rPr>
          <w:b/>
          <w:bCs/>
          <w:lang w:val="en-US"/>
        </w:rPr>
        <w:t xml:space="preserve">‘Be Lean’ </w:t>
      </w:r>
      <w:r w:rsidR="00847AF4">
        <w:rPr>
          <w:b/>
          <w:bCs/>
          <w:lang w:val="en-US"/>
        </w:rPr>
        <w:t xml:space="preserve">Emission Savings for </w:t>
      </w:r>
      <w:proofErr w:type="spellStart"/>
      <w:r w:rsidR="00082290">
        <w:rPr>
          <w:b/>
          <w:bCs/>
          <w:lang w:val="en-US"/>
        </w:rPr>
        <w:t>Maygrove</w:t>
      </w:r>
      <w:proofErr w:type="spellEnd"/>
      <w:r w:rsidR="00082290">
        <w:rPr>
          <w:b/>
          <w:bCs/>
          <w:lang w:val="en-US"/>
        </w:rPr>
        <w:t xml:space="preserve"> Road</w:t>
      </w:r>
      <w:r w:rsidR="00847AF4">
        <w:rPr>
          <w:b/>
          <w:bCs/>
          <w:lang w:val="en-US"/>
        </w:rPr>
        <w:t>:</w:t>
      </w:r>
    </w:p>
    <w:p w14:paraId="6FF25CB4" w14:textId="77777777" w:rsidR="0072671F" w:rsidRDefault="0072671F">
      <w:pPr>
        <w:pStyle w:val="Default"/>
        <w:ind w:firstLine="0"/>
        <w:rPr>
          <w:b/>
          <w:bCs/>
        </w:rPr>
      </w:pPr>
    </w:p>
    <w:tbl>
      <w:tblPr>
        <w:tblStyle w:val="TableGrid"/>
        <w:tblW w:w="0" w:type="auto"/>
        <w:jc w:val="center"/>
        <w:tblLook w:val="04A0" w:firstRow="1" w:lastRow="0" w:firstColumn="1" w:lastColumn="0" w:noHBand="0" w:noVBand="1"/>
      </w:tblPr>
      <w:tblGrid>
        <w:gridCol w:w="1980"/>
        <w:gridCol w:w="2367"/>
        <w:gridCol w:w="2927"/>
      </w:tblGrid>
      <w:tr w:rsidR="00DA2579" w:rsidRPr="00845C81" w14:paraId="1A5D9ABA" w14:textId="77777777" w:rsidTr="00AE3B63">
        <w:trPr>
          <w:trHeight w:val="340"/>
          <w:jc w:val="center"/>
        </w:trPr>
        <w:tc>
          <w:tcPr>
            <w:tcW w:w="1980" w:type="dxa"/>
            <w:vMerge w:val="restart"/>
            <w:tcBorders>
              <w:top w:val="single" w:sz="4" w:space="0" w:color="auto"/>
              <w:left w:val="single" w:sz="4" w:space="0" w:color="auto"/>
            </w:tcBorders>
            <w:shd w:val="clear" w:color="auto" w:fill="706B6E"/>
            <w:vAlign w:val="center"/>
          </w:tcPr>
          <w:p w14:paraId="3FDB557C" w14:textId="77777777" w:rsidR="00DA2579" w:rsidRPr="00845C81" w:rsidRDefault="00DA2579" w:rsidP="005C65AE">
            <w:pPr>
              <w:pStyle w:val="Default"/>
              <w:jc w:val="center"/>
              <w:rPr>
                <w:b/>
                <w:bCs/>
              </w:rPr>
            </w:pPr>
          </w:p>
        </w:tc>
        <w:tc>
          <w:tcPr>
            <w:tcW w:w="5294" w:type="dxa"/>
            <w:gridSpan w:val="2"/>
            <w:shd w:val="clear" w:color="auto" w:fill="auto"/>
            <w:vAlign w:val="center"/>
          </w:tcPr>
          <w:p w14:paraId="5C6B45B2" w14:textId="77777777" w:rsidR="00DA2579" w:rsidRPr="00AE3B63" w:rsidRDefault="00DA2579" w:rsidP="005C65AE">
            <w:pPr>
              <w:pStyle w:val="Default"/>
              <w:jc w:val="center"/>
              <w:rPr>
                <w:b/>
                <w:bCs/>
                <w:color w:val="auto"/>
              </w:rPr>
            </w:pPr>
            <w:r w:rsidRPr="00AE3B63">
              <w:rPr>
                <w:b/>
                <w:bCs/>
                <w:color w:val="auto"/>
              </w:rPr>
              <w:t>Regulated CO</w:t>
            </w:r>
            <w:r w:rsidRPr="00AE3B63">
              <w:rPr>
                <w:b/>
                <w:bCs/>
                <w:color w:val="auto"/>
                <w:vertAlign w:val="subscript"/>
              </w:rPr>
              <w:t>2</w:t>
            </w:r>
            <w:r w:rsidRPr="00AE3B63">
              <w:rPr>
                <w:b/>
                <w:bCs/>
                <w:color w:val="auto"/>
              </w:rPr>
              <w:t xml:space="preserve"> Savings</w:t>
            </w:r>
          </w:p>
        </w:tc>
      </w:tr>
      <w:tr w:rsidR="00DA2579" w:rsidRPr="00845C81" w14:paraId="345612E2" w14:textId="77777777" w:rsidTr="00AE3B63">
        <w:trPr>
          <w:trHeight w:val="179"/>
          <w:jc w:val="center"/>
        </w:trPr>
        <w:tc>
          <w:tcPr>
            <w:tcW w:w="1980" w:type="dxa"/>
            <w:vMerge/>
            <w:tcBorders>
              <w:left w:val="single" w:sz="4" w:space="0" w:color="auto"/>
            </w:tcBorders>
            <w:shd w:val="clear" w:color="auto" w:fill="706B6E"/>
            <w:vAlign w:val="center"/>
          </w:tcPr>
          <w:p w14:paraId="14059BFA" w14:textId="77777777" w:rsidR="00DA2579" w:rsidRPr="00845C81" w:rsidRDefault="00DA2579" w:rsidP="005C65AE">
            <w:pPr>
              <w:pStyle w:val="Default"/>
              <w:jc w:val="center"/>
              <w:rPr>
                <w:b/>
                <w:bCs/>
              </w:rPr>
            </w:pPr>
          </w:p>
        </w:tc>
        <w:tc>
          <w:tcPr>
            <w:tcW w:w="2367" w:type="dxa"/>
            <w:shd w:val="clear" w:color="auto" w:fill="auto"/>
            <w:vAlign w:val="center"/>
          </w:tcPr>
          <w:p w14:paraId="363D8775" w14:textId="77777777" w:rsidR="00DA2579" w:rsidRPr="00AE3B63" w:rsidRDefault="00DA2579" w:rsidP="005C65AE">
            <w:pPr>
              <w:pStyle w:val="Default"/>
              <w:jc w:val="center"/>
              <w:rPr>
                <w:b/>
                <w:bCs/>
                <w:color w:val="auto"/>
              </w:rPr>
            </w:pPr>
            <w:r w:rsidRPr="00AE3B63">
              <w:rPr>
                <w:b/>
                <w:bCs/>
                <w:color w:val="auto"/>
              </w:rPr>
              <w:t>Tonnes CO</w:t>
            </w:r>
            <w:r w:rsidRPr="00AE3B63">
              <w:rPr>
                <w:b/>
                <w:bCs/>
                <w:color w:val="auto"/>
                <w:vertAlign w:val="subscript"/>
              </w:rPr>
              <w:t>2</w:t>
            </w:r>
            <w:r w:rsidRPr="00AE3B63">
              <w:rPr>
                <w:b/>
                <w:bCs/>
                <w:color w:val="auto"/>
              </w:rPr>
              <w:t>/annum</w:t>
            </w:r>
          </w:p>
        </w:tc>
        <w:tc>
          <w:tcPr>
            <w:tcW w:w="2927" w:type="dxa"/>
            <w:shd w:val="clear" w:color="auto" w:fill="auto"/>
            <w:vAlign w:val="center"/>
          </w:tcPr>
          <w:p w14:paraId="718271D6" w14:textId="77777777" w:rsidR="00DA2579" w:rsidRPr="00AE3B63" w:rsidRDefault="00DA2579" w:rsidP="005C65AE">
            <w:pPr>
              <w:pStyle w:val="Default"/>
              <w:jc w:val="center"/>
              <w:rPr>
                <w:b/>
                <w:bCs/>
                <w:color w:val="auto"/>
              </w:rPr>
            </w:pPr>
            <w:r w:rsidRPr="00AE3B63">
              <w:rPr>
                <w:b/>
                <w:bCs/>
                <w:color w:val="auto"/>
              </w:rPr>
              <w:t>Percentage Savings (%)</w:t>
            </w:r>
          </w:p>
        </w:tc>
      </w:tr>
      <w:tr w:rsidR="00DA2579" w:rsidRPr="00845C81" w14:paraId="63C81E57" w14:textId="77777777" w:rsidTr="005C65AE">
        <w:trPr>
          <w:trHeight w:val="340"/>
          <w:jc w:val="center"/>
        </w:trPr>
        <w:tc>
          <w:tcPr>
            <w:tcW w:w="1980" w:type="dxa"/>
            <w:vAlign w:val="center"/>
          </w:tcPr>
          <w:p w14:paraId="651F308E" w14:textId="77777777" w:rsidR="00DA2579" w:rsidRPr="00792502" w:rsidRDefault="00DA2579" w:rsidP="005C65AE">
            <w:pPr>
              <w:pStyle w:val="Default"/>
              <w:jc w:val="center"/>
              <w:rPr>
                <w:bCs/>
              </w:rPr>
            </w:pPr>
            <w:r w:rsidRPr="00792502">
              <w:rPr>
                <w:bCs/>
              </w:rPr>
              <w:t xml:space="preserve">‘Be Lean’ </w:t>
            </w:r>
          </w:p>
        </w:tc>
        <w:tc>
          <w:tcPr>
            <w:tcW w:w="2367" w:type="dxa"/>
            <w:vAlign w:val="center"/>
          </w:tcPr>
          <w:p w14:paraId="7896AA39" w14:textId="1973DB7A" w:rsidR="00DA2579" w:rsidRPr="00792502" w:rsidRDefault="003966EB" w:rsidP="005C65AE">
            <w:pPr>
              <w:pStyle w:val="Default"/>
              <w:jc w:val="center"/>
              <w:rPr>
                <w:bCs/>
              </w:rPr>
            </w:pPr>
            <w:r>
              <w:rPr>
                <w:bCs/>
              </w:rPr>
              <w:t>2.47</w:t>
            </w:r>
          </w:p>
        </w:tc>
        <w:tc>
          <w:tcPr>
            <w:tcW w:w="2927" w:type="dxa"/>
            <w:vAlign w:val="center"/>
          </w:tcPr>
          <w:p w14:paraId="470D4976" w14:textId="70731039" w:rsidR="00DA2579" w:rsidRPr="00792502" w:rsidRDefault="003966EB" w:rsidP="005C65AE">
            <w:pPr>
              <w:pStyle w:val="Default"/>
              <w:jc w:val="center"/>
              <w:rPr>
                <w:bCs/>
              </w:rPr>
            </w:pPr>
            <w:r>
              <w:rPr>
                <w:bCs/>
              </w:rPr>
              <w:t>22.88</w:t>
            </w:r>
          </w:p>
        </w:tc>
      </w:tr>
    </w:tbl>
    <w:p w14:paraId="0F40CDB8" w14:textId="77777777" w:rsidR="0068645C" w:rsidRDefault="0068645C">
      <w:pPr>
        <w:pStyle w:val="Heading"/>
      </w:pPr>
    </w:p>
    <w:p w14:paraId="4420C4B7" w14:textId="77777777" w:rsidR="0068645C" w:rsidRDefault="0068645C" w:rsidP="0068645C">
      <w:pPr>
        <w:pStyle w:val="Body"/>
      </w:pPr>
    </w:p>
    <w:p w14:paraId="38277526" w14:textId="77777777" w:rsidR="0068645C" w:rsidRPr="0068645C" w:rsidRDefault="0068645C" w:rsidP="0068645C">
      <w:pPr>
        <w:pStyle w:val="Body"/>
      </w:pPr>
    </w:p>
    <w:p w14:paraId="5CC61662" w14:textId="77777777" w:rsidR="0068645C" w:rsidRDefault="0068645C">
      <w:pPr>
        <w:pStyle w:val="Heading"/>
      </w:pPr>
    </w:p>
    <w:p w14:paraId="365596CD" w14:textId="77777777" w:rsidR="003C22C9" w:rsidRDefault="00847AF4">
      <w:pPr>
        <w:pStyle w:val="Heading"/>
      </w:pPr>
      <w:r>
        <w:t>6.0</w:t>
      </w:r>
      <w:r>
        <w:tab/>
        <w:t>‘</w:t>
      </w:r>
      <w:r>
        <w:rPr>
          <w:lang w:val="pt-PT"/>
        </w:rPr>
        <w:t>BE CLEAN</w:t>
      </w:r>
      <w:r>
        <w:t>’ - SUPPLYING ENERGY EFFICIENTLY</w:t>
      </w:r>
    </w:p>
    <w:p w14:paraId="0C871137" w14:textId="77777777" w:rsidR="003C22C9" w:rsidRDefault="003C22C9">
      <w:pPr>
        <w:pStyle w:val="Default"/>
      </w:pPr>
    </w:p>
    <w:p w14:paraId="34AC1D2F" w14:textId="77777777" w:rsidR="003C22C9" w:rsidRDefault="00847AF4">
      <w:pPr>
        <w:pStyle w:val="Default"/>
        <w:ind w:firstLine="0"/>
        <w:rPr>
          <w:sz w:val="24"/>
          <w:szCs w:val="24"/>
        </w:rPr>
      </w:pPr>
      <w:r>
        <w:rPr>
          <w:sz w:val="24"/>
          <w:szCs w:val="24"/>
          <w:lang w:val="de-DE"/>
        </w:rPr>
        <w:t>DECENTRALISED ENERGY NETWORK</w:t>
      </w:r>
    </w:p>
    <w:p w14:paraId="49E86260" w14:textId="77777777" w:rsidR="003C22C9" w:rsidRDefault="00847AF4">
      <w:pPr>
        <w:pStyle w:val="Default"/>
      </w:pPr>
      <w:r>
        <w:rPr>
          <w:lang w:val="en-US"/>
        </w:rPr>
        <w:t>6.1</w:t>
      </w:r>
      <w:r>
        <w:rPr>
          <w:lang w:val="en-US"/>
        </w:rPr>
        <w:tab/>
        <w:t>In response to the second tier of the Energy Hierarchy a preliminary investigation into the adjacent heat loads and infrastructure has been undertaken.</w:t>
      </w:r>
    </w:p>
    <w:p w14:paraId="7312CF98" w14:textId="77777777" w:rsidR="003C22C9" w:rsidRDefault="003C22C9">
      <w:pPr>
        <w:pStyle w:val="Default"/>
      </w:pPr>
    </w:p>
    <w:p w14:paraId="33B2E870" w14:textId="77777777" w:rsidR="003C22C9" w:rsidRDefault="00847AF4">
      <w:pPr>
        <w:pStyle w:val="Default"/>
      </w:pPr>
      <w:r>
        <w:rPr>
          <w:lang w:val="en-US"/>
        </w:rPr>
        <w:t>6.2</w:t>
      </w:r>
      <w:r>
        <w:rPr>
          <w:lang w:val="en-US"/>
        </w:rPr>
        <w:tab/>
        <w:t>Using the mapping system developed by the London Development Agency</w:t>
      </w:r>
      <w:r>
        <w:rPr>
          <w:vertAlign w:val="superscript"/>
        </w:rPr>
        <w:t>10</w:t>
      </w:r>
      <w:r>
        <w:rPr>
          <w:lang w:val="en-US"/>
        </w:rPr>
        <w:t xml:space="preserve"> (LDA), an investigation into the potential for connection to an existing or proposed scheme was undertaken, as shown in below.</w:t>
      </w:r>
    </w:p>
    <w:p w14:paraId="718BF204" w14:textId="77777777" w:rsidR="00810269" w:rsidRDefault="00810269">
      <w:pPr>
        <w:pStyle w:val="Default"/>
        <w:ind w:firstLine="0"/>
        <w:rPr>
          <w:lang w:val="en-US"/>
        </w:rPr>
      </w:pPr>
    </w:p>
    <w:p w14:paraId="20D081C9" w14:textId="77777777" w:rsidR="003C22C9" w:rsidRDefault="00847AF4">
      <w:pPr>
        <w:pStyle w:val="Default"/>
        <w:ind w:firstLine="0"/>
        <w:rPr>
          <w:lang w:val="en-US"/>
        </w:rPr>
      </w:pPr>
      <w:r>
        <w:rPr>
          <w:lang w:val="en-US"/>
        </w:rPr>
        <w:t xml:space="preserve">London Heat Map for the Application Site and surrounding areas: </w:t>
      </w:r>
    </w:p>
    <w:p w14:paraId="7A0FB915" w14:textId="77777777" w:rsidR="00CE362E" w:rsidRDefault="00CE362E">
      <w:pPr>
        <w:pStyle w:val="Default"/>
        <w:ind w:firstLine="0"/>
        <w:rPr>
          <w:lang w:val="en-US"/>
        </w:rPr>
      </w:pPr>
    </w:p>
    <w:p w14:paraId="483C5C41" w14:textId="70975ABE" w:rsidR="00CE362E" w:rsidRDefault="00082290">
      <w:pPr>
        <w:pStyle w:val="Default"/>
        <w:ind w:firstLine="0"/>
        <w:rPr>
          <w:lang w:val="en-US"/>
        </w:rPr>
      </w:pPr>
      <w:r>
        <w:rPr>
          <w:noProof/>
        </w:rPr>
        <w:drawing>
          <wp:inline distT="0" distB="0" distL="0" distR="0" wp14:anchorId="79812F1E" wp14:editId="4E3DCACB">
            <wp:extent cx="5342033" cy="466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882" t="43136" r="27542" b="7819"/>
                    <a:stretch/>
                  </pic:blipFill>
                  <pic:spPr bwMode="auto">
                    <a:xfrm>
                      <a:off x="0" y="0"/>
                      <a:ext cx="5342033" cy="4667250"/>
                    </a:xfrm>
                    <a:prstGeom prst="rect">
                      <a:avLst/>
                    </a:prstGeom>
                    <a:ln>
                      <a:noFill/>
                    </a:ln>
                    <a:extLst>
                      <a:ext uri="{53640926-AAD7-44D8-BBD7-CCE9431645EC}">
                        <a14:shadowObscured xmlns:a14="http://schemas.microsoft.com/office/drawing/2010/main"/>
                      </a:ext>
                    </a:extLst>
                  </pic:spPr>
                </pic:pic>
              </a:graphicData>
            </a:graphic>
          </wp:inline>
        </w:drawing>
      </w:r>
    </w:p>
    <w:p w14:paraId="4EAC0CBE" w14:textId="77777777" w:rsidR="00CE362E" w:rsidRDefault="00CE362E">
      <w:pPr>
        <w:pStyle w:val="Default"/>
        <w:ind w:firstLine="0"/>
        <w:rPr>
          <w:lang w:val="en-US"/>
        </w:rPr>
      </w:pPr>
    </w:p>
    <w:p w14:paraId="3971BAC7" w14:textId="77777777" w:rsidR="00CE362E" w:rsidRDefault="00CE362E">
      <w:pPr>
        <w:pStyle w:val="Default"/>
        <w:ind w:firstLine="0"/>
        <w:rPr>
          <w:lang w:val="en-US"/>
        </w:rPr>
      </w:pPr>
    </w:p>
    <w:p w14:paraId="0BD94F5D" w14:textId="6EDE0EAC" w:rsidR="003C22C9" w:rsidRDefault="00847AF4">
      <w:pPr>
        <w:pStyle w:val="Default"/>
      </w:pPr>
      <w:r>
        <w:rPr>
          <w:lang w:val="en-US"/>
        </w:rPr>
        <w:t xml:space="preserve">6.3 </w:t>
      </w:r>
      <w:r>
        <w:rPr>
          <w:lang w:val="en-US"/>
        </w:rPr>
        <w:tab/>
        <w:t xml:space="preserve">From the heat map above the proposed development is shown located in an area of moderately </w:t>
      </w:r>
      <w:r w:rsidR="00810269">
        <w:rPr>
          <w:lang w:val="en-US"/>
        </w:rPr>
        <w:t xml:space="preserve">high </w:t>
      </w:r>
      <w:r>
        <w:rPr>
          <w:lang w:val="en-US"/>
        </w:rPr>
        <w:t xml:space="preserve">heat demand, with no proposed or existing heat networks in the area. It is therefore currently not feasible to consider connection to an existing district heating network. </w:t>
      </w:r>
      <w:proofErr w:type="gramStart"/>
      <w:r w:rsidR="005D6E79">
        <w:t>However</w:t>
      </w:r>
      <w:proofErr w:type="gramEnd"/>
      <w:r w:rsidR="005D6E79">
        <w:t xml:space="preserve"> a</w:t>
      </w:r>
      <w:r w:rsidR="005D6E79" w:rsidRPr="005D6E79">
        <w:t xml:space="preserve"> scheme of</w:t>
      </w:r>
      <w:r w:rsidR="00810269">
        <w:t xml:space="preserve"> </w:t>
      </w:r>
      <w:r w:rsidR="00082290">
        <w:t>four</w:t>
      </w:r>
      <w:r w:rsidR="005D6E79" w:rsidRPr="005D6E79">
        <w:t xml:space="preserve"> new dwellings is also considered to be too small to justify a communal heat network. For these reasons, a communal heat network has been deemed unfeasible for </w:t>
      </w:r>
      <w:proofErr w:type="spellStart"/>
      <w:r w:rsidR="00082290">
        <w:t>Maygrove</w:t>
      </w:r>
      <w:proofErr w:type="spellEnd"/>
      <w:r w:rsidR="00082290">
        <w:t xml:space="preserve"> Road</w:t>
      </w:r>
      <w:r w:rsidR="005D6E79" w:rsidRPr="005D6E79">
        <w:t>.</w:t>
      </w:r>
    </w:p>
    <w:p w14:paraId="17078D15" w14:textId="77777777" w:rsidR="00087800" w:rsidRDefault="00087800">
      <w:pPr>
        <w:pStyle w:val="Default"/>
        <w:rPr>
          <w:lang w:val="en-US"/>
        </w:rPr>
      </w:pPr>
    </w:p>
    <w:p w14:paraId="17BC1B8C" w14:textId="77777777" w:rsidR="003C22C9" w:rsidRDefault="00847AF4" w:rsidP="00C610F7">
      <w:pPr>
        <w:pStyle w:val="Default"/>
        <w:ind w:firstLine="0"/>
        <w:rPr>
          <w:sz w:val="24"/>
          <w:szCs w:val="24"/>
        </w:rPr>
      </w:pPr>
      <w:r>
        <w:rPr>
          <w:sz w:val="24"/>
          <w:szCs w:val="24"/>
          <w:lang w:val="de-DE"/>
        </w:rPr>
        <w:t>COMBINED HEAT &amp; POWER OPTION</w:t>
      </w:r>
    </w:p>
    <w:p w14:paraId="26799730" w14:textId="77777777" w:rsidR="00DD016E" w:rsidRDefault="00847AF4" w:rsidP="00DD016E">
      <w:pPr>
        <w:pStyle w:val="Default"/>
        <w:rPr>
          <w:lang w:val="en-US"/>
        </w:rPr>
      </w:pPr>
      <w:r>
        <w:rPr>
          <w:lang w:val="en-US"/>
        </w:rPr>
        <w:t>6.4</w:t>
      </w:r>
      <w:r>
        <w:rPr>
          <w:lang w:val="en-US"/>
        </w:rPr>
        <w:tab/>
        <w:t xml:space="preserve">The Energy Hierarchy identifies combined heat and power (CHP) as a method of producing heat and electricity with much lower emissions than separate heat and power. However, CHP, although highly desirable, does have practical limitations. The </w:t>
      </w:r>
      <w:proofErr w:type="gramStart"/>
      <w:r>
        <w:rPr>
          <w:lang w:val="en-US"/>
        </w:rPr>
        <w:t>principle</w:t>
      </w:r>
      <w:proofErr w:type="gramEnd"/>
      <w:r>
        <w:rPr>
          <w:lang w:val="en-US"/>
        </w:rPr>
        <w:t xml:space="preserve"> requirement is that to be effective, all of the energy produced must be </w:t>
      </w:r>
      <w:proofErr w:type="spellStart"/>
      <w:r>
        <w:rPr>
          <w:lang w:val="en-US"/>
        </w:rPr>
        <w:t>utilised</w:t>
      </w:r>
      <w:proofErr w:type="spellEnd"/>
      <w:r>
        <w:rPr>
          <w:lang w:val="en-US"/>
        </w:rPr>
        <w:t xml:space="preserve">, with annual operating hours of at least 5000hrs/yr. This means that all the electricity must be used in a financially sound manner and all the waste heat must be put to good use </w:t>
      </w:r>
      <w:r>
        <w:t>–</w:t>
      </w:r>
      <w:r>
        <w:rPr>
          <w:lang w:val="en-US"/>
        </w:rPr>
        <w:t xml:space="preserve">preferably to meet a heat demand </w:t>
      </w:r>
      <w:r>
        <w:t>–</w:t>
      </w:r>
      <w:r>
        <w:rPr>
          <w:lang w:val="en-US"/>
        </w:rPr>
        <w:t xml:space="preserve">and not dumped. </w:t>
      </w:r>
    </w:p>
    <w:p w14:paraId="21A9D14C" w14:textId="77777777" w:rsidR="00DD016E" w:rsidRPr="00DD016E" w:rsidRDefault="00DD016E" w:rsidP="00DD016E">
      <w:pPr>
        <w:pStyle w:val="Default"/>
        <w:rPr>
          <w:lang w:val="en-US"/>
        </w:rPr>
      </w:pPr>
    </w:p>
    <w:p w14:paraId="0ACF27AE" w14:textId="77777777" w:rsidR="00DD016E" w:rsidRPr="00DD016E" w:rsidRDefault="00847AF4" w:rsidP="00DD016E">
      <w:pPr>
        <w:pStyle w:val="Default"/>
        <w:ind w:firstLine="0"/>
      </w:pPr>
      <w:r w:rsidRPr="00DD016E">
        <w:rPr>
          <w:lang w:val="en-US"/>
        </w:rPr>
        <w:t xml:space="preserve">It expected the </w:t>
      </w:r>
      <w:r w:rsidR="00DD016E" w:rsidRPr="00DD016E">
        <w:rPr>
          <w:bCs/>
        </w:rPr>
        <w:t>simultaneous demand for heat and power for the development will be less than 5,000 hours per annum</w:t>
      </w:r>
      <w:r w:rsidR="00DD016E" w:rsidRPr="00DD016E">
        <w:t xml:space="preserve">, therefore CHP has not been considered a viable option. </w:t>
      </w:r>
    </w:p>
    <w:p w14:paraId="4831F43C" w14:textId="77777777" w:rsidR="003C22C9" w:rsidRDefault="003C22C9">
      <w:pPr>
        <w:pStyle w:val="Default"/>
        <w:rPr>
          <w:color w:val="FF2600"/>
        </w:rPr>
      </w:pPr>
    </w:p>
    <w:p w14:paraId="3F737A36" w14:textId="1BC900A4" w:rsidR="003C22C9" w:rsidRDefault="00070C3E" w:rsidP="00070C3E">
      <w:pPr>
        <w:pStyle w:val="Default"/>
        <w:ind w:firstLine="0"/>
        <w:rPr>
          <w:b/>
          <w:bCs/>
        </w:rPr>
      </w:pPr>
      <w:r>
        <w:rPr>
          <w:b/>
          <w:bCs/>
          <w:lang w:val="en-US"/>
        </w:rPr>
        <w:t xml:space="preserve">            ‘Be Clean’</w:t>
      </w:r>
      <w:r w:rsidR="008B2CDF">
        <w:rPr>
          <w:b/>
          <w:bCs/>
          <w:lang w:val="en-US"/>
        </w:rPr>
        <w:t xml:space="preserve"> </w:t>
      </w:r>
      <w:r w:rsidR="00847AF4">
        <w:rPr>
          <w:b/>
          <w:bCs/>
          <w:lang w:val="en-US"/>
        </w:rPr>
        <w:t xml:space="preserve">Building Emission Ratings for </w:t>
      </w:r>
      <w:proofErr w:type="spellStart"/>
      <w:r w:rsidR="00082290">
        <w:rPr>
          <w:b/>
          <w:bCs/>
          <w:lang w:val="en-US"/>
        </w:rPr>
        <w:t>Maygrove</w:t>
      </w:r>
      <w:proofErr w:type="spellEnd"/>
      <w:r w:rsidR="00082290">
        <w:rPr>
          <w:b/>
          <w:bCs/>
          <w:lang w:val="en-US"/>
        </w:rPr>
        <w:t xml:space="preserve"> Road</w:t>
      </w:r>
      <w:r w:rsidR="00847AF4">
        <w:rPr>
          <w:b/>
          <w:bCs/>
          <w:lang w:val="en-US"/>
        </w:rPr>
        <w:t>:</w:t>
      </w:r>
    </w:p>
    <w:p w14:paraId="4C245058" w14:textId="77777777" w:rsidR="00DD016E" w:rsidRDefault="00847AF4">
      <w:pPr>
        <w:pStyle w:val="Default"/>
        <w:jc w:val="center"/>
        <w:rPr>
          <w:b/>
          <w:bCs/>
        </w:rPr>
      </w:pPr>
      <w:r>
        <w:rPr>
          <w:b/>
          <w:bCs/>
          <w:lang w:val="en-US"/>
        </w:rPr>
        <w:t xml:space="preserve"> </w:t>
      </w:r>
    </w:p>
    <w:tbl>
      <w:tblPr>
        <w:tblStyle w:val="TableGrid3"/>
        <w:tblW w:w="0" w:type="auto"/>
        <w:jc w:val="center"/>
        <w:tblLook w:val="04A0" w:firstRow="1" w:lastRow="0" w:firstColumn="1" w:lastColumn="0" w:noHBand="0" w:noVBand="1"/>
      </w:tblPr>
      <w:tblGrid>
        <w:gridCol w:w="2965"/>
      </w:tblGrid>
      <w:tr w:rsidR="007F2439" w:rsidRPr="00D057FF" w14:paraId="18B509EF" w14:textId="77777777" w:rsidTr="00D057FF">
        <w:trPr>
          <w:trHeight w:val="799"/>
          <w:jc w:val="center"/>
        </w:trPr>
        <w:tc>
          <w:tcPr>
            <w:tcW w:w="2965" w:type="dxa"/>
            <w:shd w:val="clear" w:color="auto" w:fill="auto"/>
            <w:vAlign w:val="center"/>
          </w:tcPr>
          <w:p w14:paraId="282B1AEF" w14:textId="77777777" w:rsidR="007F2439" w:rsidRPr="00D057FF" w:rsidRDefault="007F2439" w:rsidP="005C65AE">
            <w:pPr>
              <w:jc w:val="center"/>
              <w:rPr>
                <w:rFonts w:asciiTheme="minorHAnsi" w:hAnsiTheme="minorHAnsi" w:cstheme="minorHAnsi"/>
                <w:b/>
                <w:sz w:val="22"/>
                <w:szCs w:val="22"/>
              </w:rPr>
            </w:pPr>
            <w:r w:rsidRPr="00D057FF">
              <w:rPr>
                <w:rFonts w:asciiTheme="minorHAnsi" w:hAnsiTheme="minorHAnsi" w:cstheme="minorHAnsi"/>
                <w:b/>
                <w:sz w:val="22"/>
                <w:szCs w:val="22"/>
              </w:rPr>
              <w:t>Annual CO</w:t>
            </w:r>
            <w:r w:rsidRPr="00D057FF">
              <w:rPr>
                <w:rFonts w:asciiTheme="minorHAnsi" w:hAnsiTheme="minorHAnsi" w:cstheme="minorHAnsi"/>
                <w:b/>
                <w:sz w:val="22"/>
                <w:szCs w:val="22"/>
                <w:vertAlign w:val="subscript"/>
              </w:rPr>
              <w:t>2</w:t>
            </w:r>
            <w:r w:rsidRPr="00D057FF">
              <w:rPr>
                <w:rFonts w:asciiTheme="minorHAnsi" w:hAnsiTheme="minorHAnsi" w:cstheme="minorHAnsi"/>
                <w:b/>
                <w:sz w:val="22"/>
                <w:szCs w:val="22"/>
              </w:rPr>
              <w:t xml:space="preserve"> Emissions (tonnesCO</w:t>
            </w:r>
            <w:r w:rsidRPr="00D057FF">
              <w:rPr>
                <w:rFonts w:asciiTheme="minorHAnsi" w:hAnsiTheme="minorHAnsi" w:cstheme="minorHAnsi"/>
                <w:b/>
                <w:sz w:val="22"/>
                <w:szCs w:val="22"/>
                <w:vertAlign w:val="subscript"/>
              </w:rPr>
              <w:t>2</w:t>
            </w:r>
            <w:r w:rsidRPr="00D057FF">
              <w:rPr>
                <w:rFonts w:asciiTheme="minorHAnsi" w:hAnsiTheme="minorHAnsi" w:cstheme="minorHAnsi"/>
                <w:b/>
                <w:sz w:val="22"/>
                <w:szCs w:val="22"/>
              </w:rPr>
              <w:t>/</w:t>
            </w:r>
            <w:proofErr w:type="spellStart"/>
            <w:r w:rsidRPr="00D057FF">
              <w:rPr>
                <w:rFonts w:asciiTheme="minorHAnsi" w:hAnsiTheme="minorHAnsi" w:cstheme="minorHAnsi"/>
                <w:b/>
                <w:sz w:val="22"/>
                <w:szCs w:val="22"/>
              </w:rPr>
              <w:t>yr</w:t>
            </w:r>
            <w:proofErr w:type="spellEnd"/>
            <w:r w:rsidRPr="00D057FF">
              <w:rPr>
                <w:rFonts w:asciiTheme="minorHAnsi" w:hAnsiTheme="minorHAnsi" w:cstheme="minorHAnsi"/>
                <w:b/>
                <w:sz w:val="22"/>
                <w:szCs w:val="22"/>
              </w:rPr>
              <w:t>)</w:t>
            </w:r>
          </w:p>
        </w:tc>
      </w:tr>
      <w:tr w:rsidR="007F2439" w:rsidRPr="006F41EC" w14:paraId="764427AE" w14:textId="77777777" w:rsidTr="008B2CDF">
        <w:trPr>
          <w:trHeight w:val="390"/>
          <w:jc w:val="center"/>
        </w:trPr>
        <w:tc>
          <w:tcPr>
            <w:tcW w:w="2965" w:type="dxa"/>
            <w:vAlign w:val="center"/>
          </w:tcPr>
          <w:p w14:paraId="744AD7C2" w14:textId="40264074" w:rsidR="007F2439" w:rsidRPr="006F41EC" w:rsidRDefault="003966EB" w:rsidP="005C65AE">
            <w:pPr>
              <w:jc w:val="center"/>
              <w:rPr>
                <w:rFonts w:asciiTheme="minorHAnsi" w:hAnsiTheme="minorHAnsi" w:cstheme="minorHAnsi"/>
                <w:sz w:val="22"/>
                <w:szCs w:val="22"/>
              </w:rPr>
            </w:pPr>
            <w:r>
              <w:rPr>
                <w:rFonts w:asciiTheme="minorHAnsi" w:hAnsiTheme="minorHAnsi" w:cstheme="minorHAnsi"/>
                <w:sz w:val="22"/>
                <w:szCs w:val="22"/>
              </w:rPr>
              <w:t>8.31</w:t>
            </w:r>
          </w:p>
        </w:tc>
      </w:tr>
    </w:tbl>
    <w:p w14:paraId="2FB3484E" w14:textId="77777777" w:rsidR="003C22C9" w:rsidRDefault="003C22C9">
      <w:pPr>
        <w:pStyle w:val="Default"/>
        <w:jc w:val="center"/>
        <w:rPr>
          <w:b/>
          <w:bCs/>
        </w:rPr>
      </w:pPr>
    </w:p>
    <w:p w14:paraId="0BE9A930" w14:textId="77777777" w:rsidR="000A6BD0" w:rsidRDefault="000A6BD0">
      <w:pPr>
        <w:pStyle w:val="Default"/>
        <w:jc w:val="center"/>
        <w:rPr>
          <w:b/>
          <w:bCs/>
        </w:rPr>
      </w:pPr>
    </w:p>
    <w:p w14:paraId="1E0C498A" w14:textId="3A3344E0" w:rsidR="003C22C9" w:rsidRDefault="00847AF4" w:rsidP="008B2CDF">
      <w:pPr>
        <w:pStyle w:val="Default"/>
        <w:ind w:hanging="11"/>
        <w:jc w:val="center"/>
        <w:rPr>
          <w:b/>
          <w:bCs/>
          <w:lang w:val="en-US"/>
        </w:rPr>
      </w:pPr>
      <w:r w:rsidRPr="008B2CDF">
        <w:rPr>
          <w:b/>
          <w:bCs/>
          <w:color w:val="auto"/>
          <w:lang w:val="en-US"/>
        </w:rPr>
        <w:t>An</w:t>
      </w:r>
      <w:r>
        <w:rPr>
          <w:b/>
          <w:bCs/>
          <w:lang w:val="en-US"/>
        </w:rPr>
        <w:t xml:space="preserve">nual Regulated/Unregulated Emissions for </w:t>
      </w:r>
      <w:proofErr w:type="spellStart"/>
      <w:r w:rsidR="00082290">
        <w:rPr>
          <w:b/>
          <w:bCs/>
          <w:lang w:val="en-US"/>
        </w:rPr>
        <w:t>Maygrove</w:t>
      </w:r>
      <w:proofErr w:type="spellEnd"/>
      <w:r w:rsidR="00082290">
        <w:rPr>
          <w:b/>
          <w:bCs/>
          <w:lang w:val="en-US"/>
        </w:rPr>
        <w:t xml:space="preserve"> Road</w:t>
      </w:r>
      <w:r>
        <w:rPr>
          <w:b/>
          <w:bCs/>
          <w:lang w:val="en-US"/>
        </w:rPr>
        <w:t>:</w:t>
      </w:r>
    </w:p>
    <w:p w14:paraId="586E0853" w14:textId="77777777" w:rsidR="00DD016E" w:rsidRDefault="00DD016E">
      <w:pPr>
        <w:pStyle w:val="Default"/>
        <w:rPr>
          <w:b/>
          <w:bCs/>
        </w:rPr>
      </w:pPr>
    </w:p>
    <w:tbl>
      <w:tblPr>
        <w:tblStyle w:val="TableGrid1"/>
        <w:tblW w:w="0" w:type="auto"/>
        <w:jc w:val="center"/>
        <w:tblLook w:val="04A0" w:firstRow="1" w:lastRow="0" w:firstColumn="1" w:lastColumn="0" w:noHBand="0" w:noVBand="1"/>
      </w:tblPr>
      <w:tblGrid>
        <w:gridCol w:w="2840"/>
        <w:gridCol w:w="1817"/>
        <w:gridCol w:w="2861"/>
      </w:tblGrid>
      <w:tr w:rsidR="00DD016E" w:rsidRPr="00792502" w14:paraId="1B3597E5" w14:textId="77777777" w:rsidTr="00D057FF">
        <w:trPr>
          <w:trHeight w:val="350"/>
          <w:jc w:val="center"/>
        </w:trPr>
        <w:tc>
          <w:tcPr>
            <w:tcW w:w="2840" w:type="dxa"/>
            <w:vMerge w:val="restart"/>
            <w:tcBorders>
              <w:top w:val="single" w:sz="4" w:space="0" w:color="auto"/>
              <w:left w:val="single" w:sz="4" w:space="0" w:color="auto"/>
            </w:tcBorders>
            <w:shd w:val="clear" w:color="auto" w:fill="706B6E"/>
            <w:vAlign w:val="center"/>
          </w:tcPr>
          <w:p w14:paraId="10424626" w14:textId="77777777" w:rsidR="00DD016E" w:rsidRPr="00792502" w:rsidRDefault="00DD016E" w:rsidP="005C65AE">
            <w:pPr>
              <w:jc w:val="both"/>
              <w:rPr>
                <w:rFonts w:asciiTheme="minorHAnsi" w:hAnsiTheme="minorHAnsi" w:cstheme="minorHAnsi"/>
                <w:sz w:val="22"/>
                <w:szCs w:val="22"/>
              </w:rPr>
            </w:pPr>
          </w:p>
        </w:tc>
        <w:tc>
          <w:tcPr>
            <w:tcW w:w="4678" w:type="dxa"/>
            <w:gridSpan w:val="2"/>
            <w:shd w:val="clear" w:color="auto" w:fill="auto"/>
            <w:vAlign w:val="center"/>
          </w:tcPr>
          <w:p w14:paraId="5989EC28" w14:textId="77777777" w:rsidR="00DD016E" w:rsidRPr="00D057FF" w:rsidRDefault="00DD016E" w:rsidP="005C65AE">
            <w:pPr>
              <w:jc w:val="center"/>
              <w:rPr>
                <w:rFonts w:asciiTheme="minorHAnsi" w:hAnsiTheme="minorHAnsi" w:cstheme="minorHAnsi"/>
                <w:b/>
                <w:sz w:val="22"/>
                <w:szCs w:val="22"/>
              </w:rPr>
            </w:pPr>
            <w:r w:rsidRPr="00D057FF">
              <w:rPr>
                <w:rFonts w:asciiTheme="minorHAnsi" w:hAnsiTheme="minorHAnsi" w:cstheme="minorHAnsi"/>
                <w:b/>
                <w:sz w:val="22"/>
                <w:szCs w:val="22"/>
              </w:rPr>
              <w:t>CO</w:t>
            </w:r>
            <w:r w:rsidRPr="00D057FF">
              <w:rPr>
                <w:rFonts w:asciiTheme="minorHAnsi" w:hAnsiTheme="minorHAnsi" w:cstheme="minorHAnsi"/>
                <w:b/>
                <w:sz w:val="22"/>
                <w:szCs w:val="22"/>
                <w:vertAlign w:val="subscript"/>
              </w:rPr>
              <w:t>2</w:t>
            </w:r>
            <w:r w:rsidRPr="00D057FF">
              <w:rPr>
                <w:rFonts w:asciiTheme="minorHAnsi" w:hAnsiTheme="minorHAnsi" w:cstheme="minorHAnsi"/>
                <w:b/>
                <w:sz w:val="22"/>
                <w:szCs w:val="22"/>
              </w:rPr>
              <w:t xml:space="preserve"> Emissions (tonnes/annum)</w:t>
            </w:r>
          </w:p>
        </w:tc>
      </w:tr>
      <w:tr w:rsidR="00DD016E" w:rsidRPr="00792502" w14:paraId="40AC3399" w14:textId="77777777" w:rsidTr="00D057FF">
        <w:trPr>
          <w:trHeight w:val="186"/>
          <w:jc w:val="center"/>
        </w:trPr>
        <w:tc>
          <w:tcPr>
            <w:tcW w:w="2840" w:type="dxa"/>
            <w:vMerge/>
            <w:tcBorders>
              <w:left w:val="single" w:sz="4" w:space="0" w:color="auto"/>
            </w:tcBorders>
            <w:shd w:val="clear" w:color="auto" w:fill="706B6E"/>
            <w:vAlign w:val="center"/>
          </w:tcPr>
          <w:p w14:paraId="7210EC1A" w14:textId="77777777" w:rsidR="00DD016E" w:rsidRPr="00792502" w:rsidRDefault="00DD016E" w:rsidP="005C65AE">
            <w:pPr>
              <w:jc w:val="both"/>
              <w:rPr>
                <w:rFonts w:asciiTheme="minorHAnsi" w:hAnsiTheme="minorHAnsi" w:cstheme="minorHAnsi"/>
                <w:sz w:val="22"/>
                <w:szCs w:val="22"/>
              </w:rPr>
            </w:pPr>
          </w:p>
        </w:tc>
        <w:tc>
          <w:tcPr>
            <w:tcW w:w="1817" w:type="dxa"/>
            <w:shd w:val="clear" w:color="auto" w:fill="auto"/>
            <w:vAlign w:val="center"/>
          </w:tcPr>
          <w:p w14:paraId="0E3E9F54" w14:textId="77777777" w:rsidR="00DD016E" w:rsidRPr="00D057FF" w:rsidRDefault="00DD016E" w:rsidP="005C65AE">
            <w:pPr>
              <w:jc w:val="center"/>
              <w:rPr>
                <w:rFonts w:asciiTheme="minorHAnsi" w:hAnsiTheme="minorHAnsi" w:cstheme="minorHAnsi"/>
                <w:b/>
                <w:sz w:val="22"/>
                <w:szCs w:val="22"/>
              </w:rPr>
            </w:pPr>
            <w:r w:rsidRPr="00D057FF">
              <w:rPr>
                <w:rFonts w:asciiTheme="minorHAnsi" w:hAnsiTheme="minorHAnsi" w:cstheme="minorHAnsi"/>
                <w:b/>
                <w:sz w:val="22"/>
                <w:szCs w:val="22"/>
              </w:rPr>
              <w:t>Regulated</w:t>
            </w:r>
          </w:p>
        </w:tc>
        <w:tc>
          <w:tcPr>
            <w:tcW w:w="2861" w:type="dxa"/>
            <w:shd w:val="clear" w:color="auto" w:fill="auto"/>
            <w:vAlign w:val="center"/>
          </w:tcPr>
          <w:p w14:paraId="137312FD" w14:textId="77777777" w:rsidR="00DD016E" w:rsidRPr="00D057FF" w:rsidRDefault="00DD016E" w:rsidP="005C65AE">
            <w:pPr>
              <w:jc w:val="center"/>
              <w:rPr>
                <w:rFonts w:asciiTheme="minorHAnsi" w:hAnsiTheme="minorHAnsi" w:cstheme="minorHAnsi"/>
                <w:b/>
                <w:sz w:val="22"/>
                <w:szCs w:val="22"/>
              </w:rPr>
            </w:pPr>
            <w:r w:rsidRPr="00D057FF">
              <w:rPr>
                <w:rFonts w:asciiTheme="minorHAnsi" w:hAnsiTheme="minorHAnsi" w:cstheme="minorHAnsi"/>
                <w:b/>
                <w:sz w:val="22"/>
                <w:szCs w:val="22"/>
              </w:rPr>
              <w:t>Unregulated</w:t>
            </w:r>
          </w:p>
        </w:tc>
      </w:tr>
      <w:tr w:rsidR="00DD016E" w:rsidRPr="00792502" w14:paraId="4F026CAB" w14:textId="77777777" w:rsidTr="005C65AE">
        <w:trPr>
          <w:trHeight w:val="350"/>
          <w:jc w:val="center"/>
        </w:trPr>
        <w:tc>
          <w:tcPr>
            <w:tcW w:w="2840" w:type="dxa"/>
            <w:vAlign w:val="center"/>
          </w:tcPr>
          <w:p w14:paraId="29445D8F" w14:textId="77777777" w:rsidR="00DD016E" w:rsidRPr="00792502" w:rsidRDefault="00DD016E" w:rsidP="005C65AE">
            <w:pPr>
              <w:rPr>
                <w:rFonts w:asciiTheme="minorHAnsi" w:hAnsiTheme="minorHAnsi" w:cstheme="minorHAnsi"/>
                <w:sz w:val="22"/>
                <w:szCs w:val="22"/>
              </w:rPr>
            </w:pPr>
            <w:r w:rsidRPr="00792502">
              <w:rPr>
                <w:rFonts w:asciiTheme="minorHAnsi" w:hAnsiTheme="minorHAnsi" w:cstheme="minorHAnsi"/>
                <w:sz w:val="22"/>
                <w:szCs w:val="22"/>
              </w:rPr>
              <w:t>Building Regulations 2013 Part L Compliant Project</w:t>
            </w:r>
          </w:p>
        </w:tc>
        <w:tc>
          <w:tcPr>
            <w:tcW w:w="1817" w:type="dxa"/>
            <w:vAlign w:val="center"/>
          </w:tcPr>
          <w:p w14:paraId="3EC5FCC8" w14:textId="357BEE33" w:rsidR="00DD016E" w:rsidRPr="00792502" w:rsidRDefault="003966EB" w:rsidP="005C65AE">
            <w:pPr>
              <w:jc w:val="center"/>
              <w:rPr>
                <w:rFonts w:asciiTheme="minorHAnsi" w:hAnsiTheme="minorHAnsi" w:cstheme="minorHAnsi"/>
                <w:sz w:val="22"/>
                <w:szCs w:val="22"/>
              </w:rPr>
            </w:pPr>
            <w:r>
              <w:rPr>
                <w:rFonts w:asciiTheme="minorHAnsi" w:hAnsiTheme="minorHAnsi" w:cstheme="minorHAnsi"/>
                <w:sz w:val="22"/>
                <w:szCs w:val="22"/>
              </w:rPr>
              <w:t>10.78</w:t>
            </w:r>
          </w:p>
        </w:tc>
        <w:tc>
          <w:tcPr>
            <w:tcW w:w="2861" w:type="dxa"/>
            <w:vAlign w:val="center"/>
          </w:tcPr>
          <w:p w14:paraId="4C7F6996" w14:textId="77777777" w:rsidR="00DD016E" w:rsidRPr="00792502" w:rsidRDefault="007F2439" w:rsidP="005C65AE">
            <w:pPr>
              <w:jc w:val="center"/>
              <w:rPr>
                <w:rFonts w:asciiTheme="minorHAnsi" w:hAnsiTheme="minorHAnsi" w:cstheme="minorHAnsi"/>
                <w:sz w:val="22"/>
                <w:szCs w:val="22"/>
              </w:rPr>
            </w:pPr>
            <w:r>
              <w:rPr>
                <w:rFonts w:asciiTheme="minorHAnsi" w:hAnsiTheme="minorHAnsi" w:cstheme="minorHAnsi"/>
                <w:sz w:val="22"/>
                <w:szCs w:val="22"/>
              </w:rPr>
              <w:t>2.62</w:t>
            </w:r>
          </w:p>
        </w:tc>
      </w:tr>
      <w:tr w:rsidR="00DD016E" w:rsidRPr="00792502" w14:paraId="0D1C62BC" w14:textId="77777777" w:rsidTr="005C65AE">
        <w:trPr>
          <w:trHeight w:val="350"/>
          <w:jc w:val="center"/>
        </w:trPr>
        <w:tc>
          <w:tcPr>
            <w:tcW w:w="2840" w:type="dxa"/>
            <w:vAlign w:val="center"/>
          </w:tcPr>
          <w:p w14:paraId="2B0FB969" w14:textId="77777777" w:rsidR="00DD016E" w:rsidRPr="00792502" w:rsidRDefault="00DD016E" w:rsidP="005C65AE">
            <w:pPr>
              <w:jc w:val="both"/>
              <w:rPr>
                <w:rFonts w:asciiTheme="minorHAnsi" w:hAnsiTheme="minorHAnsi" w:cstheme="minorHAnsi"/>
                <w:sz w:val="22"/>
                <w:szCs w:val="22"/>
              </w:rPr>
            </w:pPr>
            <w:r w:rsidRPr="00792502">
              <w:rPr>
                <w:rFonts w:asciiTheme="minorHAnsi" w:hAnsiTheme="minorHAnsi" w:cstheme="minorHAnsi"/>
                <w:sz w:val="22"/>
                <w:szCs w:val="22"/>
              </w:rPr>
              <w:t xml:space="preserve">‘Be Lean’ </w:t>
            </w:r>
          </w:p>
        </w:tc>
        <w:tc>
          <w:tcPr>
            <w:tcW w:w="1817" w:type="dxa"/>
            <w:vAlign w:val="center"/>
          </w:tcPr>
          <w:p w14:paraId="1548AA18" w14:textId="2DEC7018" w:rsidR="00DD016E" w:rsidRPr="00792502" w:rsidRDefault="003966EB" w:rsidP="005C65AE">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1FB20FFF" w14:textId="77777777" w:rsidR="00DD016E" w:rsidRPr="00792502" w:rsidRDefault="007F2439" w:rsidP="005C65AE">
            <w:pPr>
              <w:jc w:val="center"/>
              <w:rPr>
                <w:rFonts w:asciiTheme="minorHAnsi" w:hAnsiTheme="minorHAnsi" w:cstheme="minorHAnsi"/>
                <w:sz w:val="22"/>
                <w:szCs w:val="22"/>
              </w:rPr>
            </w:pPr>
            <w:r>
              <w:rPr>
                <w:rFonts w:asciiTheme="minorHAnsi" w:hAnsiTheme="minorHAnsi" w:cstheme="minorHAnsi"/>
                <w:sz w:val="22"/>
                <w:szCs w:val="22"/>
              </w:rPr>
              <w:t>2.62</w:t>
            </w:r>
          </w:p>
        </w:tc>
      </w:tr>
      <w:tr w:rsidR="00DD016E" w:rsidRPr="00792502" w14:paraId="1932170D" w14:textId="77777777" w:rsidTr="005C65AE">
        <w:trPr>
          <w:trHeight w:val="350"/>
          <w:jc w:val="center"/>
        </w:trPr>
        <w:tc>
          <w:tcPr>
            <w:tcW w:w="2840" w:type="dxa"/>
            <w:vAlign w:val="center"/>
          </w:tcPr>
          <w:p w14:paraId="15048983" w14:textId="77777777" w:rsidR="00DD016E" w:rsidRPr="00792502" w:rsidRDefault="00DD016E" w:rsidP="005C65AE">
            <w:pPr>
              <w:jc w:val="both"/>
              <w:rPr>
                <w:rFonts w:asciiTheme="minorHAnsi" w:hAnsiTheme="minorHAnsi" w:cstheme="minorHAnsi"/>
                <w:sz w:val="22"/>
                <w:szCs w:val="22"/>
              </w:rPr>
            </w:pPr>
            <w:r>
              <w:rPr>
                <w:rFonts w:asciiTheme="minorHAnsi" w:hAnsiTheme="minorHAnsi" w:cstheme="minorHAnsi"/>
                <w:sz w:val="22"/>
                <w:szCs w:val="22"/>
              </w:rPr>
              <w:t>‘Be Clean’</w:t>
            </w:r>
          </w:p>
        </w:tc>
        <w:tc>
          <w:tcPr>
            <w:tcW w:w="1817" w:type="dxa"/>
            <w:vAlign w:val="center"/>
          </w:tcPr>
          <w:p w14:paraId="6A1C1771" w14:textId="14A6A744" w:rsidR="00DD016E" w:rsidRDefault="003966EB" w:rsidP="005C65AE">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52BC3460" w14:textId="77777777" w:rsidR="00DD016E" w:rsidRDefault="007F2439" w:rsidP="005C65AE">
            <w:pPr>
              <w:jc w:val="center"/>
              <w:rPr>
                <w:rFonts w:asciiTheme="minorHAnsi" w:hAnsiTheme="minorHAnsi" w:cstheme="minorHAnsi"/>
                <w:sz w:val="22"/>
                <w:szCs w:val="22"/>
              </w:rPr>
            </w:pPr>
            <w:r>
              <w:rPr>
                <w:rFonts w:asciiTheme="minorHAnsi" w:hAnsiTheme="minorHAnsi" w:cstheme="minorHAnsi"/>
                <w:sz w:val="22"/>
                <w:szCs w:val="22"/>
              </w:rPr>
              <w:t>2.62</w:t>
            </w:r>
          </w:p>
        </w:tc>
      </w:tr>
    </w:tbl>
    <w:p w14:paraId="31AB0ED6" w14:textId="77777777" w:rsidR="003C22C9" w:rsidRDefault="003C22C9">
      <w:pPr>
        <w:pStyle w:val="Default"/>
      </w:pPr>
    </w:p>
    <w:p w14:paraId="0A64FBAA" w14:textId="77777777" w:rsidR="000A6BD0" w:rsidRDefault="000A6BD0">
      <w:pPr>
        <w:pStyle w:val="Default"/>
      </w:pPr>
    </w:p>
    <w:p w14:paraId="5F176D04" w14:textId="22BBFB85" w:rsidR="003C22C9" w:rsidRDefault="00070C3E" w:rsidP="00070C3E">
      <w:pPr>
        <w:pStyle w:val="Default"/>
        <w:jc w:val="center"/>
        <w:rPr>
          <w:b/>
          <w:bCs/>
          <w:lang w:val="en-US"/>
        </w:rPr>
      </w:pPr>
      <w:r>
        <w:rPr>
          <w:b/>
          <w:bCs/>
          <w:lang w:val="en-US"/>
        </w:rPr>
        <w:t>‘Be Clean’</w:t>
      </w:r>
      <w:r w:rsidR="008B2CDF">
        <w:rPr>
          <w:b/>
          <w:bCs/>
          <w:lang w:val="en-US"/>
        </w:rPr>
        <w:t xml:space="preserve"> </w:t>
      </w:r>
      <w:r w:rsidR="00847AF4">
        <w:rPr>
          <w:b/>
          <w:bCs/>
          <w:lang w:val="en-US"/>
        </w:rPr>
        <w:t xml:space="preserve">Emission Savings for </w:t>
      </w:r>
      <w:proofErr w:type="spellStart"/>
      <w:r w:rsidR="00082290">
        <w:rPr>
          <w:b/>
          <w:bCs/>
          <w:lang w:val="en-US"/>
        </w:rPr>
        <w:t>Maygrove</w:t>
      </w:r>
      <w:proofErr w:type="spellEnd"/>
      <w:r w:rsidR="00082290">
        <w:rPr>
          <w:b/>
          <w:bCs/>
          <w:lang w:val="en-US"/>
        </w:rPr>
        <w:t xml:space="preserve"> Road</w:t>
      </w:r>
      <w:r w:rsidR="00847AF4">
        <w:rPr>
          <w:b/>
          <w:bCs/>
          <w:lang w:val="en-US"/>
        </w:rPr>
        <w:t>:</w:t>
      </w:r>
    </w:p>
    <w:p w14:paraId="20BE1E81" w14:textId="77777777" w:rsidR="00DD016E" w:rsidRDefault="00DD016E">
      <w:pPr>
        <w:pStyle w:val="Default"/>
        <w:rPr>
          <w:b/>
          <w:bCs/>
          <w:lang w:val="en-US"/>
        </w:rPr>
      </w:pPr>
    </w:p>
    <w:tbl>
      <w:tblPr>
        <w:tblStyle w:val="TableGrid"/>
        <w:tblW w:w="0" w:type="auto"/>
        <w:jc w:val="center"/>
        <w:tblLook w:val="04A0" w:firstRow="1" w:lastRow="0" w:firstColumn="1" w:lastColumn="0" w:noHBand="0" w:noVBand="1"/>
      </w:tblPr>
      <w:tblGrid>
        <w:gridCol w:w="1980"/>
        <w:gridCol w:w="2367"/>
        <w:gridCol w:w="2927"/>
      </w:tblGrid>
      <w:tr w:rsidR="00DD016E" w:rsidRPr="00845C81" w14:paraId="3ABF3256" w14:textId="77777777" w:rsidTr="00D057FF">
        <w:trPr>
          <w:trHeight w:val="340"/>
          <w:jc w:val="center"/>
        </w:trPr>
        <w:tc>
          <w:tcPr>
            <w:tcW w:w="1980" w:type="dxa"/>
            <w:vMerge w:val="restart"/>
            <w:tcBorders>
              <w:top w:val="single" w:sz="4" w:space="0" w:color="auto"/>
              <w:left w:val="single" w:sz="4" w:space="0" w:color="auto"/>
            </w:tcBorders>
            <w:shd w:val="clear" w:color="auto" w:fill="706B6E"/>
            <w:vAlign w:val="center"/>
          </w:tcPr>
          <w:p w14:paraId="38A4EB7E" w14:textId="77777777" w:rsidR="00DD016E" w:rsidRPr="00845C81" w:rsidRDefault="00DD016E" w:rsidP="005C65AE">
            <w:pPr>
              <w:pStyle w:val="Default"/>
              <w:jc w:val="center"/>
              <w:rPr>
                <w:b/>
                <w:bCs/>
              </w:rPr>
            </w:pPr>
          </w:p>
        </w:tc>
        <w:tc>
          <w:tcPr>
            <w:tcW w:w="5294" w:type="dxa"/>
            <w:gridSpan w:val="2"/>
            <w:shd w:val="clear" w:color="auto" w:fill="auto"/>
            <w:vAlign w:val="center"/>
          </w:tcPr>
          <w:p w14:paraId="29EB1632" w14:textId="77777777" w:rsidR="00DD016E" w:rsidRPr="00D057FF" w:rsidRDefault="00DD016E" w:rsidP="005C65AE">
            <w:pPr>
              <w:pStyle w:val="Default"/>
              <w:jc w:val="center"/>
              <w:rPr>
                <w:b/>
                <w:bCs/>
                <w:color w:val="auto"/>
              </w:rPr>
            </w:pPr>
            <w:r w:rsidRPr="00D057FF">
              <w:rPr>
                <w:b/>
                <w:bCs/>
                <w:color w:val="auto"/>
              </w:rPr>
              <w:t>Regulated CO</w:t>
            </w:r>
            <w:r w:rsidRPr="00D057FF">
              <w:rPr>
                <w:b/>
                <w:bCs/>
                <w:color w:val="auto"/>
                <w:vertAlign w:val="subscript"/>
              </w:rPr>
              <w:t>2</w:t>
            </w:r>
            <w:r w:rsidRPr="00D057FF">
              <w:rPr>
                <w:b/>
                <w:bCs/>
                <w:color w:val="auto"/>
              </w:rPr>
              <w:t xml:space="preserve"> Savings</w:t>
            </w:r>
          </w:p>
        </w:tc>
      </w:tr>
      <w:tr w:rsidR="00DD016E" w:rsidRPr="00845C81" w14:paraId="17B378E0" w14:textId="77777777" w:rsidTr="00D057FF">
        <w:trPr>
          <w:trHeight w:val="179"/>
          <w:jc w:val="center"/>
        </w:trPr>
        <w:tc>
          <w:tcPr>
            <w:tcW w:w="1980" w:type="dxa"/>
            <w:vMerge/>
            <w:tcBorders>
              <w:left w:val="single" w:sz="4" w:space="0" w:color="auto"/>
            </w:tcBorders>
            <w:shd w:val="clear" w:color="auto" w:fill="706B6E"/>
            <w:vAlign w:val="center"/>
          </w:tcPr>
          <w:p w14:paraId="53FAF398" w14:textId="77777777" w:rsidR="00DD016E" w:rsidRPr="00845C81" w:rsidRDefault="00DD016E" w:rsidP="005C65AE">
            <w:pPr>
              <w:pStyle w:val="Default"/>
              <w:jc w:val="center"/>
              <w:rPr>
                <w:b/>
                <w:bCs/>
              </w:rPr>
            </w:pPr>
          </w:p>
        </w:tc>
        <w:tc>
          <w:tcPr>
            <w:tcW w:w="2367" w:type="dxa"/>
            <w:shd w:val="clear" w:color="auto" w:fill="auto"/>
            <w:vAlign w:val="center"/>
          </w:tcPr>
          <w:p w14:paraId="5D5FECB4" w14:textId="77777777" w:rsidR="00DD016E" w:rsidRPr="00D057FF" w:rsidRDefault="00DD016E" w:rsidP="005C65AE">
            <w:pPr>
              <w:pStyle w:val="Default"/>
              <w:jc w:val="center"/>
              <w:rPr>
                <w:b/>
                <w:bCs/>
                <w:color w:val="auto"/>
              </w:rPr>
            </w:pPr>
            <w:r w:rsidRPr="00D057FF">
              <w:rPr>
                <w:b/>
                <w:bCs/>
                <w:color w:val="auto"/>
              </w:rPr>
              <w:t>Tonnes CO</w:t>
            </w:r>
            <w:r w:rsidRPr="00D057FF">
              <w:rPr>
                <w:b/>
                <w:bCs/>
                <w:color w:val="auto"/>
                <w:vertAlign w:val="subscript"/>
              </w:rPr>
              <w:t>2</w:t>
            </w:r>
            <w:r w:rsidRPr="00D057FF">
              <w:rPr>
                <w:b/>
                <w:bCs/>
                <w:color w:val="auto"/>
              </w:rPr>
              <w:t>/annum</w:t>
            </w:r>
          </w:p>
        </w:tc>
        <w:tc>
          <w:tcPr>
            <w:tcW w:w="2927" w:type="dxa"/>
            <w:shd w:val="clear" w:color="auto" w:fill="auto"/>
            <w:vAlign w:val="center"/>
          </w:tcPr>
          <w:p w14:paraId="4408911A" w14:textId="77777777" w:rsidR="00DD016E" w:rsidRPr="00D057FF" w:rsidRDefault="00DD016E" w:rsidP="005C65AE">
            <w:pPr>
              <w:pStyle w:val="Default"/>
              <w:jc w:val="center"/>
              <w:rPr>
                <w:b/>
                <w:bCs/>
                <w:color w:val="auto"/>
              </w:rPr>
            </w:pPr>
            <w:r w:rsidRPr="00D057FF">
              <w:rPr>
                <w:b/>
                <w:bCs/>
                <w:color w:val="auto"/>
              </w:rPr>
              <w:t>Percentage Savings (%)</w:t>
            </w:r>
          </w:p>
        </w:tc>
      </w:tr>
      <w:tr w:rsidR="00DD016E" w:rsidRPr="00845C81" w14:paraId="098E6B4A" w14:textId="77777777" w:rsidTr="005C65AE">
        <w:trPr>
          <w:trHeight w:val="340"/>
          <w:jc w:val="center"/>
        </w:trPr>
        <w:tc>
          <w:tcPr>
            <w:tcW w:w="1980" w:type="dxa"/>
            <w:vAlign w:val="center"/>
          </w:tcPr>
          <w:p w14:paraId="5B30E877" w14:textId="77777777" w:rsidR="00DD016E" w:rsidRPr="00792502" w:rsidRDefault="00DD016E" w:rsidP="005C65AE">
            <w:pPr>
              <w:pStyle w:val="Default"/>
              <w:jc w:val="center"/>
              <w:rPr>
                <w:bCs/>
              </w:rPr>
            </w:pPr>
            <w:r w:rsidRPr="00792502">
              <w:rPr>
                <w:bCs/>
              </w:rPr>
              <w:t xml:space="preserve">‘Be Lean’ </w:t>
            </w:r>
          </w:p>
        </w:tc>
        <w:tc>
          <w:tcPr>
            <w:tcW w:w="2367" w:type="dxa"/>
            <w:vAlign w:val="center"/>
          </w:tcPr>
          <w:p w14:paraId="7E52F4D1" w14:textId="19680703" w:rsidR="00DD016E" w:rsidRPr="00792502" w:rsidRDefault="003966EB" w:rsidP="005C65AE">
            <w:pPr>
              <w:pStyle w:val="Default"/>
              <w:jc w:val="center"/>
              <w:rPr>
                <w:bCs/>
              </w:rPr>
            </w:pPr>
            <w:r>
              <w:rPr>
                <w:bCs/>
              </w:rPr>
              <w:t>2.47</w:t>
            </w:r>
          </w:p>
        </w:tc>
        <w:tc>
          <w:tcPr>
            <w:tcW w:w="2927" w:type="dxa"/>
            <w:vAlign w:val="center"/>
          </w:tcPr>
          <w:p w14:paraId="4F870317" w14:textId="1BD8CB9E" w:rsidR="00DD016E" w:rsidRPr="00792502" w:rsidRDefault="003966EB" w:rsidP="005C65AE">
            <w:pPr>
              <w:pStyle w:val="Default"/>
              <w:jc w:val="center"/>
              <w:rPr>
                <w:bCs/>
              </w:rPr>
            </w:pPr>
            <w:r>
              <w:rPr>
                <w:bCs/>
              </w:rPr>
              <w:t>22.88</w:t>
            </w:r>
          </w:p>
        </w:tc>
      </w:tr>
      <w:tr w:rsidR="00DD016E" w:rsidRPr="00845C81" w14:paraId="3297445F" w14:textId="77777777" w:rsidTr="005C65AE">
        <w:trPr>
          <w:trHeight w:val="340"/>
          <w:jc w:val="center"/>
        </w:trPr>
        <w:tc>
          <w:tcPr>
            <w:tcW w:w="1980" w:type="dxa"/>
            <w:vAlign w:val="center"/>
          </w:tcPr>
          <w:p w14:paraId="37B6B8DF" w14:textId="77777777" w:rsidR="00DD016E" w:rsidRPr="00792502" w:rsidRDefault="00DD016E" w:rsidP="005C65AE">
            <w:pPr>
              <w:pStyle w:val="Default"/>
              <w:jc w:val="center"/>
              <w:rPr>
                <w:bCs/>
              </w:rPr>
            </w:pPr>
            <w:r>
              <w:rPr>
                <w:bCs/>
              </w:rPr>
              <w:t>‘Be Clean’</w:t>
            </w:r>
          </w:p>
        </w:tc>
        <w:tc>
          <w:tcPr>
            <w:tcW w:w="2367" w:type="dxa"/>
            <w:vAlign w:val="center"/>
          </w:tcPr>
          <w:p w14:paraId="77DF0552" w14:textId="77777777" w:rsidR="00DD016E" w:rsidRDefault="002A1337" w:rsidP="005C65AE">
            <w:pPr>
              <w:pStyle w:val="Default"/>
              <w:jc w:val="center"/>
              <w:rPr>
                <w:bCs/>
              </w:rPr>
            </w:pPr>
            <w:r>
              <w:rPr>
                <w:bCs/>
              </w:rPr>
              <w:t>0.00</w:t>
            </w:r>
          </w:p>
        </w:tc>
        <w:tc>
          <w:tcPr>
            <w:tcW w:w="2927" w:type="dxa"/>
            <w:vAlign w:val="center"/>
          </w:tcPr>
          <w:p w14:paraId="41DC117A" w14:textId="77777777" w:rsidR="00DD016E" w:rsidRDefault="002A1337" w:rsidP="005C65AE">
            <w:pPr>
              <w:pStyle w:val="Default"/>
              <w:jc w:val="center"/>
              <w:rPr>
                <w:bCs/>
              </w:rPr>
            </w:pPr>
            <w:r>
              <w:rPr>
                <w:bCs/>
              </w:rPr>
              <w:t>0.00</w:t>
            </w:r>
          </w:p>
        </w:tc>
      </w:tr>
    </w:tbl>
    <w:p w14:paraId="7026BC30" w14:textId="77777777" w:rsidR="00DD016E" w:rsidRDefault="00DD016E">
      <w:pPr>
        <w:pStyle w:val="Default"/>
        <w:rPr>
          <w:b/>
          <w:bCs/>
        </w:rPr>
      </w:pPr>
    </w:p>
    <w:p w14:paraId="190E68D0" w14:textId="77777777" w:rsidR="003C22C9" w:rsidRDefault="003C22C9">
      <w:pPr>
        <w:pStyle w:val="Default"/>
      </w:pPr>
    </w:p>
    <w:p w14:paraId="58D7B247" w14:textId="77777777" w:rsidR="003C22C9" w:rsidRDefault="003C22C9">
      <w:pPr>
        <w:pStyle w:val="Default"/>
        <w:jc w:val="center"/>
        <w:rPr>
          <w:b/>
          <w:bCs/>
        </w:rPr>
      </w:pPr>
    </w:p>
    <w:p w14:paraId="65DF28E7" w14:textId="77777777" w:rsidR="003C22C9" w:rsidRDefault="003C22C9">
      <w:pPr>
        <w:pStyle w:val="Default"/>
        <w:rPr>
          <w:color w:val="FF2600"/>
          <w:sz w:val="32"/>
          <w:szCs w:val="32"/>
        </w:rPr>
      </w:pPr>
    </w:p>
    <w:p w14:paraId="3D312153" w14:textId="77777777" w:rsidR="003C22C9" w:rsidRDefault="003C22C9">
      <w:pPr>
        <w:pStyle w:val="Default"/>
        <w:rPr>
          <w:color w:val="FF2600"/>
          <w:sz w:val="32"/>
          <w:szCs w:val="32"/>
        </w:rPr>
      </w:pPr>
    </w:p>
    <w:p w14:paraId="20D84D36" w14:textId="77777777" w:rsidR="003C22C9" w:rsidRDefault="003C22C9">
      <w:pPr>
        <w:pStyle w:val="Default"/>
        <w:rPr>
          <w:color w:val="FF2600"/>
          <w:sz w:val="32"/>
          <w:szCs w:val="32"/>
        </w:rPr>
      </w:pPr>
    </w:p>
    <w:p w14:paraId="2516E537" w14:textId="77777777" w:rsidR="003C22C9" w:rsidRDefault="00847AF4">
      <w:pPr>
        <w:pStyle w:val="Heading"/>
      </w:pPr>
      <w:r>
        <w:lastRenderedPageBreak/>
        <w:t>7.0</w:t>
      </w:r>
      <w:r>
        <w:tab/>
        <w:t xml:space="preserve"> ‘BE GREEN’ - LZC TECHNOLOGIES ASSESSMENT</w:t>
      </w:r>
    </w:p>
    <w:p w14:paraId="7A64253A" w14:textId="77777777" w:rsidR="003C22C9" w:rsidRDefault="003C22C9">
      <w:pPr>
        <w:pStyle w:val="Default"/>
      </w:pPr>
    </w:p>
    <w:p w14:paraId="6EF50F63" w14:textId="7E391C9C" w:rsidR="003C22C9" w:rsidRDefault="00847AF4">
      <w:pPr>
        <w:pStyle w:val="Default"/>
      </w:pPr>
      <w:r>
        <w:rPr>
          <w:lang w:val="en-US"/>
        </w:rPr>
        <w:t>7.1</w:t>
      </w:r>
      <w:r>
        <w:rPr>
          <w:lang w:val="en-US"/>
        </w:rPr>
        <w:tab/>
        <w:t>A</w:t>
      </w:r>
      <w:r w:rsidR="002D68F6">
        <w:rPr>
          <w:lang w:val="en-US"/>
        </w:rPr>
        <w:t xml:space="preserve"> full </w:t>
      </w:r>
      <w:r>
        <w:rPr>
          <w:lang w:val="en-US"/>
        </w:rPr>
        <w:t xml:space="preserve">assessment of feasible renewable energy sources </w:t>
      </w:r>
      <w:r w:rsidR="002D68F6">
        <w:rPr>
          <w:lang w:val="en-US"/>
        </w:rPr>
        <w:t>was c</w:t>
      </w:r>
      <w:r>
        <w:rPr>
          <w:lang w:val="en-US"/>
        </w:rPr>
        <w:t xml:space="preserve">arried out </w:t>
      </w:r>
      <w:r w:rsidR="002D68F6">
        <w:rPr>
          <w:lang w:val="en-US"/>
        </w:rPr>
        <w:t xml:space="preserve">in the initial energy statement, where an Air Source Heat Pump system and Solar PV system was identified as being most feasible for the project. These are re-considered below in accordance with the final development: </w:t>
      </w:r>
    </w:p>
    <w:p w14:paraId="3056D09F" w14:textId="77777777" w:rsidR="003C22C9" w:rsidRDefault="003C22C9">
      <w:pPr>
        <w:pStyle w:val="Default"/>
      </w:pPr>
    </w:p>
    <w:p w14:paraId="0D8E42ED" w14:textId="77777777" w:rsidR="003C22C9" w:rsidRDefault="00847AF4">
      <w:pPr>
        <w:pStyle w:val="Default"/>
        <w:ind w:firstLine="0"/>
        <w:rPr>
          <w:sz w:val="24"/>
          <w:szCs w:val="24"/>
        </w:rPr>
      </w:pPr>
      <w:r>
        <w:rPr>
          <w:sz w:val="24"/>
          <w:szCs w:val="24"/>
          <w:lang w:val="de-DE"/>
        </w:rPr>
        <w:t xml:space="preserve">AIR SOURCE HEATING </w:t>
      </w:r>
    </w:p>
    <w:p w14:paraId="25AA2570" w14:textId="7499D225" w:rsidR="003C22C9" w:rsidRDefault="00847AF4">
      <w:pPr>
        <w:pStyle w:val="Default"/>
      </w:pPr>
      <w:r>
        <w:rPr>
          <w:lang w:val="en-US"/>
        </w:rPr>
        <w:t>7.</w:t>
      </w:r>
      <w:r w:rsidR="002D68F6">
        <w:rPr>
          <w:lang w:val="en-US"/>
        </w:rPr>
        <w:t>2</w:t>
      </w:r>
      <w:r>
        <w:rPr>
          <w:lang w:val="en-US"/>
        </w:rPr>
        <w:tab/>
        <w:t xml:space="preserve">Air source heat pumps (ASHPs) </w:t>
      </w:r>
      <w:proofErr w:type="spellStart"/>
      <w:r>
        <w:rPr>
          <w:lang w:val="en-US"/>
        </w:rPr>
        <w:t>utilise</w:t>
      </w:r>
      <w:proofErr w:type="spellEnd"/>
      <w:r>
        <w:rPr>
          <w:lang w:val="en-US"/>
        </w:rPr>
        <w:t xml:space="preserve"> the outside air as a heat source or heat sink. Heat can be used to warm water for radiators or underfloor heating systems, or to warm the air within a dwelling. ASHPs work on a similar principle to a fridge, which extracts heat from its inside. </w:t>
      </w:r>
      <w:proofErr w:type="gramStart"/>
      <w:r>
        <w:rPr>
          <w:lang w:val="en-US"/>
        </w:rPr>
        <w:t>An evaporator coil,</w:t>
      </w:r>
      <w:proofErr w:type="gramEnd"/>
      <w:r>
        <w:rPr>
          <w:lang w:val="en-US"/>
        </w:rPr>
        <w:t xml:space="preserve"> mounted outside absorbs or expels the heat; a compressor unit then drives refrigerant through the heat pump and compresses it to the right level to suit the heat distribution system. Finally, a heat exchanger transfers the heat from the refrigerant for use, depending on which of the two main types of systems (identified below) is installed:</w:t>
      </w:r>
    </w:p>
    <w:p w14:paraId="0B6AFB07" w14:textId="77777777" w:rsidR="003C22C9" w:rsidRDefault="00847AF4">
      <w:pPr>
        <w:pStyle w:val="Default"/>
      </w:pPr>
      <w:r>
        <w:t xml:space="preserve"> </w:t>
      </w:r>
    </w:p>
    <w:p w14:paraId="222CFE02" w14:textId="0DEC0CA2" w:rsidR="003C22C9" w:rsidRDefault="00847AF4">
      <w:pPr>
        <w:pStyle w:val="Default"/>
      </w:pPr>
      <w:r>
        <w:rPr>
          <w:lang w:val="en-US"/>
        </w:rPr>
        <w:t>7.</w:t>
      </w:r>
      <w:r w:rsidR="002D68F6">
        <w:rPr>
          <w:lang w:val="en-US"/>
        </w:rPr>
        <w:t>3</w:t>
      </w:r>
      <w:r>
        <w:rPr>
          <w:lang w:val="en-US"/>
        </w:rPr>
        <w:tab/>
        <w:t xml:space="preserve">ASHPs </w:t>
      </w:r>
      <w:r w:rsidR="00E77A87">
        <w:rPr>
          <w:lang w:val="en-US"/>
        </w:rPr>
        <w:t>have been</w:t>
      </w:r>
      <w:r>
        <w:rPr>
          <w:lang w:val="en-US"/>
        </w:rPr>
        <w:t xml:space="preserve"> integrated with the heating system at the </w:t>
      </w:r>
      <w:proofErr w:type="gramStart"/>
      <w:r>
        <w:rPr>
          <w:lang w:val="en-US"/>
        </w:rPr>
        <w:t>development,</w:t>
      </w:r>
      <w:r w:rsidR="002D68F6">
        <w:rPr>
          <w:lang w:val="en-US"/>
        </w:rPr>
        <w:t xml:space="preserve"> </w:t>
      </w:r>
      <w:r w:rsidR="00FE3348">
        <w:rPr>
          <w:lang w:val="en-US"/>
        </w:rPr>
        <w:t>and</w:t>
      </w:r>
      <w:proofErr w:type="gramEnd"/>
      <w:r w:rsidR="00FE3348">
        <w:rPr>
          <w:lang w:val="en-US"/>
        </w:rPr>
        <w:t xml:space="preserve"> have been considered within the CO</w:t>
      </w:r>
      <w:r w:rsidR="006448E6">
        <w:rPr>
          <w:lang w:val="en-US"/>
        </w:rPr>
        <w:t>2</w:t>
      </w:r>
      <w:r w:rsidR="00FE3348">
        <w:rPr>
          <w:lang w:val="en-US"/>
        </w:rPr>
        <w:t xml:space="preserve"> reduction analysis of this stage of the Energy Hierarchy. </w:t>
      </w:r>
      <w:r w:rsidR="002D68F6">
        <w:rPr>
          <w:lang w:val="en-US"/>
        </w:rPr>
        <w:t xml:space="preserve">The installed ASHP systems have been calculated to provide a 22.30 CO2 saving. </w:t>
      </w:r>
    </w:p>
    <w:p w14:paraId="33194AA0" w14:textId="77777777" w:rsidR="003C22C9" w:rsidRDefault="003C22C9">
      <w:pPr>
        <w:pStyle w:val="Default"/>
      </w:pPr>
    </w:p>
    <w:p w14:paraId="2E6EB5AF" w14:textId="77777777" w:rsidR="003C22C9" w:rsidRDefault="00847AF4">
      <w:pPr>
        <w:pStyle w:val="Default"/>
        <w:ind w:firstLine="0"/>
        <w:rPr>
          <w:sz w:val="24"/>
          <w:szCs w:val="24"/>
        </w:rPr>
      </w:pPr>
      <w:r>
        <w:rPr>
          <w:sz w:val="24"/>
          <w:szCs w:val="24"/>
          <w:lang w:val="de-DE"/>
        </w:rPr>
        <w:t>PHOTOVOLTAIC CELLS</w:t>
      </w:r>
    </w:p>
    <w:p w14:paraId="683CBF95" w14:textId="429E7B85" w:rsidR="003C22C9" w:rsidRDefault="00847AF4">
      <w:pPr>
        <w:pStyle w:val="Default"/>
      </w:pPr>
      <w:r>
        <w:rPr>
          <w:lang w:val="en-US"/>
        </w:rPr>
        <w:t>7.</w:t>
      </w:r>
      <w:r w:rsidR="002D68F6">
        <w:rPr>
          <w:lang w:val="en-US"/>
        </w:rPr>
        <w:t>4</w:t>
      </w:r>
      <w:r>
        <w:rPr>
          <w:lang w:val="en-US"/>
        </w:rPr>
        <w:tab/>
        <w:t>Solar Photovoltaics (PVs) are solar panels which generate electricity through photon- to-electron energy transfer, which takes place in the dielectric materials that make up the cells. The cells are made up from layers of semi-conducting silicon material which, when illuminated by the sun, produces an electrical field which generates an electrical current. PVs can generate electricity even on overcast days, requiring daylight, rather than direct sunlight. This makes them viable even in the UK, although peak output is obtained at midday on a sunny summer</w:t>
      </w:r>
      <w:r>
        <w:t>’</w:t>
      </w:r>
      <w:r>
        <w:rPr>
          <w:lang w:val="en-US"/>
        </w:rPr>
        <w:t>s day. PVs offer a simple, proven solution to generating renewable electricity.</w:t>
      </w:r>
    </w:p>
    <w:p w14:paraId="7D8E9C21" w14:textId="77777777" w:rsidR="003C22C9" w:rsidRDefault="003C22C9">
      <w:pPr>
        <w:pStyle w:val="Default"/>
      </w:pPr>
    </w:p>
    <w:p w14:paraId="6308987F" w14:textId="0457739B" w:rsidR="003C22C9" w:rsidRDefault="00847AF4">
      <w:pPr>
        <w:pStyle w:val="Default"/>
      </w:pPr>
      <w:r>
        <w:rPr>
          <w:lang w:val="en-US"/>
        </w:rPr>
        <w:t>7.</w:t>
      </w:r>
      <w:r w:rsidR="002D68F6">
        <w:rPr>
          <w:lang w:val="en-US"/>
        </w:rPr>
        <w:t>5</w:t>
      </w:r>
      <w:r>
        <w:rPr>
          <w:lang w:val="en-US"/>
        </w:rPr>
        <w:tab/>
        <w:t>The main types of commercially available PV panels on offer in the UK are constructed from cells as described below:</w:t>
      </w:r>
    </w:p>
    <w:p w14:paraId="5BCF1960" w14:textId="77777777" w:rsidR="003C22C9" w:rsidRDefault="00847AF4" w:rsidP="00C43098">
      <w:pPr>
        <w:pStyle w:val="Default"/>
        <w:numPr>
          <w:ilvl w:val="0"/>
          <w:numId w:val="24"/>
        </w:numPr>
      </w:pPr>
      <w:r>
        <w:rPr>
          <w:lang w:val="en-US"/>
        </w:rPr>
        <w:t xml:space="preserve">Monocrystalline silicon cells are the most efficient of the PV technologies with a conversion efficiency of between 15-18% (available solar energy to electricity produced). They are cut from single ingots of silicon, have an unbroken crystal lattice and are the most expensive of </w:t>
      </w:r>
      <w:proofErr w:type="gramStart"/>
      <w:r>
        <w:rPr>
          <w:lang w:val="en-US"/>
        </w:rPr>
        <w:t>PVs;</w:t>
      </w:r>
      <w:proofErr w:type="gramEnd"/>
    </w:p>
    <w:p w14:paraId="330D5E87" w14:textId="77777777" w:rsidR="003C22C9" w:rsidRDefault="00847AF4" w:rsidP="00C43098">
      <w:pPr>
        <w:pStyle w:val="Default"/>
        <w:numPr>
          <w:ilvl w:val="0"/>
          <w:numId w:val="24"/>
        </w:numPr>
      </w:pPr>
      <w:r>
        <w:rPr>
          <w:lang w:val="en-US"/>
        </w:rPr>
        <w:t xml:space="preserve">Polycrystalline silicon cells have a conversion efficiency of between 13-16%. They are less expensive than monocrystalline cells, are constructed of </w:t>
      </w:r>
      <w:proofErr w:type="gramStart"/>
      <w:r>
        <w:rPr>
          <w:lang w:val="en-US"/>
        </w:rPr>
        <w:t>a number of</w:t>
      </w:r>
      <w:proofErr w:type="gramEnd"/>
      <w:r>
        <w:rPr>
          <w:lang w:val="en-US"/>
        </w:rPr>
        <w:t xml:space="preserve"> smaller crystals and are </w:t>
      </w:r>
      <w:proofErr w:type="spellStart"/>
      <w:r w:rsidR="00C43098">
        <w:rPr>
          <w:lang w:val="en-US"/>
        </w:rPr>
        <w:t>recognisable</w:t>
      </w:r>
      <w:proofErr w:type="spellEnd"/>
      <w:r>
        <w:rPr>
          <w:lang w:val="en-US"/>
        </w:rPr>
        <w:t xml:space="preserve"> from a visible </w:t>
      </w:r>
      <w:r>
        <w:t>‘</w:t>
      </w:r>
      <w:r>
        <w:rPr>
          <w:lang w:val="fr-FR"/>
        </w:rPr>
        <w:t>grain</w:t>
      </w:r>
      <w:r>
        <w:t xml:space="preserve">’ </w:t>
      </w:r>
      <w:r>
        <w:rPr>
          <w:lang w:val="en-US"/>
        </w:rPr>
        <w:t>on the panel; and</w:t>
      </w:r>
    </w:p>
    <w:p w14:paraId="22F0350A" w14:textId="77777777" w:rsidR="003C22C9" w:rsidRDefault="003C22C9">
      <w:pPr>
        <w:pStyle w:val="Default"/>
      </w:pPr>
    </w:p>
    <w:p w14:paraId="22BF59A6" w14:textId="27F3C5B2" w:rsidR="003A0948" w:rsidRPr="00A37469" w:rsidRDefault="00847AF4" w:rsidP="003A0948">
      <w:pPr>
        <w:pStyle w:val="Default"/>
        <w:rPr>
          <w:color w:val="auto"/>
          <w:lang w:val="en-US"/>
        </w:rPr>
      </w:pPr>
      <w:r w:rsidRPr="00A37469">
        <w:rPr>
          <w:color w:val="auto"/>
          <w:lang w:val="en-US"/>
        </w:rPr>
        <w:t>7.</w:t>
      </w:r>
      <w:r w:rsidR="002D68F6">
        <w:rPr>
          <w:color w:val="auto"/>
          <w:lang w:val="en-US"/>
        </w:rPr>
        <w:t>6</w:t>
      </w:r>
      <w:r w:rsidR="00C43098" w:rsidRPr="00A37469">
        <w:rPr>
          <w:color w:val="auto"/>
          <w:lang w:val="en-US"/>
        </w:rPr>
        <w:tab/>
      </w:r>
      <w:r w:rsidR="00F83790">
        <w:rPr>
          <w:lang w:val="en-US"/>
        </w:rPr>
        <w:t xml:space="preserve">At the proposed development solar </w:t>
      </w:r>
      <w:r w:rsidR="00FE3348">
        <w:rPr>
          <w:lang w:val="en-US"/>
        </w:rPr>
        <w:t xml:space="preserve">PV </w:t>
      </w:r>
      <w:r w:rsidR="00F83790">
        <w:rPr>
          <w:lang w:val="en-US"/>
        </w:rPr>
        <w:t xml:space="preserve">systems </w:t>
      </w:r>
      <w:r w:rsidR="00E77A87">
        <w:rPr>
          <w:lang w:val="en-US"/>
        </w:rPr>
        <w:t>were deemed</w:t>
      </w:r>
      <w:r w:rsidR="00F83790">
        <w:rPr>
          <w:lang w:val="en-US"/>
        </w:rPr>
        <w:t xml:space="preserve"> </w:t>
      </w:r>
      <w:r w:rsidR="00EB0296">
        <w:rPr>
          <w:lang w:val="en-US"/>
        </w:rPr>
        <w:t>technically feasible</w:t>
      </w:r>
      <w:r w:rsidR="002D68F6">
        <w:rPr>
          <w:lang w:val="en-US"/>
        </w:rPr>
        <w:t xml:space="preserve"> as part of the initial energy statement</w:t>
      </w:r>
      <w:r w:rsidR="00E77A87">
        <w:rPr>
          <w:lang w:val="en-US"/>
        </w:rPr>
        <w:t xml:space="preserve">, however </w:t>
      </w:r>
      <w:r w:rsidR="002D68F6">
        <w:rPr>
          <w:lang w:val="en-US"/>
        </w:rPr>
        <w:t xml:space="preserve">as </w:t>
      </w:r>
      <w:r w:rsidR="00E77A87">
        <w:rPr>
          <w:lang w:val="en-US"/>
        </w:rPr>
        <w:t xml:space="preserve">the installed ASHP systems </w:t>
      </w:r>
      <w:r w:rsidR="002D68F6">
        <w:rPr>
          <w:lang w:val="en-US"/>
        </w:rPr>
        <w:t xml:space="preserve">are deemed to </w:t>
      </w:r>
      <w:r w:rsidR="00E77A87">
        <w:rPr>
          <w:lang w:val="en-US"/>
        </w:rPr>
        <w:t>provide the required CO2 reduction</w:t>
      </w:r>
      <w:r w:rsidR="002D68F6">
        <w:rPr>
          <w:lang w:val="en-US"/>
        </w:rPr>
        <w:t>, no solar PVs have been installed</w:t>
      </w:r>
      <w:r w:rsidR="00D959E2">
        <w:rPr>
          <w:lang w:val="en-US"/>
        </w:rPr>
        <w:t xml:space="preserve"> as part of the completed development. </w:t>
      </w:r>
      <w:r w:rsidR="002D68F6">
        <w:rPr>
          <w:lang w:val="en-US"/>
        </w:rPr>
        <w:t xml:space="preserve"> </w:t>
      </w:r>
      <w:r w:rsidR="003A0948" w:rsidRPr="00A37469">
        <w:rPr>
          <w:color w:val="auto"/>
          <w:lang w:val="en-US"/>
        </w:rPr>
        <w:t xml:space="preserve"> </w:t>
      </w:r>
    </w:p>
    <w:p w14:paraId="21DF0AA6" w14:textId="34C5D6EB" w:rsidR="003A0948" w:rsidRDefault="003A0948" w:rsidP="003A0948">
      <w:pPr>
        <w:pStyle w:val="Default"/>
      </w:pPr>
    </w:p>
    <w:p w14:paraId="24D2CEC3" w14:textId="77777777" w:rsidR="002D68F6" w:rsidRDefault="002D68F6" w:rsidP="003A0948">
      <w:pPr>
        <w:pStyle w:val="Default"/>
      </w:pPr>
    </w:p>
    <w:p w14:paraId="51E48246" w14:textId="77777777" w:rsidR="003C22C9" w:rsidRDefault="00847AF4">
      <w:pPr>
        <w:pStyle w:val="Default"/>
        <w:ind w:firstLine="0"/>
        <w:rPr>
          <w:sz w:val="24"/>
          <w:szCs w:val="24"/>
        </w:rPr>
      </w:pPr>
      <w:r>
        <w:rPr>
          <w:sz w:val="24"/>
          <w:szCs w:val="24"/>
        </w:rPr>
        <w:t xml:space="preserve">‘BE GREEN’ </w:t>
      </w:r>
      <w:r>
        <w:rPr>
          <w:sz w:val="24"/>
          <w:szCs w:val="24"/>
          <w:lang w:val="de-DE"/>
        </w:rPr>
        <w:t xml:space="preserve">EMISSIONS SAVINGS </w:t>
      </w:r>
    </w:p>
    <w:p w14:paraId="4666904B" w14:textId="2669AAD3" w:rsidR="003C22C9" w:rsidRDefault="00847AF4">
      <w:pPr>
        <w:pStyle w:val="Default"/>
      </w:pPr>
      <w:r>
        <w:rPr>
          <w:lang w:val="en-US"/>
        </w:rPr>
        <w:t>7.21</w:t>
      </w:r>
      <w:r>
        <w:rPr>
          <w:lang w:val="en-US"/>
        </w:rPr>
        <w:tab/>
      </w:r>
      <w:r w:rsidR="00205320">
        <w:rPr>
          <w:lang w:val="en-US"/>
        </w:rPr>
        <w:t xml:space="preserve">The </w:t>
      </w:r>
      <w:r w:rsidR="00AF5468">
        <w:rPr>
          <w:lang w:val="en-US"/>
        </w:rPr>
        <w:t>overall savings</w:t>
      </w:r>
      <w:r>
        <w:rPr>
          <w:lang w:val="en-US"/>
        </w:rPr>
        <w:t xml:space="preserve"> from applying the principles of the Energy Hierarchy are </w:t>
      </w:r>
      <w:proofErr w:type="spellStart"/>
      <w:r>
        <w:rPr>
          <w:lang w:val="en-US"/>
        </w:rPr>
        <w:t>summarised</w:t>
      </w:r>
      <w:proofErr w:type="spellEnd"/>
      <w:r>
        <w:rPr>
          <w:lang w:val="en-US"/>
        </w:rPr>
        <w:t xml:space="preserve"> in the tables below:</w:t>
      </w:r>
    </w:p>
    <w:p w14:paraId="67BA776B" w14:textId="77777777" w:rsidR="003C22C9" w:rsidRDefault="003C22C9">
      <w:pPr>
        <w:pStyle w:val="Default"/>
      </w:pPr>
    </w:p>
    <w:p w14:paraId="77842C78" w14:textId="2630CF9A" w:rsidR="003C22C9" w:rsidRDefault="00A85088" w:rsidP="00A85088">
      <w:pPr>
        <w:pStyle w:val="Default"/>
        <w:ind w:firstLine="0"/>
        <w:jc w:val="center"/>
        <w:rPr>
          <w:b/>
          <w:bCs/>
          <w:lang w:val="en-US"/>
        </w:rPr>
      </w:pPr>
      <w:r>
        <w:rPr>
          <w:b/>
          <w:bCs/>
          <w:lang w:val="en-US"/>
        </w:rPr>
        <w:t>‘Be Green’</w:t>
      </w:r>
      <w:r w:rsidR="008B2CDF">
        <w:rPr>
          <w:b/>
          <w:bCs/>
          <w:lang w:val="en-US"/>
        </w:rPr>
        <w:t xml:space="preserve"> </w:t>
      </w:r>
      <w:r w:rsidR="00847AF4">
        <w:rPr>
          <w:b/>
          <w:bCs/>
          <w:lang w:val="en-US"/>
        </w:rPr>
        <w:t xml:space="preserve">Building Emission Ratings for </w:t>
      </w:r>
      <w:proofErr w:type="spellStart"/>
      <w:r w:rsidR="00082290">
        <w:rPr>
          <w:b/>
          <w:bCs/>
          <w:lang w:val="en-US"/>
        </w:rPr>
        <w:t>Maygrove</w:t>
      </w:r>
      <w:proofErr w:type="spellEnd"/>
      <w:r w:rsidR="00082290">
        <w:rPr>
          <w:b/>
          <w:bCs/>
          <w:lang w:val="en-US"/>
        </w:rPr>
        <w:t xml:space="preserve"> Road</w:t>
      </w:r>
      <w:r w:rsidR="00847AF4">
        <w:rPr>
          <w:b/>
          <w:bCs/>
          <w:lang w:val="en-US"/>
        </w:rPr>
        <w:t>:</w:t>
      </w:r>
    </w:p>
    <w:p w14:paraId="24AAE750" w14:textId="77777777" w:rsidR="00442ABA" w:rsidRDefault="00442ABA">
      <w:pPr>
        <w:pStyle w:val="Default"/>
        <w:ind w:firstLine="0"/>
        <w:rPr>
          <w:b/>
          <w:bCs/>
        </w:rPr>
      </w:pPr>
    </w:p>
    <w:tbl>
      <w:tblPr>
        <w:tblStyle w:val="TableGrid3"/>
        <w:tblW w:w="0" w:type="auto"/>
        <w:jc w:val="center"/>
        <w:tblLook w:val="04A0" w:firstRow="1" w:lastRow="0" w:firstColumn="1" w:lastColumn="0" w:noHBand="0" w:noVBand="1"/>
      </w:tblPr>
      <w:tblGrid>
        <w:gridCol w:w="2965"/>
      </w:tblGrid>
      <w:tr w:rsidR="00F83790" w:rsidRPr="00D057FF" w14:paraId="71B697F8" w14:textId="77777777" w:rsidTr="00D057FF">
        <w:trPr>
          <w:trHeight w:val="799"/>
          <w:jc w:val="center"/>
        </w:trPr>
        <w:tc>
          <w:tcPr>
            <w:tcW w:w="2965" w:type="dxa"/>
            <w:shd w:val="clear" w:color="auto" w:fill="auto"/>
            <w:vAlign w:val="center"/>
          </w:tcPr>
          <w:p w14:paraId="4B78BB4F" w14:textId="77777777" w:rsidR="00F83790" w:rsidRPr="00D057FF" w:rsidRDefault="00F83790" w:rsidP="005C65AE">
            <w:pPr>
              <w:jc w:val="center"/>
              <w:rPr>
                <w:rFonts w:asciiTheme="minorHAnsi" w:hAnsiTheme="minorHAnsi" w:cstheme="minorHAnsi"/>
                <w:b/>
                <w:sz w:val="22"/>
                <w:szCs w:val="22"/>
              </w:rPr>
            </w:pPr>
            <w:r w:rsidRPr="00D057FF">
              <w:rPr>
                <w:rFonts w:asciiTheme="minorHAnsi" w:hAnsiTheme="minorHAnsi" w:cstheme="minorHAnsi"/>
                <w:b/>
                <w:sz w:val="22"/>
                <w:szCs w:val="22"/>
              </w:rPr>
              <w:t>Annual CO</w:t>
            </w:r>
            <w:r w:rsidRPr="00D057FF">
              <w:rPr>
                <w:rFonts w:asciiTheme="minorHAnsi" w:hAnsiTheme="minorHAnsi" w:cstheme="minorHAnsi"/>
                <w:b/>
                <w:sz w:val="22"/>
                <w:szCs w:val="22"/>
                <w:vertAlign w:val="subscript"/>
              </w:rPr>
              <w:t>2</w:t>
            </w:r>
            <w:r w:rsidRPr="00D057FF">
              <w:rPr>
                <w:rFonts w:asciiTheme="minorHAnsi" w:hAnsiTheme="minorHAnsi" w:cstheme="minorHAnsi"/>
                <w:b/>
                <w:sz w:val="22"/>
                <w:szCs w:val="22"/>
              </w:rPr>
              <w:t xml:space="preserve"> Emissions (tonnesCO</w:t>
            </w:r>
            <w:r w:rsidRPr="00D057FF">
              <w:rPr>
                <w:rFonts w:asciiTheme="minorHAnsi" w:hAnsiTheme="minorHAnsi" w:cstheme="minorHAnsi"/>
                <w:b/>
                <w:sz w:val="22"/>
                <w:szCs w:val="22"/>
                <w:vertAlign w:val="subscript"/>
              </w:rPr>
              <w:t>2</w:t>
            </w:r>
            <w:r w:rsidRPr="00D057FF">
              <w:rPr>
                <w:rFonts w:asciiTheme="minorHAnsi" w:hAnsiTheme="minorHAnsi" w:cstheme="minorHAnsi"/>
                <w:b/>
                <w:sz w:val="22"/>
                <w:szCs w:val="22"/>
              </w:rPr>
              <w:t>/</w:t>
            </w:r>
            <w:proofErr w:type="spellStart"/>
            <w:r w:rsidRPr="00D057FF">
              <w:rPr>
                <w:rFonts w:asciiTheme="minorHAnsi" w:hAnsiTheme="minorHAnsi" w:cstheme="minorHAnsi"/>
                <w:b/>
                <w:sz w:val="22"/>
                <w:szCs w:val="22"/>
              </w:rPr>
              <w:t>yr</w:t>
            </w:r>
            <w:proofErr w:type="spellEnd"/>
            <w:r w:rsidRPr="00D057FF">
              <w:rPr>
                <w:rFonts w:asciiTheme="minorHAnsi" w:hAnsiTheme="minorHAnsi" w:cstheme="minorHAnsi"/>
                <w:b/>
                <w:sz w:val="22"/>
                <w:szCs w:val="22"/>
              </w:rPr>
              <w:t>)</w:t>
            </w:r>
          </w:p>
        </w:tc>
      </w:tr>
      <w:tr w:rsidR="00F83790" w:rsidRPr="006F41EC" w14:paraId="2A2EEB58" w14:textId="77777777" w:rsidTr="005C65AE">
        <w:trPr>
          <w:trHeight w:val="390"/>
          <w:jc w:val="center"/>
        </w:trPr>
        <w:tc>
          <w:tcPr>
            <w:tcW w:w="2965" w:type="dxa"/>
            <w:vAlign w:val="center"/>
          </w:tcPr>
          <w:p w14:paraId="04F0EFDF" w14:textId="2FE67A8B" w:rsidR="00F83790" w:rsidRPr="006F41EC" w:rsidRDefault="002D68F6" w:rsidP="005C65AE">
            <w:pPr>
              <w:jc w:val="center"/>
              <w:rPr>
                <w:rFonts w:asciiTheme="minorHAnsi" w:hAnsiTheme="minorHAnsi" w:cstheme="minorHAnsi"/>
                <w:sz w:val="22"/>
                <w:szCs w:val="22"/>
              </w:rPr>
            </w:pPr>
            <w:r>
              <w:rPr>
                <w:rFonts w:asciiTheme="minorHAnsi" w:hAnsiTheme="minorHAnsi" w:cstheme="minorHAnsi"/>
                <w:sz w:val="22"/>
                <w:szCs w:val="22"/>
              </w:rPr>
              <w:t>5.91</w:t>
            </w:r>
          </w:p>
        </w:tc>
      </w:tr>
    </w:tbl>
    <w:p w14:paraId="650764AF" w14:textId="77777777" w:rsidR="003C22C9" w:rsidRDefault="003C22C9">
      <w:pPr>
        <w:pStyle w:val="Default"/>
        <w:ind w:firstLine="0"/>
      </w:pPr>
    </w:p>
    <w:p w14:paraId="67AE85FB" w14:textId="77777777" w:rsidR="003C22C9" w:rsidRDefault="003C22C9">
      <w:pPr>
        <w:pStyle w:val="Default"/>
        <w:ind w:firstLine="0"/>
      </w:pPr>
    </w:p>
    <w:p w14:paraId="2D56EA6B" w14:textId="407AA87D" w:rsidR="003C22C9" w:rsidRDefault="00847AF4" w:rsidP="00A85088">
      <w:pPr>
        <w:pStyle w:val="Default"/>
        <w:ind w:firstLine="0"/>
        <w:jc w:val="center"/>
        <w:rPr>
          <w:b/>
          <w:bCs/>
        </w:rPr>
      </w:pPr>
      <w:r>
        <w:rPr>
          <w:b/>
          <w:bCs/>
          <w:lang w:val="en-US"/>
        </w:rPr>
        <w:t xml:space="preserve">Annual Regulated/Unregulated Emissions for </w:t>
      </w:r>
      <w:proofErr w:type="spellStart"/>
      <w:r w:rsidR="00082290">
        <w:rPr>
          <w:b/>
          <w:bCs/>
          <w:lang w:val="en-US"/>
        </w:rPr>
        <w:t>Maygrove</w:t>
      </w:r>
      <w:proofErr w:type="spellEnd"/>
      <w:r w:rsidR="00082290">
        <w:rPr>
          <w:b/>
          <w:bCs/>
          <w:lang w:val="en-US"/>
        </w:rPr>
        <w:t xml:space="preserve"> Road</w:t>
      </w:r>
      <w:r>
        <w:rPr>
          <w:b/>
          <w:bCs/>
          <w:lang w:val="en-US"/>
        </w:rPr>
        <w:t>:</w:t>
      </w:r>
    </w:p>
    <w:tbl>
      <w:tblPr>
        <w:tblStyle w:val="TableGrid1"/>
        <w:tblW w:w="0" w:type="auto"/>
        <w:jc w:val="center"/>
        <w:tblLook w:val="04A0" w:firstRow="1" w:lastRow="0" w:firstColumn="1" w:lastColumn="0" w:noHBand="0" w:noVBand="1"/>
      </w:tblPr>
      <w:tblGrid>
        <w:gridCol w:w="2840"/>
        <w:gridCol w:w="1817"/>
        <w:gridCol w:w="2861"/>
      </w:tblGrid>
      <w:tr w:rsidR="002D68F6" w:rsidRPr="00792502" w14:paraId="696D35B0" w14:textId="77777777" w:rsidTr="00113499">
        <w:trPr>
          <w:trHeight w:val="350"/>
          <w:jc w:val="center"/>
        </w:trPr>
        <w:tc>
          <w:tcPr>
            <w:tcW w:w="2840" w:type="dxa"/>
            <w:vMerge w:val="restart"/>
            <w:tcBorders>
              <w:top w:val="single" w:sz="4" w:space="0" w:color="auto"/>
              <w:left w:val="single" w:sz="4" w:space="0" w:color="auto"/>
            </w:tcBorders>
            <w:shd w:val="clear" w:color="auto" w:fill="706B6E"/>
            <w:vAlign w:val="center"/>
          </w:tcPr>
          <w:p w14:paraId="5D1F4249" w14:textId="77777777" w:rsidR="002D68F6" w:rsidRPr="00792502" w:rsidRDefault="002D68F6" w:rsidP="00113499">
            <w:pPr>
              <w:jc w:val="both"/>
              <w:rPr>
                <w:rFonts w:asciiTheme="minorHAnsi" w:hAnsiTheme="minorHAnsi" w:cstheme="minorHAnsi"/>
                <w:sz w:val="22"/>
                <w:szCs w:val="22"/>
              </w:rPr>
            </w:pPr>
          </w:p>
        </w:tc>
        <w:tc>
          <w:tcPr>
            <w:tcW w:w="4678" w:type="dxa"/>
            <w:gridSpan w:val="2"/>
            <w:shd w:val="clear" w:color="auto" w:fill="auto"/>
            <w:vAlign w:val="center"/>
          </w:tcPr>
          <w:p w14:paraId="133EC08A" w14:textId="77777777" w:rsidR="002D68F6" w:rsidRPr="00207412" w:rsidRDefault="002D68F6" w:rsidP="00113499">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CO</w:t>
            </w:r>
            <w:r w:rsidRPr="00207412">
              <w:rPr>
                <w:rFonts w:asciiTheme="minorHAnsi" w:hAnsiTheme="minorHAnsi" w:cstheme="minorHAnsi"/>
                <w:b/>
                <w:color w:val="000000" w:themeColor="text1"/>
                <w:sz w:val="22"/>
                <w:szCs w:val="22"/>
                <w:vertAlign w:val="subscript"/>
              </w:rPr>
              <w:t>2</w:t>
            </w:r>
            <w:r w:rsidRPr="00207412">
              <w:rPr>
                <w:rFonts w:asciiTheme="minorHAnsi" w:hAnsiTheme="minorHAnsi" w:cstheme="minorHAnsi"/>
                <w:b/>
                <w:color w:val="000000" w:themeColor="text1"/>
                <w:sz w:val="22"/>
                <w:szCs w:val="22"/>
              </w:rPr>
              <w:t xml:space="preserve"> Emissions (tonnes/annum)</w:t>
            </w:r>
          </w:p>
        </w:tc>
      </w:tr>
      <w:tr w:rsidR="002D68F6" w:rsidRPr="00792502" w14:paraId="2CD3F9F3" w14:textId="77777777" w:rsidTr="00113499">
        <w:trPr>
          <w:trHeight w:val="186"/>
          <w:jc w:val="center"/>
        </w:trPr>
        <w:tc>
          <w:tcPr>
            <w:tcW w:w="2840" w:type="dxa"/>
            <w:vMerge/>
            <w:tcBorders>
              <w:left w:val="single" w:sz="4" w:space="0" w:color="auto"/>
            </w:tcBorders>
            <w:shd w:val="clear" w:color="auto" w:fill="706B6E"/>
            <w:vAlign w:val="center"/>
          </w:tcPr>
          <w:p w14:paraId="1DB18CB0" w14:textId="77777777" w:rsidR="002D68F6" w:rsidRPr="00792502" w:rsidRDefault="002D68F6" w:rsidP="00113499">
            <w:pPr>
              <w:jc w:val="both"/>
              <w:rPr>
                <w:rFonts w:asciiTheme="minorHAnsi" w:hAnsiTheme="minorHAnsi" w:cstheme="minorHAnsi"/>
                <w:sz w:val="22"/>
                <w:szCs w:val="22"/>
              </w:rPr>
            </w:pPr>
          </w:p>
        </w:tc>
        <w:tc>
          <w:tcPr>
            <w:tcW w:w="1817" w:type="dxa"/>
            <w:shd w:val="clear" w:color="auto" w:fill="auto"/>
            <w:vAlign w:val="center"/>
          </w:tcPr>
          <w:p w14:paraId="3F6EF70E" w14:textId="77777777" w:rsidR="002D68F6" w:rsidRPr="00207412" w:rsidRDefault="002D68F6" w:rsidP="00113499">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Regulated</w:t>
            </w:r>
          </w:p>
        </w:tc>
        <w:tc>
          <w:tcPr>
            <w:tcW w:w="2861" w:type="dxa"/>
            <w:shd w:val="clear" w:color="auto" w:fill="auto"/>
            <w:vAlign w:val="center"/>
          </w:tcPr>
          <w:p w14:paraId="1F08B9FE" w14:textId="77777777" w:rsidR="002D68F6" w:rsidRPr="00207412" w:rsidRDefault="002D68F6" w:rsidP="00113499">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Unregulated</w:t>
            </w:r>
          </w:p>
        </w:tc>
      </w:tr>
      <w:tr w:rsidR="002D68F6" w:rsidRPr="00792502" w14:paraId="6485195A" w14:textId="77777777" w:rsidTr="00113499">
        <w:trPr>
          <w:trHeight w:val="350"/>
          <w:jc w:val="center"/>
        </w:trPr>
        <w:tc>
          <w:tcPr>
            <w:tcW w:w="2840" w:type="dxa"/>
            <w:vAlign w:val="center"/>
          </w:tcPr>
          <w:p w14:paraId="5B28AD5A" w14:textId="77777777" w:rsidR="002D68F6" w:rsidRPr="00792502" w:rsidRDefault="002D68F6" w:rsidP="00113499">
            <w:pPr>
              <w:rPr>
                <w:rFonts w:asciiTheme="minorHAnsi" w:hAnsiTheme="minorHAnsi" w:cstheme="minorHAnsi"/>
                <w:sz w:val="22"/>
                <w:szCs w:val="22"/>
              </w:rPr>
            </w:pPr>
            <w:r w:rsidRPr="00792502">
              <w:rPr>
                <w:rFonts w:asciiTheme="minorHAnsi" w:hAnsiTheme="minorHAnsi" w:cstheme="minorHAnsi"/>
                <w:sz w:val="22"/>
                <w:szCs w:val="22"/>
              </w:rPr>
              <w:t>Building Regulations 2013 Part L Compliant Project</w:t>
            </w:r>
          </w:p>
        </w:tc>
        <w:tc>
          <w:tcPr>
            <w:tcW w:w="1817" w:type="dxa"/>
            <w:vAlign w:val="center"/>
          </w:tcPr>
          <w:p w14:paraId="428F39E0"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10.78</w:t>
            </w:r>
          </w:p>
        </w:tc>
        <w:tc>
          <w:tcPr>
            <w:tcW w:w="2861" w:type="dxa"/>
            <w:vAlign w:val="center"/>
          </w:tcPr>
          <w:p w14:paraId="0BAC1A99"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2.62</w:t>
            </w:r>
          </w:p>
        </w:tc>
      </w:tr>
      <w:tr w:rsidR="002D68F6" w:rsidRPr="00792502" w14:paraId="39CA91F1" w14:textId="77777777" w:rsidTr="00113499">
        <w:trPr>
          <w:trHeight w:val="350"/>
          <w:jc w:val="center"/>
        </w:trPr>
        <w:tc>
          <w:tcPr>
            <w:tcW w:w="2840" w:type="dxa"/>
            <w:vAlign w:val="center"/>
          </w:tcPr>
          <w:p w14:paraId="612A6D42" w14:textId="77777777" w:rsidR="002D68F6" w:rsidRPr="00792502" w:rsidRDefault="002D68F6" w:rsidP="00113499">
            <w:pPr>
              <w:jc w:val="both"/>
              <w:rPr>
                <w:rFonts w:asciiTheme="minorHAnsi" w:hAnsiTheme="minorHAnsi" w:cstheme="minorHAnsi"/>
                <w:sz w:val="22"/>
                <w:szCs w:val="22"/>
              </w:rPr>
            </w:pPr>
            <w:r w:rsidRPr="00792502">
              <w:rPr>
                <w:rFonts w:asciiTheme="minorHAnsi" w:hAnsiTheme="minorHAnsi" w:cstheme="minorHAnsi"/>
                <w:sz w:val="22"/>
                <w:szCs w:val="22"/>
              </w:rPr>
              <w:t xml:space="preserve">‘Be Lean’ </w:t>
            </w:r>
          </w:p>
        </w:tc>
        <w:tc>
          <w:tcPr>
            <w:tcW w:w="1817" w:type="dxa"/>
            <w:vAlign w:val="center"/>
          </w:tcPr>
          <w:p w14:paraId="33AE5578"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4211A3ED"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2.62</w:t>
            </w:r>
          </w:p>
        </w:tc>
      </w:tr>
      <w:tr w:rsidR="002D68F6" w:rsidRPr="00792502" w14:paraId="5D82CFE0" w14:textId="77777777" w:rsidTr="00113499">
        <w:trPr>
          <w:trHeight w:val="333"/>
          <w:jc w:val="center"/>
        </w:trPr>
        <w:tc>
          <w:tcPr>
            <w:tcW w:w="2840" w:type="dxa"/>
            <w:vAlign w:val="center"/>
          </w:tcPr>
          <w:p w14:paraId="2B4D9209" w14:textId="77777777" w:rsidR="002D68F6" w:rsidRPr="00792502" w:rsidRDefault="002D68F6" w:rsidP="00113499">
            <w:pPr>
              <w:jc w:val="both"/>
              <w:rPr>
                <w:rFonts w:asciiTheme="minorHAnsi" w:hAnsiTheme="minorHAnsi" w:cstheme="minorHAnsi"/>
                <w:sz w:val="22"/>
                <w:szCs w:val="22"/>
              </w:rPr>
            </w:pPr>
            <w:r w:rsidRPr="00792502">
              <w:rPr>
                <w:rFonts w:asciiTheme="minorHAnsi" w:hAnsiTheme="minorHAnsi" w:cstheme="minorHAnsi"/>
                <w:sz w:val="22"/>
                <w:szCs w:val="22"/>
              </w:rPr>
              <w:t xml:space="preserve">‘Be Clean’ </w:t>
            </w:r>
          </w:p>
        </w:tc>
        <w:tc>
          <w:tcPr>
            <w:tcW w:w="1817" w:type="dxa"/>
            <w:vAlign w:val="center"/>
          </w:tcPr>
          <w:p w14:paraId="59E821AF"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39611C2D"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2.62</w:t>
            </w:r>
          </w:p>
        </w:tc>
      </w:tr>
      <w:tr w:rsidR="002D68F6" w:rsidRPr="00792502" w14:paraId="3D0BE752" w14:textId="77777777" w:rsidTr="00113499">
        <w:trPr>
          <w:trHeight w:val="350"/>
          <w:jc w:val="center"/>
        </w:trPr>
        <w:tc>
          <w:tcPr>
            <w:tcW w:w="2840" w:type="dxa"/>
            <w:vAlign w:val="center"/>
          </w:tcPr>
          <w:p w14:paraId="7E6DA2EE" w14:textId="77777777" w:rsidR="002D68F6" w:rsidRPr="00792502" w:rsidRDefault="002D68F6" w:rsidP="00113499">
            <w:pPr>
              <w:jc w:val="both"/>
              <w:rPr>
                <w:rFonts w:asciiTheme="minorHAnsi" w:hAnsiTheme="minorHAnsi" w:cstheme="minorHAnsi"/>
                <w:sz w:val="22"/>
                <w:szCs w:val="22"/>
              </w:rPr>
            </w:pPr>
            <w:r w:rsidRPr="00792502">
              <w:rPr>
                <w:rFonts w:asciiTheme="minorHAnsi" w:hAnsiTheme="minorHAnsi" w:cstheme="minorHAnsi"/>
                <w:sz w:val="22"/>
                <w:szCs w:val="22"/>
              </w:rPr>
              <w:t>‘Be Green’</w:t>
            </w:r>
          </w:p>
        </w:tc>
        <w:tc>
          <w:tcPr>
            <w:tcW w:w="1817" w:type="dxa"/>
            <w:vAlign w:val="center"/>
          </w:tcPr>
          <w:p w14:paraId="4F108D81"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5.91</w:t>
            </w:r>
          </w:p>
        </w:tc>
        <w:tc>
          <w:tcPr>
            <w:tcW w:w="2861" w:type="dxa"/>
            <w:vAlign w:val="center"/>
          </w:tcPr>
          <w:p w14:paraId="4911703E" w14:textId="77777777" w:rsidR="002D68F6" w:rsidRPr="00792502" w:rsidRDefault="002D68F6" w:rsidP="00113499">
            <w:pPr>
              <w:jc w:val="center"/>
              <w:rPr>
                <w:rFonts w:asciiTheme="minorHAnsi" w:hAnsiTheme="minorHAnsi" w:cstheme="minorHAnsi"/>
                <w:sz w:val="22"/>
                <w:szCs w:val="22"/>
              </w:rPr>
            </w:pPr>
            <w:r>
              <w:rPr>
                <w:rFonts w:asciiTheme="minorHAnsi" w:hAnsiTheme="minorHAnsi" w:cstheme="minorHAnsi"/>
                <w:sz w:val="22"/>
                <w:szCs w:val="22"/>
              </w:rPr>
              <w:t>2.62</w:t>
            </w:r>
          </w:p>
        </w:tc>
      </w:tr>
    </w:tbl>
    <w:p w14:paraId="341CA463" w14:textId="77777777" w:rsidR="0086451C" w:rsidRDefault="0086451C" w:rsidP="00A85088">
      <w:pPr>
        <w:pStyle w:val="Default"/>
        <w:jc w:val="center"/>
        <w:rPr>
          <w:b/>
          <w:bCs/>
          <w:lang w:val="en-US"/>
        </w:rPr>
      </w:pPr>
    </w:p>
    <w:p w14:paraId="4CD2CF6A" w14:textId="1C423CA1" w:rsidR="003C22C9" w:rsidRDefault="00A85088" w:rsidP="00A85088">
      <w:pPr>
        <w:pStyle w:val="Default"/>
        <w:jc w:val="center"/>
        <w:rPr>
          <w:b/>
          <w:bCs/>
          <w:lang w:val="en-US"/>
        </w:rPr>
      </w:pPr>
      <w:r>
        <w:rPr>
          <w:b/>
          <w:bCs/>
          <w:lang w:val="en-US"/>
        </w:rPr>
        <w:t>‘Be Green’</w:t>
      </w:r>
      <w:r w:rsidR="003258A5">
        <w:rPr>
          <w:b/>
          <w:bCs/>
          <w:lang w:val="en-US"/>
        </w:rPr>
        <w:t xml:space="preserve"> </w:t>
      </w:r>
      <w:r w:rsidR="00847AF4">
        <w:rPr>
          <w:b/>
          <w:bCs/>
          <w:lang w:val="en-US"/>
        </w:rPr>
        <w:t xml:space="preserve">Emission Savings for </w:t>
      </w:r>
      <w:proofErr w:type="spellStart"/>
      <w:r w:rsidR="00082290">
        <w:rPr>
          <w:b/>
          <w:bCs/>
          <w:lang w:val="en-US"/>
        </w:rPr>
        <w:t>Maygrove</w:t>
      </w:r>
      <w:proofErr w:type="spellEnd"/>
      <w:r w:rsidR="00082290">
        <w:rPr>
          <w:b/>
          <w:bCs/>
          <w:lang w:val="en-US"/>
        </w:rPr>
        <w:t xml:space="preserve"> Road</w:t>
      </w:r>
      <w:r w:rsidR="00847AF4">
        <w:rPr>
          <w:b/>
          <w:bCs/>
          <w:lang w:val="en-US"/>
        </w:rPr>
        <w:t>:</w:t>
      </w:r>
    </w:p>
    <w:tbl>
      <w:tblPr>
        <w:tblStyle w:val="TableGrid"/>
        <w:tblW w:w="0" w:type="auto"/>
        <w:jc w:val="center"/>
        <w:tblLook w:val="04A0" w:firstRow="1" w:lastRow="0" w:firstColumn="1" w:lastColumn="0" w:noHBand="0" w:noVBand="1"/>
      </w:tblPr>
      <w:tblGrid>
        <w:gridCol w:w="1980"/>
        <w:gridCol w:w="2367"/>
        <w:gridCol w:w="2927"/>
      </w:tblGrid>
      <w:tr w:rsidR="00442ABA" w:rsidRPr="00845C81" w14:paraId="74188722" w14:textId="77777777" w:rsidTr="00D057FF">
        <w:trPr>
          <w:trHeight w:val="340"/>
          <w:jc w:val="center"/>
        </w:trPr>
        <w:tc>
          <w:tcPr>
            <w:tcW w:w="1980" w:type="dxa"/>
            <w:vMerge w:val="restart"/>
            <w:tcBorders>
              <w:top w:val="single" w:sz="4" w:space="0" w:color="auto"/>
              <w:left w:val="single" w:sz="4" w:space="0" w:color="auto"/>
            </w:tcBorders>
            <w:shd w:val="clear" w:color="auto" w:fill="706B6E"/>
            <w:vAlign w:val="center"/>
          </w:tcPr>
          <w:p w14:paraId="4E6BFF88" w14:textId="77777777" w:rsidR="00442ABA" w:rsidRPr="00845C81" w:rsidRDefault="00442ABA" w:rsidP="005C65AE">
            <w:pPr>
              <w:pStyle w:val="Default"/>
              <w:jc w:val="center"/>
              <w:rPr>
                <w:b/>
                <w:bCs/>
              </w:rPr>
            </w:pPr>
          </w:p>
        </w:tc>
        <w:tc>
          <w:tcPr>
            <w:tcW w:w="5294" w:type="dxa"/>
            <w:gridSpan w:val="2"/>
            <w:shd w:val="clear" w:color="auto" w:fill="auto"/>
            <w:vAlign w:val="center"/>
          </w:tcPr>
          <w:p w14:paraId="2036DF12" w14:textId="77777777" w:rsidR="00442ABA" w:rsidRPr="00D057FF" w:rsidRDefault="00442ABA" w:rsidP="005C65AE">
            <w:pPr>
              <w:pStyle w:val="Default"/>
              <w:jc w:val="center"/>
              <w:rPr>
                <w:b/>
                <w:bCs/>
                <w:color w:val="auto"/>
              </w:rPr>
            </w:pPr>
            <w:r w:rsidRPr="00D057FF">
              <w:rPr>
                <w:b/>
                <w:bCs/>
                <w:color w:val="auto"/>
              </w:rPr>
              <w:t>Regulated CO</w:t>
            </w:r>
            <w:r w:rsidRPr="00D057FF">
              <w:rPr>
                <w:b/>
                <w:bCs/>
                <w:color w:val="auto"/>
                <w:vertAlign w:val="subscript"/>
              </w:rPr>
              <w:t>2</w:t>
            </w:r>
            <w:r w:rsidRPr="00D057FF">
              <w:rPr>
                <w:b/>
                <w:bCs/>
                <w:color w:val="auto"/>
              </w:rPr>
              <w:t xml:space="preserve"> Savings</w:t>
            </w:r>
          </w:p>
        </w:tc>
      </w:tr>
      <w:tr w:rsidR="00442ABA" w:rsidRPr="00845C81" w14:paraId="2597B92C" w14:textId="77777777" w:rsidTr="00D057FF">
        <w:trPr>
          <w:trHeight w:val="179"/>
          <w:jc w:val="center"/>
        </w:trPr>
        <w:tc>
          <w:tcPr>
            <w:tcW w:w="1980" w:type="dxa"/>
            <w:vMerge/>
            <w:tcBorders>
              <w:left w:val="single" w:sz="4" w:space="0" w:color="auto"/>
            </w:tcBorders>
            <w:shd w:val="clear" w:color="auto" w:fill="706B6E"/>
            <w:vAlign w:val="center"/>
          </w:tcPr>
          <w:p w14:paraId="6C051C22" w14:textId="77777777" w:rsidR="00442ABA" w:rsidRPr="00845C81" w:rsidRDefault="00442ABA" w:rsidP="005C65AE">
            <w:pPr>
              <w:pStyle w:val="Default"/>
              <w:jc w:val="center"/>
              <w:rPr>
                <w:b/>
                <w:bCs/>
              </w:rPr>
            </w:pPr>
          </w:p>
        </w:tc>
        <w:tc>
          <w:tcPr>
            <w:tcW w:w="2367" w:type="dxa"/>
            <w:shd w:val="clear" w:color="auto" w:fill="auto"/>
            <w:vAlign w:val="center"/>
          </w:tcPr>
          <w:p w14:paraId="1B153D10" w14:textId="77777777" w:rsidR="00442ABA" w:rsidRPr="00D057FF" w:rsidRDefault="00442ABA" w:rsidP="005C65AE">
            <w:pPr>
              <w:pStyle w:val="Default"/>
              <w:jc w:val="center"/>
              <w:rPr>
                <w:b/>
                <w:bCs/>
                <w:color w:val="auto"/>
              </w:rPr>
            </w:pPr>
            <w:r w:rsidRPr="00D057FF">
              <w:rPr>
                <w:b/>
                <w:bCs/>
                <w:color w:val="auto"/>
              </w:rPr>
              <w:t>Tonnes CO</w:t>
            </w:r>
            <w:r w:rsidRPr="00D057FF">
              <w:rPr>
                <w:b/>
                <w:bCs/>
                <w:color w:val="auto"/>
                <w:vertAlign w:val="subscript"/>
              </w:rPr>
              <w:t>2</w:t>
            </w:r>
            <w:r w:rsidRPr="00D057FF">
              <w:rPr>
                <w:b/>
                <w:bCs/>
                <w:color w:val="auto"/>
              </w:rPr>
              <w:t>/annum</w:t>
            </w:r>
          </w:p>
        </w:tc>
        <w:tc>
          <w:tcPr>
            <w:tcW w:w="2927" w:type="dxa"/>
            <w:shd w:val="clear" w:color="auto" w:fill="auto"/>
            <w:vAlign w:val="center"/>
          </w:tcPr>
          <w:p w14:paraId="18D45A45" w14:textId="77777777" w:rsidR="00442ABA" w:rsidRPr="00D057FF" w:rsidRDefault="00442ABA" w:rsidP="005C65AE">
            <w:pPr>
              <w:pStyle w:val="Default"/>
              <w:jc w:val="center"/>
              <w:rPr>
                <w:b/>
                <w:bCs/>
                <w:color w:val="auto"/>
              </w:rPr>
            </w:pPr>
            <w:r w:rsidRPr="00D057FF">
              <w:rPr>
                <w:b/>
                <w:bCs/>
                <w:color w:val="auto"/>
              </w:rPr>
              <w:t>Percentage Savings (%)</w:t>
            </w:r>
          </w:p>
        </w:tc>
      </w:tr>
      <w:tr w:rsidR="00442ABA" w:rsidRPr="00845C81" w14:paraId="12AB4D94" w14:textId="77777777" w:rsidTr="005C65AE">
        <w:trPr>
          <w:trHeight w:val="340"/>
          <w:jc w:val="center"/>
        </w:trPr>
        <w:tc>
          <w:tcPr>
            <w:tcW w:w="1980" w:type="dxa"/>
            <w:vAlign w:val="center"/>
          </w:tcPr>
          <w:p w14:paraId="48A797FD" w14:textId="77777777" w:rsidR="00442ABA" w:rsidRPr="00792502" w:rsidRDefault="00442ABA" w:rsidP="005C65AE">
            <w:pPr>
              <w:pStyle w:val="Default"/>
              <w:jc w:val="center"/>
              <w:rPr>
                <w:bCs/>
              </w:rPr>
            </w:pPr>
            <w:r w:rsidRPr="00792502">
              <w:rPr>
                <w:bCs/>
              </w:rPr>
              <w:t xml:space="preserve">‘Be Lean’ </w:t>
            </w:r>
          </w:p>
        </w:tc>
        <w:tc>
          <w:tcPr>
            <w:tcW w:w="2367" w:type="dxa"/>
            <w:vAlign w:val="center"/>
          </w:tcPr>
          <w:p w14:paraId="607E97EE" w14:textId="446F3194" w:rsidR="00442ABA" w:rsidRPr="00792502" w:rsidRDefault="002D68F6" w:rsidP="005C65AE">
            <w:pPr>
              <w:pStyle w:val="Default"/>
              <w:jc w:val="center"/>
              <w:rPr>
                <w:bCs/>
              </w:rPr>
            </w:pPr>
            <w:r>
              <w:rPr>
                <w:bCs/>
              </w:rPr>
              <w:t>2.47</w:t>
            </w:r>
          </w:p>
        </w:tc>
        <w:tc>
          <w:tcPr>
            <w:tcW w:w="2927" w:type="dxa"/>
            <w:vAlign w:val="center"/>
          </w:tcPr>
          <w:p w14:paraId="73976930" w14:textId="415A873C" w:rsidR="00442ABA" w:rsidRPr="00792502" w:rsidRDefault="002D68F6" w:rsidP="005C65AE">
            <w:pPr>
              <w:pStyle w:val="Default"/>
              <w:jc w:val="center"/>
              <w:rPr>
                <w:bCs/>
              </w:rPr>
            </w:pPr>
            <w:r>
              <w:rPr>
                <w:bCs/>
              </w:rPr>
              <w:t>22.88</w:t>
            </w:r>
          </w:p>
        </w:tc>
      </w:tr>
      <w:tr w:rsidR="00442ABA" w:rsidRPr="00845C81" w14:paraId="3924DB59" w14:textId="77777777" w:rsidTr="005C65AE">
        <w:trPr>
          <w:trHeight w:val="323"/>
          <w:jc w:val="center"/>
        </w:trPr>
        <w:tc>
          <w:tcPr>
            <w:tcW w:w="1980" w:type="dxa"/>
            <w:vAlign w:val="center"/>
          </w:tcPr>
          <w:p w14:paraId="50CBD30C" w14:textId="77777777" w:rsidR="00442ABA" w:rsidRPr="00792502" w:rsidRDefault="00442ABA" w:rsidP="005C65AE">
            <w:pPr>
              <w:pStyle w:val="Default"/>
              <w:jc w:val="center"/>
              <w:rPr>
                <w:bCs/>
              </w:rPr>
            </w:pPr>
            <w:r w:rsidRPr="00792502">
              <w:rPr>
                <w:bCs/>
              </w:rPr>
              <w:t xml:space="preserve">‘Be Clean’ </w:t>
            </w:r>
          </w:p>
        </w:tc>
        <w:tc>
          <w:tcPr>
            <w:tcW w:w="2367" w:type="dxa"/>
            <w:vAlign w:val="center"/>
          </w:tcPr>
          <w:p w14:paraId="366C5A9D" w14:textId="77777777" w:rsidR="00442ABA" w:rsidRPr="00792502" w:rsidRDefault="00442ABA" w:rsidP="005C65AE">
            <w:pPr>
              <w:pStyle w:val="Default"/>
              <w:jc w:val="center"/>
              <w:rPr>
                <w:bCs/>
              </w:rPr>
            </w:pPr>
            <w:r>
              <w:rPr>
                <w:bCs/>
              </w:rPr>
              <w:t>0.00</w:t>
            </w:r>
          </w:p>
        </w:tc>
        <w:tc>
          <w:tcPr>
            <w:tcW w:w="2927" w:type="dxa"/>
            <w:vAlign w:val="center"/>
          </w:tcPr>
          <w:p w14:paraId="75DCF80C" w14:textId="77777777" w:rsidR="00442ABA" w:rsidRPr="00792502" w:rsidRDefault="00442ABA" w:rsidP="005C65AE">
            <w:pPr>
              <w:pStyle w:val="Default"/>
              <w:jc w:val="center"/>
              <w:rPr>
                <w:bCs/>
              </w:rPr>
            </w:pPr>
            <w:r>
              <w:rPr>
                <w:bCs/>
              </w:rPr>
              <w:t>0.00</w:t>
            </w:r>
          </w:p>
        </w:tc>
      </w:tr>
      <w:tr w:rsidR="00442ABA" w:rsidRPr="00845C81" w14:paraId="4A215DE0" w14:textId="77777777" w:rsidTr="005C65AE">
        <w:trPr>
          <w:trHeight w:val="340"/>
          <w:jc w:val="center"/>
        </w:trPr>
        <w:tc>
          <w:tcPr>
            <w:tcW w:w="1980" w:type="dxa"/>
            <w:vAlign w:val="center"/>
          </w:tcPr>
          <w:p w14:paraId="55FFA9E4" w14:textId="77777777" w:rsidR="00442ABA" w:rsidRPr="00792502" w:rsidRDefault="00442ABA" w:rsidP="005C65AE">
            <w:pPr>
              <w:pStyle w:val="Default"/>
              <w:jc w:val="center"/>
              <w:rPr>
                <w:bCs/>
              </w:rPr>
            </w:pPr>
            <w:r w:rsidRPr="00792502">
              <w:rPr>
                <w:bCs/>
              </w:rPr>
              <w:t>‘Be Green’</w:t>
            </w:r>
          </w:p>
        </w:tc>
        <w:tc>
          <w:tcPr>
            <w:tcW w:w="2367" w:type="dxa"/>
            <w:vAlign w:val="center"/>
          </w:tcPr>
          <w:p w14:paraId="4C257162" w14:textId="55F04FC8" w:rsidR="00442ABA" w:rsidRPr="00792502" w:rsidRDefault="002D68F6" w:rsidP="005C65AE">
            <w:pPr>
              <w:pStyle w:val="Default"/>
              <w:jc w:val="center"/>
              <w:rPr>
                <w:bCs/>
              </w:rPr>
            </w:pPr>
            <w:r>
              <w:rPr>
                <w:bCs/>
              </w:rPr>
              <w:t>2.40</w:t>
            </w:r>
          </w:p>
        </w:tc>
        <w:tc>
          <w:tcPr>
            <w:tcW w:w="2927" w:type="dxa"/>
            <w:vAlign w:val="center"/>
          </w:tcPr>
          <w:p w14:paraId="537BA979" w14:textId="1125BF33" w:rsidR="00442ABA" w:rsidRPr="00792502" w:rsidRDefault="002D68F6" w:rsidP="005C65AE">
            <w:pPr>
              <w:pStyle w:val="Default"/>
              <w:jc w:val="center"/>
              <w:rPr>
                <w:bCs/>
              </w:rPr>
            </w:pPr>
            <w:r>
              <w:rPr>
                <w:bCs/>
              </w:rPr>
              <w:t>22.30</w:t>
            </w:r>
          </w:p>
        </w:tc>
      </w:tr>
    </w:tbl>
    <w:p w14:paraId="7D1B28D2" w14:textId="77777777" w:rsidR="00442ABA" w:rsidRDefault="00442ABA">
      <w:pPr>
        <w:pStyle w:val="Default"/>
        <w:rPr>
          <w:b/>
          <w:bCs/>
        </w:rPr>
      </w:pPr>
    </w:p>
    <w:p w14:paraId="15FA0750" w14:textId="77777777" w:rsidR="00EB0296" w:rsidRDefault="00EB0296">
      <w:pPr>
        <w:rPr>
          <w:rFonts w:ascii="Helvetica" w:hAnsi="Helvetica" w:cs="Arial Unicode MS"/>
          <w:color w:val="000000"/>
          <w:sz w:val="22"/>
          <w:szCs w:val="22"/>
          <w:lang w:eastAsia="en-GB"/>
        </w:rPr>
      </w:pPr>
      <w:r>
        <w:br w:type="page"/>
      </w:r>
    </w:p>
    <w:p w14:paraId="1B7B8C8F" w14:textId="77777777" w:rsidR="001E5037" w:rsidRDefault="001E5037" w:rsidP="00F81C03">
      <w:pPr>
        <w:pStyle w:val="Body"/>
        <w:ind w:left="720" w:hanging="720"/>
        <w:rPr>
          <w:sz w:val="22"/>
          <w:szCs w:val="22"/>
        </w:rPr>
      </w:pPr>
    </w:p>
    <w:p w14:paraId="721B7FEF" w14:textId="77777777" w:rsidR="00EB0296" w:rsidRDefault="00EB0296" w:rsidP="00EB0296">
      <w:pPr>
        <w:pStyle w:val="Heading"/>
      </w:pPr>
      <w:r>
        <w:t>8.0</w:t>
      </w:r>
      <w:r>
        <w:tab/>
        <w:t>CONCLUSION</w:t>
      </w:r>
    </w:p>
    <w:p w14:paraId="2407EFC2" w14:textId="77777777" w:rsidR="003C22C9" w:rsidRPr="00A37469" w:rsidRDefault="003C22C9">
      <w:pPr>
        <w:pStyle w:val="Default"/>
        <w:rPr>
          <w:color w:val="auto"/>
        </w:rPr>
      </w:pPr>
    </w:p>
    <w:p w14:paraId="5F85A9BC" w14:textId="24D67B95" w:rsidR="003C22C9" w:rsidRPr="00A37469" w:rsidRDefault="00847AF4">
      <w:pPr>
        <w:pStyle w:val="Default"/>
        <w:rPr>
          <w:color w:val="auto"/>
        </w:rPr>
      </w:pPr>
      <w:r w:rsidRPr="00A37469">
        <w:rPr>
          <w:color w:val="auto"/>
          <w:lang w:val="en-US"/>
        </w:rPr>
        <w:t>8.1</w:t>
      </w:r>
      <w:r w:rsidRPr="00A37469">
        <w:rPr>
          <w:color w:val="auto"/>
          <w:lang w:val="en-US"/>
        </w:rPr>
        <w:tab/>
        <w:t xml:space="preserve">This Energy </w:t>
      </w:r>
      <w:r w:rsidR="00F313AD">
        <w:rPr>
          <w:color w:val="auto"/>
          <w:lang w:val="en-US"/>
        </w:rPr>
        <w:t xml:space="preserve">&amp; Sustainability </w:t>
      </w:r>
      <w:r w:rsidRPr="00A37469">
        <w:rPr>
          <w:color w:val="auto"/>
          <w:lang w:val="en-US"/>
        </w:rPr>
        <w:t xml:space="preserve">Statement has shown how the </w:t>
      </w:r>
      <w:r w:rsidR="0006171F">
        <w:rPr>
          <w:color w:val="auto"/>
          <w:lang w:val="en-US"/>
        </w:rPr>
        <w:t xml:space="preserve">competed </w:t>
      </w:r>
      <w:r w:rsidRPr="00A37469">
        <w:rPr>
          <w:color w:val="auto"/>
          <w:lang w:val="en-US"/>
        </w:rPr>
        <w:t>development</w:t>
      </w:r>
      <w:r w:rsidR="00CD3B38" w:rsidRPr="00A37469">
        <w:rPr>
          <w:color w:val="auto"/>
          <w:lang w:val="en-US"/>
        </w:rPr>
        <w:t xml:space="preserve"> at </w:t>
      </w:r>
      <w:proofErr w:type="spellStart"/>
      <w:r w:rsidR="00082290">
        <w:rPr>
          <w:color w:val="auto"/>
          <w:lang w:val="en-US"/>
        </w:rPr>
        <w:t>Maygrove</w:t>
      </w:r>
      <w:proofErr w:type="spellEnd"/>
      <w:r w:rsidR="00082290">
        <w:rPr>
          <w:color w:val="auto"/>
          <w:lang w:val="en-US"/>
        </w:rPr>
        <w:t xml:space="preserve"> Road</w:t>
      </w:r>
      <w:r w:rsidR="00CD3B38" w:rsidRPr="00A37469">
        <w:rPr>
          <w:color w:val="auto"/>
          <w:lang w:val="en-US"/>
        </w:rPr>
        <w:t>,</w:t>
      </w:r>
      <w:r w:rsidRPr="00A37469">
        <w:rPr>
          <w:color w:val="auto"/>
          <w:lang w:val="en-US"/>
        </w:rPr>
        <w:t xml:space="preserve"> </w:t>
      </w:r>
      <w:r w:rsidR="0006171F">
        <w:rPr>
          <w:color w:val="auto"/>
          <w:lang w:val="en-US"/>
        </w:rPr>
        <w:t>has been constructed in accordance with</w:t>
      </w:r>
      <w:r w:rsidRPr="00A37469">
        <w:rPr>
          <w:color w:val="auto"/>
          <w:lang w:val="en-US"/>
        </w:rPr>
        <w:t xml:space="preserve"> the Energy Hierarchy and </w:t>
      </w:r>
      <w:r w:rsidR="00F313AD">
        <w:rPr>
          <w:color w:val="auto"/>
          <w:lang w:val="en-US"/>
        </w:rPr>
        <w:t>make</w:t>
      </w:r>
      <w:r w:rsidR="0006171F">
        <w:rPr>
          <w:color w:val="auto"/>
          <w:lang w:val="en-US"/>
        </w:rPr>
        <w:t>s</w:t>
      </w:r>
      <w:r w:rsidR="00F313AD">
        <w:rPr>
          <w:color w:val="auto"/>
          <w:lang w:val="en-US"/>
        </w:rPr>
        <w:t xml:space="preserve"> the fullest contribution to minimizing </w:t>
      </w:r>
      <w:r w:rsidRPr="00A37469">
        <w:rPr>
          <w:color w:val="auto"/>
          <w:lang w:val="en-US"/>
        </w:rPr>
        <w:t xml:space="preserve">carbon dioxide </w:t>
      </w:r>
      <w:r w:rsidR="00F313AD">
        <w:rPr>
          <w:color w:val="auto"/>
          <w:lang w:val="en-US"/>
        </w:rPr>
        <w:t>emissions</w:t>
      </w:r>
      <w:r w:rsidRPr="00A37469">
        <w:rPr>
          <w:color w:val="auto"/>
          <w:lang w:val="en-US"/>
        </w:rPr>
        <w:t xml:space="preserve"> as compared to a Part L</w:t>
      </w:r>
      <w:r w:rsidR="0006171F">
        <w:rPr>
          <w:color w:val="auto"/>
          <w:lang w:val="en-US"/>
        </w:rPr>
        <w:t>1b (</w:t>
      </w:r>
      <w:r w:rsidRPr="00A37469">
        <w:rPr>
          <w:color w:val="auto"/>
          <w:lang w:val="en-US"/>
        </w:rPr>
        <w:t>2013</w:t>
      </w:r>
      <w:r w:rsidR="0006171F">
        <w:rPr>
          <w:color w:val="auto"/>
          <w:lang w:val="en-US"/>
        </w:rPr>
        <w:t>)</w:t>
      </w:r>
      <w:r w:rsidRPr="00A37469">
        <w:rPr>
          <w:color w:val="auto"/>
          <w:lang w:val="en-US"/>
        </w:rPr>
        <w:t xml:space="preserve"> compliant, </w:t>
      </w:r>
      <w:r w:rsidRPr="00A37469">
        <w:rPr>
          <w:color w:val="auto"/>
        </w:rPr>
        <w:t>‘</w:t>
      </w:r>
      <w:r w:rsidRPr="00A37469">
        <w:rPr>
          <w:color w:val="auto"/>
          <w:lang w:val="en-US"/>
        </w:rPr>
        <w:t>business as usual</w:t>
      </w:r>
      <w:r w:rsidRPr="00A37469">
        <w:rPr>
          <w:color w:val="auto"/>
        </w:rPr>
        <w:t xml:space="preserve">’ </w:t>
      </w:r>
      <w:r w:rsidRPr="00A37469">
        <w:rPr>
          <w:color w:val="auto"/>
          <w:lang w:val="en-US"/>
        </w:rPr>
        <w:t xml:space="preserve">building. </w:t>
      </w:r>
    </w:p>
    <w:p w14:paraId="25CD7D58" w14:textId="77777777" w:rsidR="003C22C9" w:rsidRPr="008B2CDF" w:rsidRDefault="003C22C9">
      <w:pPr>
        <w:pStyle w:val="Default"/>
        <w:rPr>
          <w:color w:val="FF0000"/>
        </w:rPr>
      </w:pPr>
    </w:p>
    <w:p w14:paraId="574E6FF6" w14:textId="292DA3DB" w:rsidR="003C22C9" w:rsidRPr="008B2CDF" w:rsidRDefault="00847AF4">
      <w:pPr>
        <w:pStyle w:val="Default"/>
        <w:rPr>
          <w:color w:val="FF0000"/>
        </w:rPr>
      </w:pPr>
      <w:r w:rsidRPr="00A37469">
        <w:rPr>
          <w:color w:val="auto"/>
          <w:lang w:val="en-US"/>
        </w:rPr>
        <w:t>8.2</w:t>
      </w:r>
      <w:r w:rsidRPr="00A37469">
        <w:rPr>
          <w:color w:val="auto"/>
          <w:lang w:val="en-US"/>
        </w:rPr>
        <w:tab/>
        <w:t xml:space="preserve">Following the energy hierarchy has enabled carbon reductions to be calculated for the </w:t>
      </w:r>
      <w:r w:rsidR="0006171F">
        <w:rPr>
          <w:color w:val="auto"/>
          <w:lang w:val="en-US"/>
        </w:rPr>
        <w:t>completed</w:t>
      </w:r>
      <w:r w:rsidRPr="00A37469">
        <w:rPr>
          <w:color w:val="auto"/>
          <w:lang w:val="en-US"/>
        </w:rPr>
        <w:t xml:space="preserve"> de</w:t>
      </w:r>
      <w:r w:rsidRPr="006D6B9C">
        <w:rPr>
          <w:color w:val="auto"/>
          <w:lang w:val="en-US"/>
        </w:rPr>
        <w:t xml:space="preserve">velopment at </w:t>
      </w:r>
      <w:proofErr w:type="spellStart"/>
      <w:r w:rsidR="00082290">
        <w:rPr>
          <w:color w:val="auto"/>
          <w:lang w:val="en-US"/>
        </w:rPr>
        <w:t>Maygrove</w:t>
      </w:r>
      <w:proofErr w:type="spellEnd"/>
      <w:r w:rsidR="00082290">
        <w:rPr>
          <w:color w:val="auto"/>
          <w:lang w:val="en-US"/>
        </w:rPr>
        <w:t xml:space="preserve"> Road</w:t>
      </w:r>
      <w:r w:rsidRPr="006D6B9C">
        <w:rPr>
          <w:color w:val="auto"/>
          <w:lang w:val="en-US"/>
        </w:rPr>
        <w:t xml:space="preserve">. A total overall </w:t>
      </w:r>
      <w:r w:rsidR="00A37469" w:rsidRPr="006D6B9C">
        <w:rPr>
          <w:color w:val="auto"/>
          <w:lang w:val="en-US"/>
        </w:rPr>
        <w:t xml:space="preserve">site-wide </w:t>
      </w:r>
      <w:r w:rsidRPr="006D6B9C">
        <w:rPr>
          <w:color w:val="auto"/>
          <w:lang w:val="en-US"/>
        </w:rPr>
        <w:t xml:space="preserve">carbon reduction of </w:t>
      </w:r>
      <w:r w:rsidR="0006171F">
        <w:rPr>
          <w:color w:val="auto"/>
          <w:lang w:val="en-US"/>
        </w:rPr>
        <w:t>4.87</w:t>
      </w:r>
      <w:r w:rsidRPr="006D6B9C">
        <w:rPr>
          <w:color w:val="auto"/>
          <w:lang w:val="en-US"/>
        </w:rPr>
        <w:t xml:space="preserve"> tC</w:t>
      </w:r>
      <w:proofErr w:type="spellStart"/>
      <w:r w:rsidRPr="006D6B9C">
        <w:rPr>
          <w:color w:val="auto"/>
          <w:lang w:val="en-US"/>
        </w:rPr>
        <w:t>O</w:t>
      </w:r>
      <w:proofErr w:type="spellEnd"/>
      <w:r w:rsidRPr="006D6B9C">
        <w:rPr>
          <w:color w:val="auto"/>
          <w:vertAlign w:val="subscript"/>
        </w:rPr>
        <w:t>2</w:t>
      </w:r>
      <w:r w:rsidRPr="006D6B9C">
        <w:rPr>
          <w:color w:val="auto"/>
          <w:lang w:val="en-US"/>
        </w:rPr>
        <w:t xml:space="preserve">/year equivalent to </w:t>
      </w:r>
      <w:r w:rsidR="0006171F">
        <w:rPr>
          <w:color w:val="auto"/>
          <w:lang w:val="en-US"/>
        </w:rPr>
        <w:t>45.17</w:t>
      </w:r>
      <w:r w:rsidRPr="006D6B9C">
        <w:rPr>
          <w:color w:val="auto"/>
          <w:lang w:val="en-US"/>
        </w:rPr>
        <w:t xml:space="preserve">% </w:t>
      </w:r>
      <w:r w:rsidR="0006171F">
        <w:rPr>
          <w:color w:val="auto"/>
          <w:lang w:val="en-US"/>
        </w:rPr>
        <w:t>has been</w:t>
      </w:r>
      <w:r w:rsidRPr="006D6B9C">
        <w:rPr>
          <w:color w:val="auto"/>
          <w:lang w:val="en-US"/>
        </w:rPr>
        <w:t xml:space="preserve"> achieved through the energy strategy demonstrated in this report.</w:t>
      </w:r>
    </w:p>
    <w:p w14:paraId="772A05C8" w14:textId="77777777" w:rsidR="003C22C9" w:rsidRPr="00A37469" w:rsidRDefault="003C22C9">
      <w:pPr>
        <w:pStyle w:val="Default"/>
        <w:rPr>
          <w:color w:val="auto"/>
        </w:rPr>
      </w:pPr>
    </w:p>
    <w:p w14:paraId="222CCC8F" w14:textId="57B58BD9" w:rsidR="003C22C9" w:rsidRPr="008B2CDF" w:rsidRDefault="00847AF4">
      <w:pPr>
        <w:pStyle w:val="Default"/>
        <w:rPr>
          <w:color w:val="FF0000"/>
        </w:rPr>
      </w:pPr>
      <w:r w:rsidRPr="00A37469">
        <w:rPr>
          <w:color w:val="auto"/>
          <w:lang w:val="en-US"/>
        </w:rPr>
        <w:t xml:space="preserve">8.3 </w:t>
      </w:r>
      <w:r w:rsidRPr="00A37469">
        <w:rPr>
          <w:color w:val="auto"/>
          <w:lang w:val="en-US"/>
        </w:rPr>
        <w:tab/>
        <w:t xml:space="preserve">In accordance with the </w:t>
      </w:r>
      <w:r w:rsidR="00907F71">
        <w:rPr>
          <w:color w:val="auto"/>
          <w:lang w:val="en-US"/>
        </w:rPr>
        <w:t>Energy Hierarchy</w:t>
      </w:r>
      <w:r w:rsidRPr="00A37469">
        <w:rPr>
          <w:color w:val="auto"/>
          <w:lang w:val="en-US"/>
        </w:rPr>
        <w:t xml:space="preserve"> and GLA guidance the baseline energy figures derived from energy calculations have been used. Separately, an un-regulated energy demand has also been reported. The prop</w:t>
      </w:r>
      <w:r w:rsidRPr="006D6B9C">
        <w:rPr>
          <w:color w:val="auto"/>
          <w:lang w:val="en-US"/>
        </w:rPr>
        <w:t xml:space="preserve">osed development is calculated to have </w:t>
      </w:r>
      <w:r w:rsidR="00A37469" w:rsidRPr="006D6B9C">
        <w:rPr>
          <w:color w:val="auto"/>
          <w:lang w:val="en-US"/>
        </w:rPr>
        <w:t xml:space="preserve">a site-wide </w:t>
      </w:r>
      <w:r w:rsidRPr="006D6B9C">
        <w:rPr>
          <w:color w:val="auto"/>
          <w:lang w:val="en-US"/>
        </w:rPr>
        <w:t xml:space="preserve">regulated carbon emissions Notional Baseline of </w:t>
      </w:r>
      <w:r w:rsidR="00D959E2">
        <w:rPr>
          <w:color w:val="auto"/>
          <w:lang w:val="en-US"/>
        </w:rPr>
        <w:t>10.78</w:t>
      </w:r>
      <w:r w:rsidRPr="006D6B9C">
        <w:rPr>
          <w:color w:val="auto"/>
          <w:lang w:val="en-US"/>
        </w:rPr>
        <w:t xml:space="preserve"> </w:t>
      </w:r>
      <w:proofErr w:type="spellStart"/>
      <w:r w:rsidRPr="006D6B9C">
        <w:rPr>
          <w:color w:val="auto"/>
          <w:lang w:val="en-US"/>
        </w:rPr>
        <w:t>tCO</w:t>
      </w:r>
      <w:proofErr w:type="spellEnd"/>
      <w:r w:rsidRPr="006D6B9C">
        <w:rPr>
          <w:color w:val="auto"/>
          <w:vertAlign w:val="subscript"/>
        </w:rPr>
        <w:t>2</w:t>
      </w:r>
      <w:r w:rsidRPr="006D6B9C">
        <w:rPr>
          <w:color w:val="auto"/>
          <w:lang w:val="en-US"/>
        </w:rPr>
        <w:t>/year.</w:t>
      </w:r>
    </w:p>
    <w:p w14:paraId="2BB04A04" w14:textId="77777777" w:rsidR="003C22C9" w:rsidRPr="008B2CDF" w:rsidRDefault="003C22C9">
      <w:pPr>
        <w:pStyle w:val="Default"/>
        <w:rPr>
          <w:color w:val="FF0000"/>
        </w:rPr>
      </w:pPr>
    </w:p>
    <w:p w14:paraId="25143A8B" w14:textId="3E1B0257" w:rsidR="003C22C9" w:rsidRPr="00A37469" w:rsidRDefault="00847AF4">
      <w:pPr>
        <w:pStyle w:val="Default"/>
        <w:rPr>
          <w:color w:val="auto"/>
        </w:rPr>
      </w:pPr>
      <w:r w:rsidRPr="00A37469">
        <w:rPr>
          <w:color w:val="auto"/>
          <w:lang w:val="en-US"/>
        </w:rPr>
        <w:t xml:space="preserve">8.4 </w:t>
      </w:r>
      <w:r w:rsidRPr="00A37469">
        <w:rPr>
          <w:color w:val="auto"/>
          <w:lang w:val="en-US"/>
        </w:rPr>
        <w:tab/>
        <w:t>In the first stage of the</w:t>
      </w:r>
      <w:r w:rsidRPr="006D6B9C">
        <w:rPr>
          <w:color w:val="auto"/>
          <w:lang w:val="en-US"/>
        </w:rPr>
        <w:t xml:space="preserve"> energy hierarchy (Be Lean), a </w:t>
      </w:r>
      <w:r w:rsidR="00D959E2">
        <w:rPr>
          <w:color w:val="auto"/>
          <w:lang w:val="en-US"/>
        </w:rPr>
        <w:t xml:space="preserve">2.47 </w:t>
      </w:r>
      <w:proofErr w:type="spellStart"/>
      <w:r w:rsidRPr="006D6B9C">
        <w:rPr>
          <w:color w:val="auto"/>
          <w:lang w:val="en-US"/>
        </w:rPr>
        <w:t>tCO</w:t>
      </w:r>
      <w:proofErr w:type="spellEnd"/>
      <w:r w:rsidRPr="006D6B9C">
        <w:rPr>
          <w:color w:val="auto"/>
          <w:vertAlign w:val="subscript"/>
        </w:rPr>
        <w:t>2</w:t>
      </w:r>
      <w:r w:rsidRPr="006D6B9C">
        <w:rPr>
          <w:color w:val="auto"/>
          <w:lang w:val="en-US"/>
        </w:rPr>
        <w:t xml:space="preserve">/year </w:t>
      </w:r>
      <w:r w:rsidR="00A37469" w:rsidRPr="006D6B9C">
        <w:rPr>
          <w:color w:val="auto"/>
          <w:lang w:val="en-US"/>
        </w:rPr>
        <w:t xml:space="preserve">site-wide </w:t>
      </w:r>
      <w:r w:rsidRPr="006D6B9C">
        <w:rPr>
          <w:color w:val="auto"/>
          <w:lang w:val="en-US"/>
        </w:rPr>
        <w:t xml:space="preserve">carbon reduction associated with the proposed energy efficiency measures has been predicted, equivalent to a </w:t>
      </w:r>
      <w:r w:rsidR="00D959E2">
        <w:rPr>
          <w:color w:val="auto"/>
          <w:lang w:val="en-US"/>
        </w:rPr>
        <w:t>22.88</w:t>
      </w:r>
      <w:r w:rsidRPr="006D6B9C">
        <w:rPr>
          <w:color w:val="auto"/>
          <w:lang w:val="en-US"/>
        </w:rPr>
        <w:t xml:space="preserve">% reduction from the notional </w:t>
      </w:r>
      <w:r w:rsidR="00602BD5">
        <w:rPr>
          <w:color w:val="auto"/>
          <w:lang w:val="en-US"/>
        </w:rPr>
        <w:t xml:space="preserve">Building Regulation </w:t>
      </w:r>
      <w:r w:rsidR="00D959E2">
        <w:rPr>
          <w:color w:val="auto"/>
          <w:lang w:val="en-US"/>
        </w:rPr>
        <w:t xml:space="preserve">Part L1b (2013) </w:t>
      </w:r>
      <w:r w:rsidR="00602BD5">
        <w:rPr>
          <w:color w:val="auto"/>
          <w:lang w:val="en-US"/>
        </w:rPr>
        <w:t xml:space="preserve">compliance </w:t>
      </w:r>
      <w:r w:rsidRPr="006D6B9C">
        <w:rPr>
          <w:color w:val="auto"/>
          <w:lang w:val="en-US"/>
        </w:rPr>
        <w:t xml:space="preserve">baseline. </w:t>
      </w:r>
    </w:p>
    <w:p w14:paraId="1416BE17" w14:textId="77777777" w:rsidR="003C22C9" w:rsidRPr="00A37469" w:rsidRDefault="003C22C9">
      <w:pPr>
        <w:pStyle w:val="Default"/>
        <w:rPr>
          <w:color w:val="auto"/>
        </w:rPr>
      </w:pPr>
    </w:p>
    <w:p w14:paraId="478738CB" w14:textId="77777777" w:rsidR="003C22C9" w:rsidRPr="00A37469" w:rsidRDefault="00847AF4">
      <w:pPr>
        <w:pStyle w:val="Default"/>
        <w:rPr>
          <w:color w:val="auto"/>
        </w:rPr>
      </w:pPr>
      <w:r w:rsidRPr="00A37469">
        <w:rPr>
          <w:color w:val="auto"/>
          <w:lang w:val="en-US"/>
        </w:rPr>
        <w:t xml:space="preserve">8.5 </w:t>
      </w:r>
      <w:r w:rsidRPr="00A37469">
        <w:rPr>
          <w:color w:val="auto"/>
          <w:lang w:val="en-US"/>
        </w:rPr>
        <w:tab/>
        <w:t>For the second stage of the energy hierarchy (Be Clean) investigations</w:t>
      </w:r>
      <w:r w:rsidR="00602BD5">
        <w:rPr>
          <w:color w:val="auto"/>
          <w:lang w:val="en-US"/>
        </w:rPr>
        <w:t xml:space="preserve"> </w:t>
      </w:r>
      <w:r w:rsidRPr="00A37469">
        <w:rPr>
          <w:color w:val="auto"/>
          <w:lang w:val="en-US"/>
        </w:rPr>
        <w:t xml:space="preserve">shows that there are no existing </w:t>
      </w:r>
      <w:r w:rsidR="00602BD5">
        <w:rPr>
          <w:color w:val="auto"/>
          <w:lang w:val="en-US"/>
        </w:rPr>
        <w:t>d</w:t>
      </w:r>
      <w:r w:rsidRPr="00A37469">
        <w:rPr>
          <w:color w:val="auto"/>
          <w:lang w:val="en-US"/>
        </w:rPr>
        <w:t>istrict heating networks nearby that the site can feasibly connect to. In addition, given the scale and function of the development, it was deemed that a CHP system was</w:t>
      </w:r>
      <w:r w:rsidR="00CD3B38" w:rsidRPr="00A37469">
        <w:rPr>
          <w:color w:val="auto"/>
          <w:lang w:val="en-US"/>
        </w:rPr>
        <w:t xml:space="preserve"> not</w:t>
      </w:r>
      <w:r w:rsidRPr="00A37469">
        <w:rPr>
          <w:color w:val="auto"/>
          <w:lang w:val="en-US"/>
        </w:rPr>
        <w:t xml:space="preserve"> feasible for the project. </w:t>
      </w:r>
    </w:p>
    <w:p w14:paraId="299AA5AE" w14:textId="77777777" w:rsidR="003C22C9" w:rsidRPr="008B2CDF" w:rsidRDefault="003C22C9">
      <w:pPr>
        <w:pStyle w:val="Default"/>
        <w:rPr>
          <w:color w:val="FF0000"/>
        </w:rPr>
      </w:pPr>
    </w:p>
    <w:p w14:paraId="2CD2C733" w14:textId="652EB21B" w:rsidR="003C22C9" w:rsidRDefault="00847AF4">
      <w:pPr>
        <w:pStyle w:val="Default"/>
        <w:rPr>
          <w:color w:val="auto"/>
          <w:lang w:val="en-US"/>
        </w:rPr>
      </w:pPr>
      <w:r w:rsidRPr="00907F71">
        <w:rPr>
          <w:color w:val="auto"/>
          <w:lang w:val="en-US"/>
        </w:rPr>
        <w:t>8.6</w:t>
      </w:r>
      <w:r w:rsidRPr="00907F71">
        <w:rPr>
          <w:color w:val="auto"/>
          <w:lang w:val="en-US"/>
        </w:rPr>
        <w:tab/>
        <w:t xml:space="preserve">In the third stage of the energy hierarchy (Be Green), site analysis and calculations have determined the site </w:t>
      </w:r>
      <w:r w:rsidR="00CD3B38" w:rsidRPr="00907F71">
        <w:rPr>
          <w:color w:val="auto"/>
          <w:lang w:val="en-US"/>
        </w:rPr>
        <w:t>would</w:t>
      </w:r>
      <w:r w:rsidR="00602BD5" w:rsidRPr="00907F71">
        <w:rPr>
          <w:color w:val="auto"/>
          <w:lang w:val="en-US"/>
        </w:rPr>
        <w:t xml:space="preserve"> </w:t>
      </w:r>
      <w:r w:rsidR="00CD3B38" w:rsidRPr="00907F71">
        <w:rPr>
          <w:color w:val="auto"/>
          <w:lang w:val="en-US"/>
        </w:rPr>
        <w:t xml:space="preserve">benefit from </w:t>
      </w:r>
      <w:r w:rsidR="00D959E2">
        <w:rPr>
          <w:color w:val="auto"/>
          <w:lang w:val="en-US"/>
        </w:rPr>
        <w:t xml:space="preserve">an </w:t>
      </w:r>
      <w:r w:rsidR="00907F71" w:rsidRPr="00907F71">
        <w:rPr>
          <w:color w:val="auto"/>
          <w:lang w:val="en-US"/>
        </w:rPr>
        <w:t xml:space="preserve">Air Source Heat Pump </w:t>
      </w:r>
      <w:r w:rsidR="00D959E2">
        <w:rPr>
          <w:color w:val="auto"/>
          <w:lang w:val="en-US"/>
        </w:rPr>
        <w:t xml:space="preserve">system, which </w:t>
      </w:r>
      <w:r w:rsidR="00907F71" w:rsidRPr="009E6389">
        <w:rPr>
          <w:color w:val="auto"/>
          <w:lang w:val="en-US"/>
        </w:rPr>
        <w:t>deliver</w:t>
      </w:r>
      <w:r w:rsidR="00D959E2">
        <w:rPr>
          <w:color w:val="auto"/>
          <w:lang w:val="en-US"/>
        </w:rPr>
        <w:t>s</w:t>
      </w:r>
      <w:r w:rsidR="00907F71" w:rsidRPr="009E6389">
        <w:rPr>
          <w:color w:val="auto"/>
          <w:lang w:val="en-US"/>
        </w:rPr>
        <w:t xml:space="preserve"> an additional</w:t>
      </w:r>
      <w:r w:rsidR="00907F71">
        <w:rPr>
          <w:color w:val="auto"/>
          <w:lang w:val="en-US"/>
        </w:rPr>
        <w:t xml:space="preserve"> </w:t>
      </w:r>
      <w:r w:rsidR="00D959E2">
        <w:rPr>
          <w:color w:val="auto"/>
          <w:lang w:val="en-US"/>
        </w:rPr>
        <w:t>2.40</w:t>
      </w:r>
      <w:r w:rsidR="00907F71">
        <w:rPr>
          <w:color w:val="auto"/>
          <w:lang w:val="en-US"/>
        </w:rPr>
        <w:t xml:space="preserve"> </w:t>
      </w:r>
      <w:proofErr w:type="spellStart"/>
      <w:r w:rsidR="00907F71" w:rsidRPr="009E6389">
        <w:rPr>
          <w:color w:val="auto"/>
          <w:lang w:val="en-US"/>
        </w:rPr>
        <w:t>tCO</w:t>
      </w:r>
      <w:proofErr w:type="spellEnd"/>
      <w:r w:rsidR="00907F71" w:rsidRPr="009E6389">
        <w:rPr>
          <w:color w:val="auto"/>
          <w:vertAlign w:val="subscript"/>
        </w:rPr>
        <w:t>2</w:t>
      </w:r>
      <w:r w:rsidR="00907F71" w:rsidRPr="009E6389">
        <w:rPr>
          <w:color w:val="auto"/>
          <w:lang w:val="en-US"/>
        </w:rPr>
        <w:t xml:space="preserve">/year carbon reduction, equivalent to a further </w:t>
      </w:r>
      <w:r w:rsidR="00D959E2">
        <w:rPr>
          <w:color w:val="auto"/>
          <w:lang w:val="en-US"/>
        </w:rPr>
        <w:t>22.30</w:t>
      </w:r>
      <w:r w:rsidR="00907F71" w:rsidRPr="009E6389">
        <w:rPr>
          <w:color w:val="auto"/>
          <w:lang w:val="en-US"/>
        </w:rPr>
        <w:t>% reduction</w:t>
      </w:r>
      <w:r w:rsidR="00907F71" w:rsidRPr="00A37469">
        <w:rPr>
          <w:color w:val="auto"/>
          <w:lang w:val="en-US"/>
        </w:rPr>
        <w:t xml:space="preserve"> from the notional baseline.</w:t>
      </w:r>
    </w:p>
    <w:p w14:paraId="2D30B1D7" w14:textId="77777777" w:rsidR="003C22C9" w:rsidRPr="008B2CDF" w:rsidRDefault="003C22C9">
      <w:pPr>
        <w:pStyle w:val="Default"/>
        <w:rPr>
          <w:color w:val="FF0000"/>
        </w:rPr>
      </w:pPr>
    </w:p>
    <w:p w14:paraId="4023556E" w14:textId="6EEFC0EA" w:rsidR="003C22C9" w:rsidRDefault="00A37469">
      <w:pPr>
        <w:pStyle w:val="Default"/>
        <w:rPr>
          <w:color w:val="FF2600"/>
        </w:rPr>
      </w:pPr>
      <w:r>
        <w:rPr>
          <w:color w:val="auto"/>
          <w:lang w:val="en-US"/>
        </w:rPr>
        <w:t>8.</w:t>
      </w:r>
      <w:r w:rsidR="00602BD5">
        <w:rPr>
          <w:color w:val="auto"/>
          <w:lang w:val="en-US"/>
        </w:rPr>
        <w:t>7</w:t>
      </w:r>
      <w:r w:rsidR="00847AF4" w:rsidRPr="00A37469">
        <w:rPr>
          <w:color w:val="auto"/>
          <w:lang w:val="en-US"/>
        </w:rPr>
        <w:tab/>
        <w:t xml:space="preserve">The result tables below provide a summary of the </w:t>
      </w:r>
      <w:r w:rsidRPr="00A37469">
        <w:rPr>
          <w:color w:val="auto"/>
          <w:lang w:val="en-US"/>
        </w:rPr>
        <w:t xml:space="preserve">site-wide </w:t>
      </w:r>
      <w:r w:rsidR="00847AF4" w:rsidRPr="00A37469">
        <w:rPr>
          <w:color w:val="auto"/>
          <w:lang w:val="en-US"/>
        </w:rPr>
        <w:t>CO</w:t>
      </w:r>
      <w:r w:rsidR="00847AF4" w:rsidRPr="00A37469">
        <w:rPr>
          <w:color w:val="auto"/>
          <w:vertAlign w:val="subscript"/>
        </w:rPr>
        <w:t>2</w:t>
      </w:r>
      <w:r w:rsidR="00847AF4" w:rsidRPr="00A37469">
        <w:rPr>
          <w:color w:val="auto"/>
          <w:lang w:val="en-US"/>
        </w:rPr>
        <w:t xml:space="preserve"> emissions, and overall carbon reductions for the modelled baselines of the </w:t>
      </w:r>
      <w:r w:rsidR="00D959E2">
        <w:rPr>
          <w:color w:val="auto"/>
          <w:lang w:val="en-US"/>
        </w:rPr>
        <w:t>completed</w:t>
      </w:r>
      <w:r w:rsidR="00847AF4" w:rsidRPr="00A37469">
        <w:rPr>
          <w:color w:val="auto"/>
          <w:lang w:val="en-US"/>
        </w:rPr>
        <w:t xml:space="preserve"> development</w:t>
      </w:r>
      <w:r w:rsidR="00CD3B38" w:rsidRPr="00A37469">
        <w:rPr>
          <w:color w:val="auto"/>
          <w:lang w:val="en-US"/>
        </w:rPr>
        <w:t xml:space="preserve"> at </w:t>
      </w:r>
      <w:proofErr w:type="spellStart"/>
      <w:r w:rsidR="00082290">
        <w:rPr>
          <w:color w:val="auto"/>
          <w:lang w:val="en-US"/>
        </w:rPr>
        <w:t>Maygrove</w:t>
      </w:r>
      <w:proofErr w:type="spellEnd"/>
      <w:r w:rsidR="00082290">
        <w:rPr>
          <w:color w:val="auto"/>
          <w:lang w:val="en-US"/>
        </w:rPr>
        <w:t xml:space="preserve"> Road</w:t>
      </w:r>
      <w:r w:rsidR="00847AF4" w:rsidRPr="00A37469">
        <w:rPr>
          <w:color w:val="auto"/>
          <w:lang w:val="en-US"/>
        </w:rPr>
        <w:t xml:space="preserve">. The building services and plants specified have been taken to their practical limits far exceeding the minimum requirements of Building Regulations and ensuring optimal reductions in carbon emissions. </w:t>
      </w:r>
    </w:p>
    <w:p w14:paraId="26912C03" w14:textId="77777777" w:rsidR="004613C5" w:rsidRDefault="004613C5">
      <w:pPr>
        <w:pStyle w:val="Default"/>
        <w:tabs>
          <w:tab w:val="left" w:pos="3343"/>
        </w:tabs>
        <w:jc w:val="center"/>
        <w:rPr>
          <w:b/>
          <w:bCs/>
          <w:lang w:val="en-US"/>
        </w:rPr>
      </w:pPr>
    </w:p>
    <w:p w14:paraId="2A523AC5" w14:textId="656E34AF" w:rsidR="004613C5" w:rsidRDefault="004613C5" w:rsidP="004613C5">
      <w:pPr>
        <w:pStyle w:val="Default"/>
        <w:rPr>
          <w:lang w:val="en-US"/>
        </w:rPr>
      </w:pPr>
      <w:r>
        <w:rPr>
          <w:color w:val="auto"/>
          <w:lang w:val="en-US"/>
        </w:rPr>
        <w:t>8.8</w:t>
      </w:r>
      <w:r>
        <w:rPr>
          <w:color w:val="auto"/>
          <w:lang w:val="en-US"/>
        </w:rPr>
        <w:tab/>
        <w:t>In addition</w:t>
      </w:r>
      <w:r w:rsidRPr="00EB0296">
        <w:t xml:space="preserve"> to </w:t>
      </w:r>
      <w:r>
        <w:t>making the fullest contribution to minimizing carbon dioxide emissions, the proposed development also include</w:t>
      </w:r>
      <w:r w:rsidR="00D959E2">
        <w:t xml:space="preserve">s </w:t>
      </w:r>
      <w:proofErr w:type="gramStart"/>
      <w:r>
        <w:t>a number of</w:t>
      </w:r>
      <w:proofErr w:type="gramEnd"/>
      <w:r>
        <w:t xml:space="preserve"> measures intended to ensure sustainability is embedded into i</w:t>
      </w:r>
      <w:r w:rsidRPr="00907F71">
        <w:t xml:space="preserve">ts design and construction. </w:t>
      </w:r>
      <w:r w:rsidRPr="00907F71">
        <w:rPr>
          <w:color w:val="auto"/>
          <w:lang w:val="en-US"/>
        </w:rPr>
        <w:t xml:space="preserve">As a result, the current </w:t>
      </w:r>
      <w:r w:rsidR="00D959E2">
        <w:rPr>
          <w:color w:val="auto"/>
          <w:lang w:val="en-US"/>
        </w:rPr>
        <w:t>development</w:t>
      </w:r>
      <w:r w:rsidRPr="00907F71">
        <w:rPr>
          <w:color w:val="auto"/>
          <w:lang w:val="en-US"/>
        </w:rPr>
        <w:t xml:space="preserve"> </w:t>
      </w:r>
      <w:proofErr w:type="gramStart"/>
      <w:r w:rsidRPr="00907F71">
        <w:rPr>
          <w:color w:val="auto"/>
          <w:lang w:val="en-US"/>
        </w:rPr>
        <w:t>meet</w:t>
      </w:r>
      <w:proofErr w:type="gramEnd"/>
      <w:r w:rsidRPr="00907F71">
        <w:rPr>
          <w:color w:val="auto"/>
          <w:lang w:val="en-US"/>
        </w:rPr>
        <w:t xml:space="preserve"> the requirements of</w:t>
      </w:r>
      <w:r w:rsidR="00907F71" w:rsidRPr="00907F71">
        <w:rPr>
          <w:color w:val="auto"/>
          <w:lang w:val="en-US"/>
        </w:rPr>
        <w:t xml:space="preserve"> </w:t>
      </w:r>
      <w:r w:rsidR="00907F71" w:rsidRPr="00907F71">
        <w:rPr>
          <w:lang w:val="en-US"/>
        </w:rPr>
        <w:t>Condition 5 of Planning Approval reference 2016/5498/P</w:t>
      </w:r>
      <w:r w:rsidR="00907F71">
        <w:rPr>
          <w:lang w:val="en-US"/>
        </w:rPr>
        <w:t xml:space="preserve">. </w:t>
      </w:r>
    </w:p>
    <w:p w14:paraId="76B62865" w14:textId="77777777" w:rsidR="00D959E2" w:rsidRDefault="00D959E2" w:rsidP="004613C5">
      <w:pPr>
        <w:pStyle w:val="Default"/>
        <w:rPr>
          <w:b/>
          <w:bCs/>
          <w:lang w:val="en-US"/>
        </w:rPr>
      </w:pPr>
    </w:p>
    <w:p w14:paraId="2FA55C94" w14:textId="77777777" w:rsidR="004613C5" w:rsidRDefault="004613C5">
      <w:pPr>
        <w:pStyle w:val="Default"/>
        <w:tabs>
          <w:tab w:val="left" w:pos="3343"/>
        </w:tabs>
        <w:jc w:val="center"/>
        <w:rPr>
          <w:b/>
          <w:bCs/>
          <w:lang w:val="en-US"/>
        </w:rPr>
      </w:pPr>
    </w:p>
    <w:p w14:paraId="75DD5867" w14:textId="77777777" w:rsidR="004613C5" w:rsidRDefault="004613C5">
      <w:pPr>
        <w:pStyle w:val="Default"/>
        <w:tabs>
          <w:tab w:val="left" w:pos="3343"/>
        </w:tabs>
        <w:jc w:val="center"/>
        <w:rPr>
          <w:b/>
          <w:bCs/>
          <w:lang w:val="en-US"/>
        </w:rPr>
      </w:pPr>
    </w:p>
    <w:p w14:paraId="6E0CABD4" w14:textId="77777777" w:rsidR="00EE090C" w:rsidRDefault="00EE090C" w:rsidP="00EE090C">
      <w:pPr>
        <w:pStyle w:val="Default"/>
        <w:tabs>
          <w:tab w:val="left" w:pos="3343"/>
        </w:tabs>
        <w:jc w:val="center"/>
        <w:rPr>
          <w:b/>
          <w:bCs/>
        </w:rPr>
      </w:pPr>
      <w:r>
        <w:rPr>
          <w:b/>
          <w:bCs/>
          <w:lang w:val="en-US"/>
        </w:rPr>
        <w:lastRenderedPageBreak/>
        <w:t xml:space="preserve">The Energy Hierarchy Applied to </w:t>
      </w:r>
      <w:proofErr w:type="spellStart"/>
      <w:r>
        <w:rPr>
          <w:b/>
          <w:bCs/>
          <w:lang w:val="en-US"/>
        </w:rPr>
        <w:t>Maygrove</w:t>
      </w:r>
      <w:proofErr w:type="spellEnd"/>
      <w:r>
        <w:rPr>
          <w:b/>
          <w:bCs/>
          <w:lang w:val="en-US"/>
        </w:rPr>
        <w:t xml:space="preserve"> Road</w:t>
      </w:r>
    </w:p>
    <w:p w14:paraId="7728DAEC" w14:textId="7248077E" w:rsidR="00EE090C" w:rsidRDefault="00D959E2" w:rsidP="00EE090C">
      <w:pPr>
        <w:pStyle w:val="Default"/>
        <w:jc w:val="center"/>
        <w:rPr>
          <w:b/>
          <w:bCs/>
          <w:color w:val="FF2600"/>
        </w:rPr>
      </w:pPr>
      <w:r>
        <w:rPr>
          <w:noProof/>
        </w:rPr>
        <w:drawing>
          <wp:inline distT="0" distB="0" distL="0" distR="0" wp14:anchorId="5054573F" wp14:editId="7E17F6D6">
            <wp:extent cx="5731510" cy="4230370"/>
            <wp:effectExtent l="0" t="0" r="2540" b="17780"/>
            <wp:docPr id="4" name="Chart 4">
              <a:extLst xmlns:a="http://schemas.openxmlformats.org/drawingml/2006/main">
                <a:ext uri="{FF2B5EF4-FFF2-40B4-BE49-F238E27FC236}">
                  <a16:creationId xmlns:a16="http://schemas.microsoft.com/office/drawing/2014/main" id="{9E9073D9-4430-4B46-869C-0C5E389F9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639A20" w14:textId="008C1D59" w:rsidR="00EE090C" w:rsidRDefault="00EE090C" w:rsidP="00EE090C">
      <w:pPr>
        <w:pStyle w:val="Default"/>
        <w:jc w:val="center"/>
        <w:rPr>
          <w:b/>
          <w:bCs/>
          <w:color w:val="FF2600"/>
        </w:rPr>
      </w:pPr>
    </w:p>
    <w:p w14:paraId="091CAA5A" w14:textId="77777777" w:rsidR="00EE090C" w:rsidRDefault="00EE090C" w:rsidP="00EE090C">
      <w:pPr>
        <w:pStyle w:val="Default"/>
        <w:jc w:val="center"/>
        <w:rPr>
          <w:b/>
          <w:bCs/>
          <w:color w:val="FF2600"/>
        </w:rPr>
      </w:pPr>
    </w:p>
    <w:p w14:paraId="54DB712C" w14:textId="77777777" w:rsidR="00971A81" w:rsidRDefault="00971A81" w:rsidP="00971A81">
      <w:pPr>
        <w:pStyle w:val="Default"/>
        <w:jc w:val="center"/>
        <w:rPr>
          <w:b/>
          <w:bCs/>
          <w:lang w:val="en-US"/>
        </w:rPr>
      </w:pPr>
      <w:r>
        <w:rPr>
          <w:b/>
          <w:bCs/>
          <w:lang w:val="en-US"/>
        </w:rPr>
        <w:t xml:space="preserve">Emission Savings for </w:t>
      </w:r>
      <w:proofErr w:type="spellStart"/>
      <w:r>
        <w:rPr>
          <w:b/>
          <w:bCs/>
          <w:lang w:val="en-US"/>
        </w:rPr>
        <w:t>Maygrove</w:t>
      </w:r>
      <w:proofErr w:type="spellEnd"/>
      <w:r>
        <w:rPr>
          <w:b/>
          <w:bCs/>
          <w:lang w:val="en-US"/>
        </w:rPr>
        <w:t xml:space="preserve"> Road</w:t>
      </w:r>
    </w:p>
    <w:tbl>
      <w:tblPr>
        <w:tblStyle w:val="TableGrid"/>
        <w:tblW w:w="0" w:type="auto"/>
        <w:jc w:val="center"/>
        <w:tblLook w:val="04A0" w:firstRow="1" w:lastRow="0" w:firstColumn="1" w:lastColumn="0" w:noHBand="0" w:noVBand="1"/>
      </w:tblPr>
      <w:tblGrid>
        <w:gridCol w:w="1980"/>
        <w:gridCol w:w="2367"/>
        <w:gridCol w:w="2927"/>
      </w:tblGrid>
      <w:tr w:rsidR="00971A81" w:rsidRPr="00845C81" w14:paraId="3A00CA70" w14:textId="77777777" w:rsidTr="00113499">
        <w:trPr>
          <w:trHeight w:val="340"/>
          <w:jc w:val="center"/>
        </w:trPr>
        <w:tc>
          <w:tcPr>
            <w:tcW w:w="1980" w:type="dxa"/>
            <w:vMerge w:val="restart"/>
            <w:tcBorders>
              <w:top w:val="single" w:sz="4" w:space="0" w:color="auto"/>
              <w:left w:val="single" w:sz="4" w:space="0" w:color="auto"/>
            </w:tcBorders>
            <w:shd w:val="clear" w:color="auto" w:fill="706B6E"/>
            <w:vAlign w:val="center"/>
          </w:tcPr>
          <w:p w14:paraId="019183B3" w14:textId="77777777" w:rsidR="00971A81" w:rsidRPr="00845C81" w:rsidRDefault="00971A81" w:rsidP="00113499">
            <w:pPr>
              <w:pStyle w:val="Default"/>
              <w:jc w:val="center"/>
              <w:rPr>
                <w:b/>
                <w:bCs/>
              </w:rPr>
            </w:pPr>
          </w:p>
        </w:tc>
        <w:tc>
          <w:tcPr>
            <w:tcW w:w="5294" w:type="dxa"/>
            <w:gridSpan w:val="2"/>
            <w:shd w:val="clear" w:color="auto" w:fill="auto"/>
            <w:vAlign w:val="center"/>
          </w:tcPr>
          <w:p w14:paraId="46760DEB" w14:textId="77777777" w:rsidR="00971A81" w:rsidRPr="00207412" w:rsidRDefault="00971A81" w:rsidP="00113499">
            <w:pPr>
              <w:pStyle w:val="Default"/>
              <w:jc w:val="center"/>
              <w:rPr>
                <w:b/>
                <w:bCs/>
                <w:color w:val="000000" w:themeColor="text1"/>
              </w:rPr>
            </w:pPr>
            <w:r w:rsidRPr="00207412">
              <w:rPr>
                <w:b/>
                <w:bCs/>
                <w:color w:val="000000" w:themeColor="text1"/>
              </w:rPr>
              <w:t>Regulated CO</w:t>
            </w:r>
            <w:r w:rsidRPr="00207412">
              <w:rPr>
                <w:b/>
                <w:bCs/>
                <w:color w:val="000000" w:themeColor="text1"/>
                <w:vertAlign w:val="subscript"/>
              </w:rPr>
              <w:t>2</w:t>
            </w:r>
            <w:r w:rsidRPr="00207412">
              <w:rPr>
                <w:b/>
                <w:bCs/>
                <w:color w:val="000000" w:themeColor="text1"/>
              </w:rPr>
              <w:t xml:space="preserve"> Savings</w:t>
            </w:r>
          </w:p>
        </w:tc>
      </w:tr>
      <w:tr w:rsidR="00971A81" w:rsidRPr="00845C81" w14:paraId="4A9393EA" w14:textId="77777777" w:rsidTr="00113499">
        <w:trPr>
          <w:trHeight w:val="179"/>
          <w:jc w:val="center"/>
        </w:trPr>
        <w:tc>
          <w:tcPr>
            <w:tcW w:w="1980" w:type="dxa"/>
            <w:vMerge/>
            <w:tcBorders>
              <w:left w:val="single" w:sz="4" w:space="0" w:color="auto"/>
            </w:tcBorders>
            <w:shd w:val="clear" w:color="auto" w:fill="706B6E"/>
            <w:vAlign w:val="center"/>
          </w:tcPr>
          <w:p w14:paraId="4B62F65D" w14:textId="77777777" w:rsidR="00971A81" w:rsidRPr="00845C81" w:rsidRDefault="00971A81" w:rsidP="00113499">
            <w:pPr>
              <w:pStyle w:val="Default"/>
              <w:jc w:val="center"/>
              <w:rPr>
                <w:b/>
                <w:bCs/>
              </w:rPr>
            </w:pPr>
          </w:p>
        </w:tc>
        <w:tc>
          <w:tcPr>
            <w:tcW w:w="2367" w:type="dxa"/>
            <w:shd w:val="clear" w:color="auto" w:fill="auto"/>
            <w:vAlign w:val="center"/>
          </w:tcPr>
          <w:p w14:paraId="2E923929" w14:textId="77777777" w:rsidR="00971A81" w:rsidRPr="00207412" w:rsidRDefault="00971A81" w:rsidP="00113499">
            <w:pPr>
              <w:pStyle w:val="Default"/>
              <w:jc w:val="center"/>
              <w:rPr>
                <w:b/>
                <w:bCs/>
                <w:color w:val="000000" w:themeColor="text1"/>
              </w:rPr>
            </w:pPr>
            <w:r w:rsidRPr="00207412">
              <w:rPr>
                <w:b/>
                <w:bCs/>
                <w:color w:val="000000" w:themeColor="text1"/>
              </w:rPr>
              <w:t>Tonnes CO</w:t>
            </w:r>
            <w:r w:rsidRPr="00207412">
              <w:rPr>
                <w:b/>
                <w:bCs/>
                <w:color w:val="000000" w:themeColor="text1"/>
                <w:vertAlign w:val="subscript"/>
              </w:rPr>
              <w:t>2</w:t>
            </w:r>
            <w:r w:rsidRPr="00207412">
              <w:rPr>
                <w:b/>
                <w:bCs/>
                <w:color w:val="000000" w:themeColor="text1"/>
              </w:rPr>
              <w:t>/annum</w:t>
            </w:r>
          </w:p>
        </w:tc>
        <w:tc>
          <w:tcPr>
            <w:tcW w:w="2927" w:type="dxa"/>
            <w:shd w:val="clear" w:color="auto" w:fill="auto"/>
            <w:vAlign w:val="center"/>
          </w:tcPr>
          <w:p w14:paraId="3AA79889" w14:textId="77777777" w:rsidR="00971A81" w:rsidRPr="00207412" w:rsidRDefault="00971A81" w:rsidP="00113499">
            <w:pPr>
              <w:pStyle w:val="Default"/>
              <w:jc w:val="center"/>
              <w:rPr>
                <w:b/>
                <w:bCs/>
                <w:color w:val="000000" w:themeColor="text1"/>
              </w:rPr>
            </w:pPr>
            <w:r w:rsidRPr="00207412">
              <w:rPr>
                <w:b/>
                <w:bCs/>
                <w:color w:val="000000" w:themeColor="text1"/>
              </w:rPr>
              <w:t>Percentage Savings (%)</w:t>
            </w:r>
          </w:p>
        </w:tc>
      </w:tr>
      <w:tr w:rsidR="00971A81" w:rsidRPr="00845C81" w14:paraId="0F628B04" w14:textId="77777777" w:rsidTr="00113499">
        <w:trPr>
          <w:trHeight w:val="340"/>
          <w:jc w:val="center"/>
        </w:trPr>
        <w:tc>
          <w:tcPr>
            <w:tcW w:w="1980" w:type="dxa"/>
            <w:vAlign w:val="center"/>
          </w:tcPr>
          <w:p w14:paraId="1A9E512D" w14:textId="77777777" w:rsidR="00971A81" w:rsidRPr="00792502" w:rsidRDefault="00971A81" w:rsidP="00113499">
            <w:pPr>
              <w:pStyle w:val="Default"/>
              <w:jc w:val="center"/>
              <w:rPr>
                <w:bCs/>
              </w:rPr>
            </w:pPr>
            <w:r w:rsidRPr="00792502">
              <w:rPr>
                <w:bCs/>
              </w:rPr>
              <w:t xml:space="preserve">‘Be Lean’ </w:t>
            </w:r>
          </w:p>
        </w:tc>
        <w:tc>
          <w:tcPr>
            <w:tcW w:w="2367" w:type="dxa"/>
            <w:vAlign w:val="center"/>
          </w:tcPr>
          <w:p w14:paraId="469CE4AB" w14:textId="77777777" w:rsidR="00971A81" w:rsidRPr="00792502" w:rsidRDefault="00971A81" w:rsidP="00113499">
            <w:pPr>
              <w:pStyle w:val="Default"/>
              <w:jc w:val="center"/>
              <w:rPr>
                <w:bCs/>
              </w:rPr>
            </w:pPr>
            <w:r>
              <w:rPr>
                <w:bCs/>
              </w:rPr>
              <w:t>2.47</w:t>
            </w:r>
          </w:p>
        </w:tc>
        <w:tc>
          <w:tcPr>
            <w:tcW w:w="2927" w:type="dxa"/>
            <w:vAlign w:val="center"/>
          </w:tcPr>
          <w:p w14:paraId="0BFD4C3E" w14:textId="77777777" w:rsidR="00971A81" w:rsidRPr="00792502" w:rsidRDefault="00971A81" w:rsidP="00113499">
            <w:pPr>
              <w:pStyle w:val="Default"/>
              <w:jc w:val="center"/>
              <w:rPr>
                <w:bCs/>
              </w:rPr>
            </w:pPr>
            <w:r>
              <w:rPr>
                <w:bCs/>
              </w:rPr>
              <w:t>22.88</w:t>
            </w:r>
          </w:p>
        </w:tc>
      </w:tr>
      <w:tr w:rsidR="00971A81" w:rsidRPr="00845C81" w14:paraId="6E21C6E5" w14:textId="77777777" w:rsidTr="00113499">
        <w:trPr>
          <w:trHeight w:val="323"/>
          <w:jc w:val="center"/>
        </w:trPr>
        <w:tc>
          <w:tcPr>
            <w:tcW w:w="1980" w:type="dxa"/>
            <w:vAlign w:val="center"/>
          </w:tcPr>
          <w:p w14:paraId="527BDD89" w14:textId="77777777" w:rsidR="00971A81" w:rsidRPr="00792502" w:rsidRDefault="00971A81" w:rsidP="00113499">
            <w:pPr>
              <w:pStyle w:val="Default"/>
              <w:jc w:val="center"/>
              <w:rPr>
                <w:bCs/>
              </w:rPr>
            </w:pPr>
            <w:r w:rsidRPr="00792502">
              <w:rPr>
                <w:bCs/>
              </w:rPr>
              <w:t xml:space="preserve">‘Be Clean’ </w:t>
            </w:r>
          </w:p>
        </w:tc>
        <w:tc>
          <w:tcPr>
            <w:tcW w:w="2367" w:type="dxa"/>
            <w:vAlign w:val="center"/>
          </w:tcPr>
          <w:p w14:paraId="74EEBCBD" w14:textId="77777777" w:rsidR="00971A81" w:rsidRPr="00792502" w:rsidRDefault="00971A81" w:rsidP="00113499">
            <w:pPr>
              <w:pStyle w:val="Default"/>
              <w:jc w:val="center"/>
              <w:rPr>
                <w:bCs/>
              </w:rPr>
            </w:pPr>
            <w:r>
              <w:rPr>
                <w:bCs/>
              </w:rPr>
              <w:t>0.00</w:t>
            </w:r>
          </w:p>
        </w:tc>
        <w:tc>
          <w:tcPr>
            <w:tcW w:w="2927" w:type="dxa"/>
            <w:vAlign w:val="center"/>
          </w:tcPr>
          <w:p w14:paraId="05CB950D" w14:textId="77777777" w:rsidR="00971A81" w:rsidRPr="00792502" w:rsidRDefault="00971A81" w:rsidP="00113499">
            <w:pPr>
              <w:pStyle w:val="Default"/>
              <w:jc w:val="center"/>
              <w:rPr>
                <w:bCs/>
              </w:rPr>
            </w:pPr>
            <w:r>
              <w:rPr>
                <w:bCs/>
              </w:rPr>
              <w:t>0.00</w:t>
            </w:r>
          </w:p>
        </w:tc>
      </w:tr>
      <w:tr w:rsidR="00971A81" w:rsidRPr="00845C81" w14:paraId="2AF6EAA4" w14:textId="77777777" w:rsidTr="00113499">
        <w:trPr>
          <w:trHeight w:val="340"/>
          <w:jc w:val="center"/>
        </w:trPr>
        <w:tc>
          <w:tcPr>
            <w:tcW w:w="1980" w:type="dxa"/>
            <w:vAlign w:val="center"/>
          </w:tcPr>
          <w:p w14:paraId="20D841B8" w14:textId="77777777" w:rsidR="00971A81" w:rsidRPr="00792502" w:rsidRDefault="00971A81" w:rsidP="00113499">
            <w:pPr>
              <w:pStyle w:val="Default"/>
              <w:jc w:val="center"/>
              <w:rPr>
                <w:bCs/>
              </w:rPr>
            </w:pPr>
            <w:r w:rsidRPr="00792502">
              <w:rPr>
                <w:bCs/>
              </w:rPr>
              <w:t>‘Be Green’</w:t>
            </w:r>
          </w:p>
        </w:tc>
        <w:tc>
          <w:tcPr>
            <w:tcW w:w="2367" w:type="dxa"/>
            <w:vAlign w:val="center"/>
          </w:tcPr>
          <w:p w14:paraId="235DF382" w14:textId="77777777" w:rsidR="00971A81" w:rsidRPr="00792502" w:rsidRDefault="00971A81" w:rsidP="00113499">
            <w:pPr>
              <w:pStyle w:val="Default"/>
              <w:jc w:val="center"/>
              <w:rPr>
                <w:bCs/>
              </w:rPr>
            </w:pPr>
            <w:r>
              <w:rPr>
                <w:bCs/>
              </w:rPr>
              <w:t>2.40</w:t>
            </w:r>
          </w:p>
        </w:tc>
        <w:tc>
          <w:tcPr>
            <w:tcW w:w="2927" w:type="dxa"/>
            <w:vAlign w:val="center"/>
          </w:tcPr>
          <w:p w14:paraId="66537686" w14:textId="77777777" w:rsidR="00971A81" w:rsidRPr="00792502" w:rsidRDefault="00971A81" w:rsidP="00113499">
            <w:pPr>
              <w:pStyle w:val="Default"/>
              <w:jc w:val="center"/>
              <w:rPr>
                <w:bCs/>
              </w:rPr>
            </w:pPr>
            <w:r>
              <w:rPr>
                <w:bCs/>
              </w:rPr>
              <w:t>22.30</w:t>
            </w:r>
          </w:p>
        </w:tc>
      </w:tr>
      <w:tr w:rsidR="00971A81" w:rsidRPr="00845C81" w14:paraId="33CCFC9E" w14:textId="77777777" w:rsidTr="00113499">
        <w:trPr>
          <w:trHeight w:val="323"/>
          <w:jc w:val="center"/>
        </w:trPr>
        <w:tc>
          <w:tcPr>
            <w:tcW w:w="1980" w:type="dxa"/>
            <w:vAlign w:val="center"/>
          </w:tcPr>
          <w:p w14:paraId="5D9467FF" w14:textId="77777777" w:rsidR="00971A81" w:rsidRPr="00845C81" w:rsidRDefault="00971A81" w:rsidP="00113499">
            <w:pPr>
              <w:pStyle w:val="Default"/>
              <w:jc w:val="center"/>
              <w:rPr>
                <w:b/>
                <w:bCs/>
              </w:rPr>
            </w:pPr>
            <w:r>
              <w:rPr>
                <w:b/>
                <w:bCs/>
              </w:rPr>
              <w:t xml:space="preserve">Overall </w:t>
            </w:r>
            <w:r w:rsidRPr="00845C81">
              <w:rPr>
                <w:b/>
                <w:bCs/>
              </w:rPr>
              <w:t>Savings</w:t>
            </w:r>
          </w:p>
        </w:tc>
        <w:tc>
          <w:tcPr>
            <w:tcW w:w="2367" w:type="dxa"/>
            <w:vAlign w:val="center"/>
          </w:tcPr>
          <w:p w14:paraId="21669A59" w14:textId="77777777" w:rsidR="00971A81" w:rsidRPr="00845C81" w:rsidRDefault="00971A81" w:rsidP="00113499">
            <w:pPr>
              <w:pStyle w:val="Default"/>
              <w:jc w:val="center"/>
              <w:rPr>
                <w:b/>
                <w:bCs/>
              </w:rPr>
            </w:pPr>
            <w:r>
              <w:rPr>
                <w:b/>
                <w:bCs/>
              </w:rPr>
              <w:t>4.87</w:t>
            </w:r>
          </w:p>
        </w:tc>
        <w:tc>
          <w:tcPr>
            <w:tcW w:w="2927" w:type="dxa"/>
            <w:vAlign w:val="center"/>
          </w:tcPr>
          <w:p w14:paraId="783C13B5" w14:textId="77777777" w:rsidR="00971A81" w:rsidRPr="00845C81" w:rsidRDefault="00971A81" w:rsidP="00113499">
            <w:pPr>
              <w:pStyle w:val="Default"/>
              <w:jc w:val="center"/>
              <w:rPr>
                <w:b/>
                <w:bCs/>
              </w:rPr>
            </w:pPr>
            <w:r>
              <w:rPr>
                <w:b/>
                <w:bCs/>
              </w:rPr>
              <w:t>45.17</w:t>
            </w:r>
          </w:p>
        </w:tc>
      </w:tr>
    </w:tbl>
    <w:p w14:paraId="5A040899" w14:textId="77777777" w:rsidR="00971A81" w:rsidRDefault="00971A81" w:rsidP="00971A81">
      <w:pPr>
        <w:pStyle w:val="Default"/>
        <w:jc w:val="center"/>
        <w:rPr>
          <w:b/>
          <w:bCs/>
        </w:rPr>
      </w:pPr>
    </w:p>
    <w:p w14:paraId="67CAAF32" w14:textId="77777777" w:rsidR="00971A81" w:rsidRDefault="00971A81" w:rsidP="00971A81">
      <w:pPr>
        <w:pStyle w:val="Default"/>
        <w:jc w:val="center"/>
        <w:rPr>
          <w:b/>
          <w:bCs/>
        </w:rPr>
      </w:pPr>
    </w:p>
    <w:p w14:paraId="65AFF44B" w14:textId="77777777" w:rsidR="00971A81" w:rsidRDefault="00971A81" w:rsidP="00971A81">
      <w:pPr>
        <w:pStyle w:val="Default"/>
        <w:jc w:val="center"/>
        <w:rPr>
          <w:b/>
          <w:bCs/>
        </w:rPr>
      </w:pPr>
      <w:r>
        <w:rPr>
          <w:b/>
          <w:bCs/>
          <w:lang w:val="en-US"/>
        </w:rPr>
        <w:t xml:space="preserve">Annual Regulated/Unregulated Emissions for </w:t>
      </w:r>
      <w:proofErr w:type="spellStart"/>
      <w:r>
        <w:rPr>
          <w:b/>
          <w:bCs/>
          <w:lang w:val="en-US"/>
        </w:rPr>
        <w:t>Maygrove</w:t>
      </w:r>
      <w:proofErr w:type="spellEnd"/>
      <w:r>
        <w:rPr>
          <w:b/>
          <w:bCs/>
          <w:lang w:val="en-US"/>
        </w:rPr>
        <w:t xml:space="preserve"> Road </w:t>
      </w:r>
    </w:p>
    <w:tbl>
      <w:tblPr>
        <w:tblStyle w:val="TableGrid1"/>
        <w:tblW w:w="0" w:type="auto"/>
        <w:jc w:val="center"/>
        <w:tblLook w:val="04A0" w:firstRow="1" w:lastRow="0" w:firstColumn="1" w:lastColumn="0" w:noHBand="0" w:noVBand="1"/>
      </w:tblPr>
      <w:tblGrid>
        <w:gridCol w:w="2840"/>
        <w:gridCol w:w="1817"/>
        <w:gridCol w:w="2861"/>
      </w:tblGrid>
      <w:tr w:rsidR="00971A81" w:rsidRPr="00792502" w14:paraId="18FF73C4" w14:textId="77777777" w:rsidTr="00113499">
        <w:trPr>
          <w:trHeight w:val="350"/>
          <w:jc w:val="center"/>
        </w:trPr>
        <w:tc>
          <w:tcPr>
            <w:tcW w:w="2840" w:type="dxa"/>
            <w:vMerge w:val="restart"/>
            <w:tcBorders>
              <w:top w:val="single" w:sz="4" w:space="0" w:color="auto"/>
              <w:left w:val="single" w:sz="4" w:space="0" w:color="auto"/>
            </w:tcBorders>
            <w:shd w:val="clear" w:color="auto" w:fill="706B6E"/>
            <w:vAlign w:val="center"/>
          </w:tcPr>
          <w:p w14:paraId="2A3BC700" w14:textId="77777777" w:rsidR="00971A81" w:rsidRPr="00792502" w:rsidRDefault="00971A81" w:rsidP="00113499">
            <w:pPr>
              <w:jc w:val="both"/>
              <w:rPr>
                <w:rFonts w:asciiTheme="minorHAnsi" w:hAnsiTheme="minorHAnsi" w:cstheme="minorHAnsi"/>
                <w:sz w:val="22"/>
                <w:szCs w:val="22"/>
              </w:rPr>
            </w:pPr>
          </w:p>
        </w:tc>
        <w:tc>
          <w:tcPr>
            <w:tcW w:w="4678" w:type="dxa"/>
            <w:gridSpan w:val="2"/>
            <w:shd w:val="clear" w:color="auto" w:fill="auto"/>
            <w:vAlign w:val="center"/>
          </w:tcPr>
          <w:p w14:paraId="524E181A" w14:textId="77777777" w:rsidR="00971A81" w:rsidRPr="00207412" w:rsidRDefault="00971A81" w:rsidP="00113499">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CO</w:t>
            </w:r>
            <w:r w:rsidRPr="00207412">
              <w:rPr>
                <w:rFonts w:asciiTheme="minorHAnsi" w:hAnsiTheme="minorHAnsi" w:cstheme="minorHAnsi"/>
                <w:b/>
                <w:color w:val="000000" w:themeColor="text1"/>
                <w:sz w:val="22"/>
                <w:szCs w:val="22"/>
                <w:vertAlign w:val="subscript"/>
              </w:rPr>
              <w:t>2</w:t>
            </w:r>
            <w:r w:rsidRPr="00207412">
              <w:rPr>
                <w:rFonts w:asciiTheme="minorHAnsi" w:hAnsiTheme="minorHAnsi" w:cstheme="minorHAnsi"/>
                <w:b/>
                <w:color w:val="000000" w:themeColor="text1"/>
                <w:sz w:val="22"/>
                <w:szCs w:val="22"/>
              </w:rPr>
              <w:t xml:space="preserve"> Emissions (tonnes/annum)</w:t>
            </w:r>
          </w:p>
        </w:tc>
      </w:tr>
      <w:tr w:rsidR="00971A81" w:rsidRPr="00792502" w14:paraId="7FFB85F3" w14:textId="77777777" w:rsidTr="00113499">
        <w:trPr>
          <w:trHeight w:val="186"/>
          <w:jc w:val="center"/>
        </w:trPr>
        <w:tc>
          <w:tcPr>
            <w:tcW w:w="2840" w:type="dxa"/>
            <w:vMerge/>
            <w:tcBorders>
              <w:left w:val="single" w:sz="4" w:space="0" w:color="auto"/>
            </w:tcBorders>
            <w:shd w:val="clear" w:color="auto" w:fill="706B6E"/>
            <w:vAlign w:val="center"/>
          </w:tcPr>
          <w:p w14:paraId="1B08E346" w14:textId="77777777" w:rsidR="00971A81" w:rsidRPr="00792502" w:rsidRDefault="00971A81" w:rsidP="00113499">
            <w:pPr>
              <w:jc w:val="both"/>
              <w:rPr>
                <w:rFonts w:asciiTheme="minorHAnsi" w:hAnsiTheme="minorHAnsi" w:cstheme="minorHAnsi"/>
                <w:sz w:val="22"/>
                <w:szCs w:val="22"/>
              </w:rPr>
            </w:pPr>
          </w:p>
        </w:tc>
        <w:tc>
          <w:tcPr>
            <w:tcW w:w="1817" w:type="dxa"/>
            <w:shd w:val="clear" w:color="auto" w:fill="auto"/>
            <w:vAlign w:val="center"/>
          </w:tcPr>
          <w:p w14:paraId="3F03A954" w14:textId="77777777" w:rsidR="00971A81" w:rsidRPr="00207412" w:rsidRDefault="00971A81" w:rsidP="00113499">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Regulated</w:t>
            </w:r>
          </w:p>
        </w:tc>
        <w:tc>
          <w:tcPr>
            <w:tcW w:w="2861" w:type="dxa"/>
            <w:shd w:val="clear" w:color="auto" w:fill="auto"/>
            <w:vAlign w:val="center"/>
          </w:tcPr>
          <w:p w14:paraId="0A83DE80" w14:textId="77777777" w:rsidR="00971A81" w:rsidRPr="00207412" w:rsidRDefault="00971A81" w:rsidP="00113499">
            <w:pPr>
              <w:jc w:val="center"/>
              <w:rPr>
                <w:rFonts w:asciiTheme="minorHAnsi" w:hAnsiTheme="minorHAnsi" w:cstheme="minorHAnsi"/>
                <w:b/>
                <w:color w:val="000000" w:themeColor="text1"/>
                <w:sz w:val="22"/>
                <w:szCs w:val="22"/>
              </w:rPr>
            </w:pPr>
            <w:r w:rsidRPr="00207412">
              <w:rPr>
                <w:rFonts w:asciiTheme="minorHAnsi" w:hAnsiTheme="minorHAnsi" w:cstheme="minorHAnsi"/>
                <w:b/>
                <w:color w:val="000000" w:themeColor="text1"/>
                <w:sz w:val="22"/>
                <w:szCs w:val="22"/>
              </w:rPr>
              <w:t>Unregulated</w:t>
            </w:r>
          </w:p>
        </w:tc>
      </w:tr>
      <w:tr w:rsidR="00971A81" w:rsidRPr="00792502" w14:paraId="77F67A98" w14:textId="77777777" w:rsidTr="00113499">
        <w:trPr>
          <w:trHeight w:val="350"/>
          <w:jc w:val="center"/>
        </w:trPr>
        <w:tc>
          <w:tcPr>
            <w:tcW w:w="2840" w:type="dxa"/>
            <w:vAlign w:val="center"/>
          </w:tcPr>
          <w:p w14:paraId="6F4EB6FB" w14:textId="77777777" w:rsidR="00971A81" w:rsidRPr="00792502" w:rsidRDefault="00971A81" w:rsidP="00113499">
            <w:pPr>
              <w:rPr>
                <w:rFonts w:asciiTheme="minorHAnsi" w:hAnsiTheme="minorHAnsi" w:cstheme="minorHAnsi"/>
                <w:sz w:val="22"/>
                <w:szCs w:val="22"/>
              </w:rPr>
            </w:pPr>
            <w:r w:rsidRPr="00792502">
              <w:rPr>
                <w:rFonts w:asciiTheme="minorHAnsi" w:hAnsiTheme="minorHAnsi" w:cstheme="minorHAnsi"/>
                <w:sz w:val="22"/>
                <w:szCs w:val="22"/>
              </w:rPr>
              <w:t>Building Regulations 2013 Part L Compliant Project</w:t>
            </w:r>
          </w:p>
        </w:tc>
        <w:tc>
          <w:tcPr>
            <w:tcW w:w="1817" w:type="dxa"/>
            <w:vAlign w:val="center"/>
          </w:tcPr>
          <w:p w14:paraId="39CEB731"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10.78</w:t>
            </w:r>
          </w:p>
        </w:tc>
        <w:tc>
          <w:tcPr>
            <w:tcW w:w="2861" w:type="dxa"/>
            <w:vAlign w:val="center"/>
          </w:tcPr>
          <w:p w14:paraId="4A569DF4"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2.62</w:t>
            </w:r>
          </w:p>
        </w:tc>
      </w:tr>
      <w:tr w:rsidR="00971A81" w:rsidRPr="00792502" w14:paraId="51D5690F" w14:textId="77777777" w:rsidTr="00113499">
        <w:trPr>
          <w:trHeight w:val="350"/>
          <w:jc w:val="center"/>
        </w:trPr>
        <w:tc>
          <w:tcPr>
            <w:tcW w:w="2840" w:type="dxa"/>
            <w:vAlign w:val="center"/>
          </w:tcPr>
          <w:p w14:paraId="45CA1B12" w14:textId="77777777" w:rsidR="00971A81" w:rsidRPr="00792502" w:rsidRDefault="00971A81" w:rsidP="00113499">
            <w:pPr>
              <w:jc w:val="both"/>
              <w:rPr>
                <w:rFonts w:asciiTheme="minorHAnsi" w:hAnsiTheme="minorHAnsi" w:cstheme="minorHAnsi"/>
                <w:sz w:val="22"/>
                <w:szCs w:val="22"/>
              </w:rPr>
            </w:pPr>
            <w:r w:rsidRPr="00792502">
              <w:rPr>
                <w:rFonts w:asciiTheme="minorHAnsi" w:hAnsiTheme="minorHAnsi" w:cstheme="minorHAnsi"/>
                <w:sz w:val="22"/>
                <w:szCs w:val="22"/>
              </w:rPr>
              <w:t xml:space="preserve">‘Be Lean’ </w:t>
            </w:r>
          </w:p>
        </w:tc>
        <w:tc>
          <w:tcPr>
            <w:tcW w:w="1817" w:type="dxa"/>
            <w:vAlign w:val="center"/>
          </w:tcPr>
          <w:p w14:paraId="757D5322"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63EB3822"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2.62</w:t>
            </w:r>
          </w:p>
        </w:tc>
      </w:tr>
      <w:tr w:rsidR="00971A81" w:rsidRPr="00792502" w14:paraId="61CA4ABB" w14:textId="77777777" w:rsidTr="00113499">
        <w:trPr>
          <w:trHeight w:val="333"/>
          <w:jc w:val="center"/>
        </w:trPr>
        <w:tc>
          <w:tcPr>
            <w:tcW w:w="2840" w:type="dxa"/>
            <w:vAlign w:val="center"/>
          </w:tcPr>
          <w:p w14:paraId="032C5632" w14:textId="77777777" w:rsidR="00971A81" w:rsidRPr="00792502" w:rsidRDefault="00971A81" w:rsidP="00113499">
            <w:pPr>
              <w:jc w:val="both"/>
              <w:rPr>
                <w:rFonts w:asciiTheme="minorHAnsi" w:hAnsiTheme="minorHAnsi" w:cstheme="minorHAnsi"/>
                <w:sz w:val="22"/>
                <w:szCs w:val="22"/>
              </w:rPr>
            </w:pPr>
            <w:r w:rsidRPr="00792502">
              <w:rPr>
                <w:rFonts w:asciiTheme="minorHAnsi" w:hAnsiTheme="minorHAnsi" w:cstheme="minorHAnsi"/>
                <w:sz w:val="22"/>
                <w:szCs w:val="22"/>
              </w:rPr>
              <w:t xml:space="preserve">‘Be Clean’ </w:t>
            </w:r>
          </w:p>
        </w:tc>
        <w:tc>
          <w:tcPr>
            <w:tcW w:w="1817" w:type="dxa"/>
            <w:vAlign w:val="center"/>
          </w:tcPr>
          <w:p w14:paraId="56F3654C"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8.31</w:t>
            </w:r>
          </w:p>
        </w:tc>
        <w:tc>
          <w:tcPr>
            <w:tcW w:w="2861" w:type="dxa"/>
            <w:vAlign w:val="center"/>
          </w:tcPr>
          <w:p w14:paraId="52820A19"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2.62</w:t>
            </w:r>
          </w:p>
        </w:tc>
      </w:tr>
      <w:tr w:rsidR="00971A81" w:rsidRPr="00792502" w14:paraId="3E34E03A" w14:textId="77777777" w:rsidTr="00113499">
        <w:trPr>
          <w:trHeight w:val="350"/>
          <w:jc w:val="center"/>
        </w:trPr>
        <w:tc>
          <w:tcPr>
            <w:tcW w:w="2840" w:type="dxa"/>
            <w:vAlign w:val="center"/>
          </w:tcPr>
          <w:p w14:paraId="28A1C61F" w14:textId="77777777" w:rsidR="00971A81" w:rsidRPr="00792502" w:rsidRDefault="00971A81" w:rsidP="00113499">
            <w:pPr>
              <w:jc w:val="both"/>
              <w:rPr>
                <w:rFonts w:asciiTheme="minorHAnsi" w:hAnsiTheme="minorHAnsi" w:cstheme="minorHAnsi"/>
                <w:sz w:val="22"/>
                <w:szCs w:val="22"/>
              </w:rPr>
            </w:pPr>
            <w:r w:rsidRPr="00792502">
              <w:rPr>
                <w:rFonts w:asciiTheme="minorHAnsi" w:hAnsiTheme="minorHAnsi" w:cstheme="minorHAnsi"/>
                <w:sz w:val="22"/>
                <w:szCs w:val="22"/>
              </w:rPr>
              <w:t>‘Be Green’</w:t>
            </w:r>
          </w:p>
        </w:tc>
        <w:tc>
          <w:tcPr>
            <w:tcW w:w="1817" w:type="dxa"/>
            <w:vAlign w:val="center"/>
          </w:tcPr>
          <w:p w14:paraId="613A5319"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5.91</w:t>
            </w:r>
          </w:p>
        </w:tc>
        <w:tc>
          <w:tcPr>
            <w:tcW w:w="2861" w:type="dxa"/>
            <w:vAlign w:val="center"/>
          </w:tcPr>
          <w:p w14:paraId="1592DCFF" w14:textId="77777777" w:rsidR="00971A81" w:rsidRPr="00792502" w:rsidRDefault="00971A81" w:rsidP="00113499">
            <w:pPr>
              <w:jc w:val="center"/>
              <w:rPr>
                <w:rFonts w:asciiTheme="minorHAnsi" w:hAnsiTheme="minorHAnsi" w:cstheme="minorHAnsi"/>
                <w:sz w:val="22"/>
                <w:szCs w:val="22"/>
              </w:rPr>
            </w:pPr>
            <w:r>
              <w:rPr>
                <w:rFonts w:asciiTheme="minorHAnsi" w:hAnsiTheme="minorHAnsi" w:cstheme="minorHAnsi"/>
                <w:sz w:val="22"/>
                <w:szCs w:val="22"/>
              </w:rPr>
              <w:t>2.62</w:t>
            </w:r>
          </w:p>
        </w:tc>
      </w:tr>
    </w:tbl>
    <w:p w14:paraId="053BFF6E" w14:textId="77777777" w:rsidR="008B2CDF" w:rsidRDefault="008B2CDF" w:rsidP="00A250B9">
      <w:pPr>
        <w:pStyle w:val="Body"/>
        <w:rPr>
          <w:lang w:val="de-DE"/>
        </w:rPr>
      </w:pPr>
    </w:p>
    <w:p w14:paraId="69C2BF8D" w14:textId="77777777" w:rsidR="008B2CDF" w:rsidRPr="00A250B9" w:rsidRDefault="008B2CDF" w:rsidP="00A250B9">
      <w:pPr>
        <w:pStyle w:val="Body"/>
        <w:rPr>
          <w:lang w:val="de-DE"/>
        </w:rPr>
      </w:pPr>
    </w:p>
    <w:p w14:paraId="6F3B84F2" w14:textId="77777777" w:rsidR="003C22C9" w:rsidRDefault="00847AF4">
      <w:pPr>
        <w:pStyle w:val="Heading"/>
        <w:rPr>
          <w:color w:val="FF2600"/>
          <w:sz w:val="22"/>
          <w:szCs w:val="22"/>
        </w:rPr>
      </w:pPr>
      <w:r>
        <w:rPr>
          <w:lang w:val="de-DE"/>
        </w:rPr>
        <w:lastRenderedPageBreak/>
        <w:t>REFERENCES</w:t>
      </w:r>
    </w:p>
    <w:p w14:paraId="59683A5D" w14:textId="77777777" w:rsidR="00A250B9" w:rsidRDefault="00A250B9">
      <w:pPr>
        <w:pStyle w:val="Default"/>
      </w:pPr>
    </w:p>
    <w:p w14:paraId="0E93E4C5" w14:textId="77777777" w:rsidR="003C22C9" w:rsidRDefault="00847AF4">
      <w:pPr>
        <w:pStyle w:val="Default"/>
      </w:pPr>
      <w:r>
        <w:rPr>
          <w:lang w:val="en-US"/>
        </w:rPr>
        <w:t>1</w:t>
      </w:r>
      <w:r>
        <w:rPr>
          <w:lang w:val="en-US"/>
        </w:rPr>
        <w:tab/>
        <w:t>The Greater London Authority (GLA), (</w:t>
      </w:r>
      <w:r w:rsidR="003276F5">
        <w:rPr>
          <w:lang w:val="en-US"/>
        </w:rPr>
        <w:t>March 2015</w:t>
      </w:r>
      <w:r>
        <w:rPr>
          <w:lang w:val="en-US"/>
        </w:rPr>
        <w:t>); The London Plan. GLA.</w:t>
      </w:r>
    </w:p>
    <w:p w14:paraId="5ABC0B05" w14:textId="77777777" w:rsidR="003C22C9" w:rsidRDefault="003C22C9">
      <w:pPr>
        <w:pStyle w:val="Default"/>
      </w:pPr>
    </w:p>
    <w:p w14:paraId="7AFF9428" w14:textId="2320A695" w:rsidR="003C22C9" w:rsidRDefault="00847AF4">
      <w:pPr>
        <w:pStyle w:val="Default"/>
      </w:pPr>
      <w:r>
        <w:rPr>
          <w:lang w:val="en-US"/>
        </w:rPr>
        <w:t>2</w:t>
      </w:r>
      <w:r>
        <w:rPr>
          <w:lang w:val="en-US"/>
        </w:rPr>
        <w:tab/>
      </w:r>
      <w:r w:rsidR="001A3CF7">
        <w:rPr>
          <w:lang w:val="en-US"/>
        </w:rPr>
        <w:t xml:space="preserve">Camden </w:t>
      </w:r>
      <w:r w:rsidR="003705C8">
        <w:rPr>
          <w:lang w:val="en-US"/>
        </w:rPr>
        <w:t xml:space="preserve">Local Plan </w:t>
      </w:r>
      <w:r>
        <w:rPr>
          <w:lang w:val="en-US"/>
        </w:rPr>
        <w:t>(</w:t>
      </w:r>
      <w:r w:rsidR="003705C8">
        <w:rPr>
          <w:lang w:val="en-US"/>
        </w:rPr>
        <w:t>201</w:t>
      </w:r>
      <w:r w:rsidR="001A3CF7">
        <w:rPr>
          <w:lang w:val="en-US"/>
        </w:rPr>
        <w:t>7</w:t>
      </w:r>
      <w:r>
        <w:rPr>
          <w:lang w:val="en-US"/>
        </w:rPr>
        <w:t>)</w:t>
      </w:r>
    </w:p>
    <w:p w14:paraId="39E3BE77" w14:textId="77777777" w:rsidR="003C22C9" w:rsidRDefault="003C22C9">
      <w:pPr>
        <w:pStyle w:val="Default"/>
      </w:pPr>
    </w:p>
    <w:p w14:paraId="710E9F7D" w14:textId="77777777" w:rsidR="003C22C9" w:rsidRDefault="00847AF4">
      <w:pPr>
        <w:pStyle w:val="Default"/>
      </w:pPr>
      <w:r>
        <w:rPr>
          <w:lang w:val="en-US"/>
        </w:rPr>
        <w:t>4</w:t>
      </w:r>
      <w:r>
        <w:rPr>
          <w:lang w:val="en-US"/>
        </w:rPr>
        <w:tab/>
      </w:r>
      <w:proofErr w:type="spellStart"/>
      <w:r>
        <w:rPr>
          <w:lang w:val="en-US"/>
        </w:rPr>
        <w:t>Dti</w:t>
      </w:r>
      <w:proofErr w:type="spellEnd"/>
      <w:r>
        <w:rPr>
          <w:lang w:val="en-US"/>
        </w:rPr>
        <w:t xml:space="preserve">, (2003). Energy White Paper Our Energy Future - Creating a Low Carbon </w:t>
      </w:r>
      <w:r>
        <w:rPr>
          <w:i/>
          <w:iCs/>
          <w:lang w:val="en-US"/>
        </w:rPr>
        <w:t>Economy</w:t>
      </w:r>
      <w:r>
        <w:rPr>
          <w:lang w:val="pt-PT"/>
        </w:rPr>
        <w:t>. TSO.</w:t>
      </w:r>
    </w:p>
    <w:p w14:paraId="59096A75" w14:textId="77777777" w:rsidR="003C22C9" w:rsidRDefault="003C22C9">
      <w:pPr>
        <w:pStyle w:val="Default"/>
      </w:pPr>
    </w:p>
    <w:p w14:paraId="5945E1A5" w14:textId="77777777" w:rsidR="003C22C9" w:rsidRDefault="00847AF4">
      <w:pPr>
        <w:pStyle w:val="Default"/>
        <w:rPr>
          <w:lang w:val="en-US"/>
        </w:rPr>
      </w:pPr>
      <w:r>
        <w:rPr>
          <w:lang w:val="en-US"/>
        </w:rPr>
        <w:t>5</w:t>
      </w:r>
      <w:r>
        <w:rPr>
          <w:lang w:val="en-US"/>
        </w:rPr>
        <w:tab/>
      </w:r>
      <w:r w:rsidR="00B50E74">
        <w:rPr>
          <w:lang w:val="en-US"/>
        </w:rPr>
        <w:t xml:space="preserve">Ministry of Housing, Communities &amp; Local </w:t>
      </w:r>
      <w:r w:rsidR="00217812">
        <w:rPr>
          <w:lang w:val="en-US"/>
        </w:rPr>
        <w:t>Government</w:t>
      </w:r>
      <w:r>
        <w:rPr>
          <w:lang w:val="en-US"/>
        </w:rPr>
        <w:t>, (201</w:t>
      </w:r>
      <w:r w:rsidR="005E1E71">
        <w:rPr>
          <w:lang w:val="en-US"/>
        </w:rPr>
        <w:t>8</w:t>
      </w:r>
      <w:r>
        <w:rPr>
          <w:lang w:val="en-US"/>
        </w:rPr>
        <w:t xml:space="preserve">); National Planning Policy Framework. </w:t>
      </w:r>
    </w:p>
    <w:p w14:paraId="68EE5A4B" w14:textId="77777777" w:rsidR="00B50E74" w:rsidRDefault="00B50E74">
      <w:pPr>
        <w:pStyle w:val="Default"/>
      </w:pPr>
    </w:p>
    <w:p w14:paraId="1B0AE9E8" w14:textId="77777777" w:rsidR="003C22C9" w:rsidRDefault="00847AF4">
      <w:pPr>
        <w:pStyle w:val="Default"/>
      </w:pPr>
      <w:r>
        <w:rPr>
          <w:lang w:val="en-US"/>
        </w:rPr>
        <w:t xml:space="preserve">6 </w:t>
      </w:r>
      <w:r>
        <w:rPr>
          <w:lang w:val="en-US"/>
        </w:rPr>
        <w:tab/>
        <w:t xml:space="preserve">Department of Communities and Local Government (2015), Planning update March 2015: </w:t>
      </w:r>
    </w:p>
    <w:p w14:paraId="0CBC2A06" w14:textId="77777777" w:rsidR="003C22C9" w:rsidRDefault="00847AF4">
      <w:pPr>
        <w:pStyle w:val="Default"/>
        <w:rPr>
          <w:u w:val="single"/>
        </w:rPr>
      </w:pPr>
      <w:r>
        <w:tab/>
      </w:r>
      <w:r>
        <w:rPr>
          <w:u w:val="single"/>
          <w:lang w:val="en-US"/>
        </w:rPr>
        <w:t>https://www.gov.uk/government/speeches/planning-update-march-2015</w:t>
      </w:r>
    </w:p>
    <w:p w14:paraId="29A4D942" w14:textId="77777777" w:rsidR="003C22C9" w:rsidRDefault="003C22C9">
      <w:pPr>
        <w:pStyle w:val="Default"/>
      </w:pPr>
    </w:p>
    <w:p w14:paraId="342F91D8" w14:textId="77777777" w:rsidR="003C22C9" w:rsidRDefault="003F03FD">
      <w:pPr>
        <w:pStyle w:val="Default"/>
      </w:pPr>
      <w:r>
        <w:t>7</w:t>
      </w:r>
      <w:r>
        <w:tab/>
        <w:t xml:space="preserve">GLA, </w:t>
      </w:r>
      <w:r w:rsidR="00847AF4">
        <w:t>(</w:t>
      </w:r>
      <w:r>
        <w:t xml:space="preserve">March </w:t>
      </w:r>
      <w:r w:rsidR="00847AF4">
        <w:t>201</w:t>
      </w:r>
      <w:r w:rsidR="00186C2E">
        <w:t>6</w:t>
      </w:r>
      <w:r w:rsidR="00847AF4">
        <w:t xml:space="preserve">); Energy Planning – </w:t>
      </w:r>
      <w:r w:rsidR="00847AF4">
        <w:rPr>
          <w:lang w:val="en-US"/>
        </w:rPr>
        <w:t>GLA Guidance on preparing energy assessments. GLA.</w:t>
      </w:r>
    </w:p>
    <w:p w14:paraId="1FFACF48" w14:textId="77777777" w:rsidR="003C22C9" w:rsidRDefault="003C22C9">
      <w:pPr>
        <w:pStyle w:val="Default"/>
      </w:pPr>
    </w:p>
    <w:p w14:paraId="73EEBF64" w14:textId="77777777" w:rsidR="003C22C9" w:rsidRDefault="00847AF4">
      <w:pPr>
        <w:pStyle w:val="Default"/>
        <w:jc w:val="left"/>
      </w:pPr>
      <w:r>
        <w:rPr>
          <w:lang w:val="en-US"/>
        </w:rPr>
        <w:t>8</w:t>
      </w:r>
      <w:r>
        <w:rPr>
          <w:lang w:val="en-US"/>
        </w:rPr>
        <w:tab/>
        <w:t>BRE, (201</w:t>
      </w:r>
      <w:r w:rsidR="007A779A">
        <w:rPr>
          <w:lang w:val="en-US"/>
        </w:rPr>
        <w:t>4</w:t>
      </w:r>
      <w:r>
        <w:rPr>
          <w:lang w:val="en-US"/>
        </w:rPr>
        <w:t xml:space="preserve">); </w:t>
      </w:r>
      <w:r w:rsidR="007A779A">
        <w:rPr>
          <w:lang w:val="en-US"/>
        </w:rPr>
        <w:t xml:space="preserve">Standard Assessment Procedure for Energy Rating of Dwellings (SAP), 2012 edition. </w:t>
      </w:r>
      <w:r>
        <w:rPr>
          <w:lang w:val="en-US"/>
        </w:rPr>
        <w:t>D</w:t>
      </w:r>
      <w:r w:rsidR="007A779A">
        <w:rPr>
          <w:lang w:val="en-US"/>
        </w:rPr>
        <w:t xml:space="preserve">ECC </w:t>
      </w:r>
    </w:p>
    <w:p w14:paraId="29314F0C" w14:textId="77777777" w:rsidR="003C22C9" w:rsidRDefault="003C22C9">
      <w:pPr>
        <w:pStyle w:val="Default"/>
      </w:pPr>
    </w:p>
    <w:p w14:paraId="63B2529A" w14:textId="77777777" w:rsidR="003C22C9" w:rsidRDefault="00847AF4">
      <w:pPr>
        <w:pStyle w:val="Default"/>
      </w:pPr>
      <w:r>
        <w:rPr>
          <w:lang w:val="en-US"/>
        </w:rPr>
        <w:t>9</w:t>
      </w:r>
      <w:r>
        <w:rPr>
          <w:lang w:val="en-US"/>
        </w:rPr>
        <w:tab/>
        <w:t xml:space="preserve">BRE, (2008); Green Guide to Specification. Building Research Establishment </w:t>
      </w:r>
      <w:hyperlink r:id="rId12" w:history="1">
        <w:r>
          <w:rPr>
            <w:rStyle w:val="Hyperlink0"/>
            <w:lang w:val="en-US"/>
          </w:rPr>
          <w:t>http://www.bre.co.uk/greenguide/podpage.jsp?id=2126</w:t>
        </w:r>
      </w:hyperlink>
      <w:r>
        <w:t xml:space="preserve"> </w:t>
      </w:r>
    </w:p>
    <w:p w14:paraId="4B17D694" w14:textId="77777777" w:rsidR="003C22C9" w:rsidRDefault="003C22C9">
      <w:pPr>
        <w:pStyle w:val="Default"/>
      </w:pPr>
    </w:p>
    <w:p w14:paraId="6C8FD689" w14:textId="77777777" w:rsidR="003C22C9" w:rsidRPr="00217812" w:rsidRDefault="00847AF4">
      <w:pPr>
        <w:pStyle w:val="Default"/>
        <w:rPr>
          <w:color w:val="000000" w:themeColor="text1"/>
        </w:rPr>
      </w:pPr>
      <w:r w:rsidRPr="00217812">
        <w:rPr>
          <w:color w:val="000000" w:themeColor="text1"/>
          <w:lang w:val="en-US"/>
        </w:rPr>
        <w:t>10</w:t>
      </w:r>
      <w:r w:rsidRPr="00217812">
        <w:rPr>
          <w:color w:val="000000" w:themeColor="text1"/>
          <w:lang w:val="en-US"/>
        </w:rPr>
        <w:tab/>
        <w:t xml:space="preserve">London Development Agency, (2010); </w:t>
      </w:r>
      <w:proofErr w:type="spellStart"/>
      <w:r w:rsidRPr="00217812">
        <w:rPr>
          <w:color w:val="000000" w:themeColor="text1"/>
          <w:lang w:val="en-US"/>
        </w:rPr>
        <w:t>Decentralised</w:t>
      </w:r>
      <w:proofErr w:type="spellEnd"/>
      <w:r w:rsidRPr="00217812">
        <w:rPr>
          <w:color w:val="000000" w:themeColor="text1"/>
          <w:lang w:val="en-US"/>
        </w:rPr>
        <w:t xml:space="preserve"> Energy and Energy </w:t>
      </w:r>
      <w:proofErr w:type="spellStart"/>
      <w:r w:rsidRPr="00217812">
        <w:rPr>
          <w:color w:val="000000" w:themeColor="text1"/>
          <w:lang w:val="en-US"/>
        </w:rPr>
        <w:t>Masterplanning</w:t>
      </w:r>
      <w:proofErr w:type="spellEnd"/>
      <w:r w:rsidRPr="00217812">
        <w:rPr>
          <w:color w:val="000000" w:themeColor="text1"/>
          <w:lang w:val="en-US"/>
        </w:rPr>
        <w:t xml:space="preserve"> (</w:t>
      </w:r>
      <w:proofErr w:type="spellStart"/>
      <w:r w:rsidRPr="00217812">
        <w:rPr>
          <w:color w:val="000000" w:themeColor="text1"/>
          <w:lang w:val="en-US"/>
        </w:rPr>
        <w:t>DEMaP</w:t>
      </w:r>
      <w:proofErr w:type="spellEnd"/>
      <w:r w:rsidRPr="00217812">
        <w:rPr>
          <w:color w:val="000000" w:themeColor="text1"/>
          <w:lang w:val="en-US"/>
        </w:rPr>
        <w:t xml:space="preserve">) project. LDA. </w:t>
      </w:r>
      <w:hyperlink r:id="rId13" w:history="1">
        <w:r w:rsidRPr="00217812">
          <w:rPr>
            <w:rStyle w:val="Hyperlink0"/>
            <w:color w:val="000000" w:themeColor="text1"/>
            <w:lang w:val="en-US"/>
          </w:rPr>
          <w:t>http://www.londonheatmap.org.uk/Content/home.aspx</w:t>
        </w:r>
      </w:hyperlink>
      <w:r w:rsidRPr="00217812">
        <w:rPr>
          <w:color w:val="000000" w:themeColor="text1"/>
        </w:rPr>
        <w:t xml:space="preserve"> </w:t>
      </w:r>
    </w:p>
    <w:p w14:paraId="65263FC0" w14:textId="77777777" w:rsidR="003C22C9" w:rsidRDefault="003C22C9">
      <w:pPr>
        <w:pStyle w:val="Default"/>
        <w:rPr>
          <w:color w:val="FF2600"/>
        </w:rPr>
      </w:pPr>
    </w:p>
    <w:p w14:paraId="07689DDE" w14:textId="77777777" w:rsidR="003C22C9" w:rsidRDefault="003C22C9">
      <w:pPr>
        <w:pStyle w:val="Default"/>
        <w:rPr>
          <w:color w:val="FF2600"/>
        </w:rPr>
      </w:pPr>
    </w:p>
    <w:p w14:paraId="537CFD74" w14:textId="77777777" w:rsidR="003C22C9" w:rsidRDefault="003C22C9">
      <w:pPr>
        <w:pStyle w:val="Default"/>
        <w:rPr>
          <w:color w:val="FF2600"/>
        </w:rPr>
      </w:pPr>
    </w:p>
    <w:p w14:paraId="7D1420A1" w14:textId="77777777" w:rsidR="003C22C9" w:rsidRDefault="003C22C9">
      <w:pPr>
        <w:pStyle w:val="Default"/>
        <w:rPr>
          <w:color w:val="FF2600"/>
        </w:rPr>
      </w:pPr>
    </w:p>
    <w:p w14:paraId="0834CA5C" w14:textId="77777777" w:rsidR="003C22C9" w:rsidRDefault="003C22C9">
      <w:pPr>
        <w:pStyle w:val="Default"/>
        <w:jc w:val="center"/>
        <w:rPr>
          <w:b/>
          <w:bCs/>
          <w:color w:val="FF2600"/>
          <w:sz w:val="32"/>
          <w:szCs w:val="32"/>
        </w:rPr>
      </w:pPr>
    </w:p>
    <w:p w14:paraId="6C43E74A" w14:textId="77777777" w:rsidR="003C22C9" w:rsidRDefault="003C22C9">
      <w:pPr>
        <w:pStyle w:val="Default"/>
        <w:spacing w:after="200"/>
        <w:jc w:val="left"/>
        <w:rPr>
          <w:color w:val="FF2600"/>
        </w:rPr>
      </w:pPr>
    </w:p>
    <w:p w14:paraId="040CE0BF" w14:textId="77777777" w:rsidR="003C22C9" w:rsidRDefault="003C22C9">
      <w:pPr>
        <w:pStyle w:val="Default"/>
        <w:spacing w:after="200"/>
        <w:jc w:val="left"/>
        <w:rPr>
          <w:color w:val="FF2600"/>
        </w:rPr>
      </w:pPr>
    </w:p>
    <w:p w14:paraId="7D16B15C" w14:textId="77777777" w:rsidR="003C22C9" w:rsidRDefault="003C22C9">
      <w:pPr>
        <w:pStyle w:val="Body"/>
      </w:pPr>
    </w:p>
    <w:p w14:paraId="6A9F1C8B" w14:textId="77777777" w:rsidR="003C22C9" w:rsidRDefault="003C22C9">
      <w:pPr>
        <w:pStyle w:val="Body"/>
      </w:pPr>
    </w:p>
    <w:p w14:paraId="7516DFBA" w14:textId="77777777" w:rsidR="003C22C9" w:rsidRDefault="003C22C9">
      <w:pPr>
        <w:pStyle w:val="Body"/>
      </w:pPr>
    </w:p>
    <w:p w14:paraId="0991DD9B" w14:textId="77777777" w:rsidR="003C22C9" w:rsidRDefault="003C22C9">
      <w:pPr>
        <w:pStyle w:val="Heading"/>
      </w:pPr>
    </w:p>
    <w:p w14:paraId="3BEF40AD" w14:textId="77777777" w:rsidR="003C22C9" w:rsidRDefault="003C22C9">
      <w:pPr>
        <w:pStyle w:val="Body"/>
        <w:sectPr w:rsidR="003C22C9" w:rsidSect="00DA24B1">
          <w:headerReference w:type="default" r:id="rId14"/>
          <w:footerReference w:type="default" r:id="rId15"/>
          <w:pgSz w:w="11906" w:h="16838"/>
          <w:pgMar w:top="1800" w:right="1440" w:bottom="1418" w:left="1440" w:header="1080" w:footer="787" w:gutter="0"/>
          <w:pgNumType w:start="1"/>
          <w:cols w:space="720"/>
        </w:sectPr>
      </w:pPr>
    </w:p>
    <w:p w14:paraId="6490FD9E" w14:textId="77777777" w:rsidR="003C22C9" w:rsidRDefault="003C22C9">
      <w:pPr>
        <w:pStyle w:val="Heading"/>
        <w:jc w:val="center"/>
      </w:pPr>
    </w:p>
    <w:p w14:paraId="295E8F42" w14:textId="77777777" w:rsidR="003C22C9" w:rsidRDefault="003C22C9">
      <w:pPr>
        <w:pStyle w:val="Heading"/>
        <w:jc w:val="center"/>
      </w:pPr>
    </w:p>
    <w:p w14:paraId="2BAAB04B" w14:textId="77777777" w:rsidR="003C22C9" w:rsidRDefault="003C22C9">
      <w:pPr>
        <w:pStyle w:val="Heading"/>
        <w:jc w:val="center"/>
      </w:pPr>
    </w:p>
    <w:p w14:paraId="4E39F481" w14:textId="77777777" w:rsidR="003C22C9" w:rsidRDefault="003C22C9">
      <w:pPr>
        <w:pStyle w:val="Heading"/>
        <w:jc w:val="center"/>
      </w:pPr>
    </w:p>
    <w:p w14:paraId="2065C8BD" w14:textId="77777777" w:rsidR="003C22C9" w:rsidRDefault="003C22C9">
      <w:pPr>
        <w:pStyle w:val="Heading"/>
        <w:jc w:val="center"/>
      </w:pPr>
    </w:p>
    <w:p w14:paraId="7BD2C642" w14:textId="77777777" w:rsidR="003C22C9" w:rsidRDefault="003C22C9">
      <w:pPr>
        <w:pStyle w:val="Heading"/>
        <w:jc w:val="center"/>
      </w:pPr>
    </w:p>
    <w:p w14:paraId="600CDCBE" w14:textId="77777777" w:rsidR="003C22C9" w:rsidRDefault="003C22C9">
      <w:pPr>
        <w:pStyle w:val="Heading"/>
        <w:jc w:val="center"/>
      </w:pPr>
    </w:p>
    <w:p w14:paraId="687D4E25" w14:textId="77777777" w:rsidR="003C22C9" w:rsidRDefault="003C22C9">
      <w:pPr>
        <w:pStyle w:val="Heading"/>
        <w:jc w:val="center"/>
      </w:pPr>
    </w:p>
    <w:p w14:paraId="2A2BDB94" w14:textId="77777777" w:rsidR="003C22C9" w:rsidRDefault="003C22C9">
      <w:pPr>
        <w:pStyle w:val="Heading"/>
        <w:jc w:val="center"/>
      </w:pPr>
    </w:p>
    <w:p w14:paraId="558B4D04" w14:textId="77777777" w:rsidR="003C22C9" w:rsidRDefault="00847AF4" w:rsidP="00304987">
      <w:pPr>
        <w:pStyle w:val="Heading"/>
        <w:jc w:val="center"/>
      </w:pPr>
      <w:r>
        <w:rPr>
          <w:rStyle w:val="None"/>
          <w:sz w:val="36"/>
          <w:szCs w:val="36"/>
        </w:rPr>
        <w:t>APPENDIX</w:t>
      </w:r>
      <w:r>
        <w:t xml:space="preserve"> </w:t>
      </w:r>
      <w:r>
        <w:rPr>
          <w:rStyle w:val="None"/>
          <w:sz w:val="36"/>
          <w:szCs w:val="36"/>
        </w:rPr>
        <w:t>A</w:t>
      </w:r>
    </w:p>
    <w:p w14:paraId="5C166480" w14:textId="77777777" w:rsidR="003C22C9" w:rsidRDefault="003C22C9">
      <w:pPr>
        <w:pStyle w:val="Body"/>
      </w:pPr>
    </w:p>
    <w:p w14:paraId="621A585E" w14:textId="4C7856C4" w:rsidR="00554F22" w:rsidRDefault="006448E6" w:rsidP="0073604B">
      <w:pPr>
        <w:pStyle w:val="Heading"/>
        <w:jc w:val="center"/>
        <w:rPr>
          <w:b w:val="0"/>
          <w:caps w:val="0"/>
          <w:sz w:val="28"/>
          <w:szCs w:val="28"/>
        </w:rPr>
      </w:pPr>
      <w:r>
        <w:rPr>
          <w:b w:val="0"/>
          <w:caps w:val="0"/>
          <w:sz w:val="28"/>
          <w:szCs w:val="28"/>
        </w:rPr>
        <w:t>As-Built</w:t>
      </w:r>
      <w:r w:rsidR="0073604B">
        <w:rPr>
          <w:b w:val="0"/>
          <w:caps w:val="0"/>
          <w:sz w:val="28"/>
          <w:szCs w:val="28"/>
        </w:rPr>
        <w:t xml:space="preserve"> </w:t>
      </w:r>
      <w:r w:rsidR="00D71B02" w:rsidRPr="00771679">
        <w:rPr>
          <w:b w:val="0"/>
          <w:caps w:val="0"/>
          <w:sz w:val="28"/>
          <w:szCs w:val="28"/>
        </w:rPr>
        <w:t>Energy &amp; C</w:t>
      </w:r>
      <w:r w:rsidR="00D71B02">
        <w:rPr>
          <w:b w:val="0"/>
          <w:caps w:val="0"/>
          <w:sz w:val="28"/>
          <w:szCs w:val="28"/>
        </w:rPr>
        <w:t>O</w:t>
      </w:r>
      <w:r w:rsidR="00D71B02" w:rsidRPr="00771679">
        <w:rPr>
          <w:b w:val="0"/>
          <w:caps w:val="0"/>
          <w:sz w:val="28"/>
          <w:szCs w:val="28"/>
          <w:vertAlign w:val="subscript"/>
        </w:rPr>
        <w:t>2</w:t>
      </w:r>
      <w:r w:rsidR="00D71B02" w:rsidRPr="00771679">
        <w:rPr>
          <w:b w:val="0"/>
          <w:caps w:val="0"/>
          <w:sz w:val="28"/>
          <w:szCs w:val="28"/>
        </w:rPr>
        <w:t xml:space="preserve"> Calculation</w:t>
      </w:r>
      <w:r w:rsidR="00375EE1">
        <w:rPr>
          <w:b w:val="0"/>
          <w:caps w:val="0"/>
          <w:sz w:val="28"/>
          <w:szCs w:val="28"/>
        </w:rPr>
        <w:t>s</w:t>
      </w:r>
    </w:p>
    <w:p w14:paraId="27BCEE22" w14:textId="77777777" w:rsidR="0073604B" w:rsidRDefault="0073604B" w:rsidP="0073604B">
      <w:pPr>
        <w:pStyle w:val="Body"/>
      </w:pPr>
    </w:p>
    <w:p w14:paraId="18D9CC9F" w14:textId="024717FD" w:rsidR="0073604B" w:rsidRPr="00B269D4" w:rsidRDefault="0073604B" w:rsidP="00B269D4">
      <w:pPr>
        <w:pStyle w:val="Body"/>
        <w:rPr>
          <w:rStyle w:val="None"/>
        </w:rPr>
      </w:pPr>
    </w:p>
    <w:sectPr w:rsidR="0073604B" w:rsidRPr="00B269D4">
      <w:headerReference w:type="default" r:id="rId16"/>
      <w:footerReference w:type="default" r:id="rId17"/>
      <w:pgSz w:w="11906" w:h="16838"/>
      <w:pgMar w:top="1800" w:right="1440" w:bottom="1800" w:left="144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50A92" w14:textId="77777777" w:rsidR="00C2707B" w:rsidRDefault="00C2707B">
      <w:r>
        <w:separator/>
      </w:r>
    </w:p>
  </w:endnote>
  <w:endnote w:type="continuationSeparator" w:id="0">
    <w:p w14:paraId="05B9EE1E" w14:textId="77777777" w:rsidR="00C2707B" w:rsidRDefault="00C2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9BE4" w14:textId="77777777" w:rsidR="0044526F" w:rsidRDefault="0044526F">
    <w:pPr>
      <w:pStyle w:val="HeaderFooter"/>
      <w:tabs>
        <w:tab w:val="clear" w:pos="9020"/>
        <w:tab w:val="center" w:pos="4513"/>
        <w:tab w:val="right" w:pos="9026"/>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F790" w14:textId="4DE32A82" w:rsidR="0044526F" w:rsidRPr="005E1E71" w:rsidRDefault="0044526F">
    <w:pPr>
      <w:pStyle w:val="HeaderFooter"/>
      <w:tabs>
        <w:tab w:val="clear" w:pos="9020"/>
        <w:tab w:val="center" w:pos="4513"/>
        <w:tab w:val="right" w:pos="9026"/>
      </w:tabs>
      <w:rPr>
        <w:rFonts w:ascii="Calibri" w:hAnsi="Calibri" w:cs="Calibri"/>
        <w:sz w:val="18"/>
        <w:szCs w:val="18"/>
      </w:rPr>
    </w:pPr>
    <w:proofErr w:type="spellStart"/>
    <w:r>
      <w:rPr>
        <w:rFonts w:ascii="Calibri" w:hAnsi="Calibri" w:cs="Calibri"/>
        <w:bCs/>
        <w:sz w:val="18"/>
        <w:szCs w:val="18"/>
      </w:rPr>
      <w:t>Maygrove</w:t>
    </w:r>
    <w:proofErr w:type="spellEnd"/>
    <w:r>
      <w:rPr>
        <w:rFonts w:ascii="Calibri" w:hAnsi="Calibri" w:cs="Calibri"/>
        <w:bCs/>
        <w:sz w:val="18"/>
        <w:szCs w:val="18"/>
      </w:rPr>
      <w:t xml:space="preserve"> Road, Camden</w:t>
    </w:r>
    <w:r w:rsidRPr="005E1E71">
      <w:rPr>
        <w:rFonts w:ascii="Calibri" w:hAnsi="Calibri" w:cs="Calibri"/>
        <w:bCs/>
        <w:sz w:val="18"/>
        <w:szCs w:val="18"/>
      </w:rPr>
      <w:tab/>
    </w:r>
    <w:r w:rsidRPr="005E1E71">
      <w:rPr>
        <w:rFonts w:ascii="Calibri" w:hAnsi="Calibri" w:cs="Calibri"/>
        <w:bCs/>
        <w:sz w:val="18"/>
        <w:szCs w:val="18"/>
      </w:rPr>
      <w:tab/>
    </w:r>
    <w:r w:rsidRPr="005E1E71">
      <w:rPr>
        <w:rFonts w:ascii="Calibri" w:eastAsia="Helvetica" w:hAnsi="Calibri" w:cs="Calibri"/>
        <w:bCs/>
        <w:sz w:val="18"/>
        <w:szCs w:val="18"/>
      </w:rPr>
      <w:fldChar w:fldCharType="begin"/>
    </w:r>
    <w:r w:rsidRPr="005E1E71">
      <w:rPr>
        <w:rFonts w:ascii="Calibri" w:eastAsia="Helvetica" w:hAnsi="Calibri" w:cs="Calibri"/>
        <w:bCs/>
        <w:sz w:val="18"/>
        <w:szCs w:val="18"/>
      </w:rPr>
      <w:instrText xml:space="preserve"> PAGE </w:instrText>
    </w:r>
    <w:r w:rsidRPr="005E1E71">
      <w:rPr>
        <w:rFonts w:ascii="Calibri" w:eastAsia="Helvetica" w:hAnsi="Calibri" w:cs="Calibri"/>
        <w:bCs/>
        <w:sz w:val="18"/>
        <w:szCs w:val="18"/>
      </w:rPr>
      <w:fldChar w:fldCharType="separate"/>
    </w:r>
    <w:r w:rsidRPr="005E1E71">
      <w:rPr>
        <w:rFonts w:ascii="Calibri" w:eastAsia="Helvetica" w:hAnsi="Calibri" w:cs="Calibri"/>
        <w:bCs/>
        <w:noProof/>
        <w:sz w:val="18"/>
        <w:szCs w:val="18"/>
      </w:rPr>
      <w:t>25</w:t>
    </w:r>
    <w:r w:rsidRPr="005E1E71">
      <w:rPr>
        <w:rFonts w:ascii="Calibri" w:eastAsia="Helvetica" w:hAnsi="Calibri" w:cs="Calibri"/>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4B938" w14:textId="77777777" w:rsidR="0044526F" w:rsidRDefault="0044526F">
    <w:pPr>
      <w:pStyle w:val="HeaderFooter"/>
      <w:tabs>
        <w:tab w:val="clear" w:pos="9020"/>
        <w:tab w:val="center" w:pos="4513"/>
        <w:tab w:val="right" w:pos="9026"/>
      </w:tabs>
    </w:pPr>
  </w:p>
  <w:p w14:paraId="403284DE" w14:textId="77777777" w:rsidR="0044526F" w:rsidRDefault="0044526F">
    <w:pPr>
      <w:pStyle w:val="HeaderFooter"/>
      <w:tabs>
        <w:tab w:val="clear" w:pos="9020"/>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89CB" w14:textId="77777777" w:rsidR="00C2707B" w:rsidRDefault="00C2707B">
      <w:r>
        <w:separator/>
      </w:r>
    </w:p>
  </w:footnote>
  <w:footnote w:type="continuationSeparator" w:id="0">
    <w:p w14:paraId="05FF9C82" w14:textId="77777777" w:rsidR="00C2707B" w:rsidRDefault="00C2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97C2" w14:textId="656758B5" w:rsidR="0044526F" w:rsidRPr="005E1E71" w:rsidRDefault="00454710">
    <w:pPr>
      <w:pStyle w:val="HeaderFooter"/>
      <w:tabs>
        <w:tab w:val="clear" w:pos="9020"/>
        <w:tab w:val="center" w:pos="4513"/>
        <w:tab w:val="right" w:pos="9026"/>
      </w:tabs>
      <w:rPr>
        <w:rFonts w:ascii="Calibri" w:hAnsi="Calibri" w:cs="Calibri"/>
        <w:sz w:val="18"/>
        <w:szCs w:val="18"/>
      </w:rPr>
    </w:pPr>
    <w:r>
      <w:rPr>
        <w:rFonts w:ascii="Calibri" w:hAnsi="Calibri" w:cs="Calibri"/>
        <w:sz w:val="18"/>
        <w:szCs w:val="18"/>
      </w:rPr>
      <w:t xml:space="preserve">As-Built </w:t>
    </w:r>
    <w:r w:rsidR="0044526F" w:rsidRPr="005E1E71">
      <w:rPr>
        <w:rFonts w:ascii="Calibri" w:hAnsi="Calibri" w:cs="Calibri"/>
        <w:sz w:val="18"/>
        <w:szCs w:val="18"/>
      </w:rPr>
      <w:t xml:space="preserve">Energy </w:t>
    </w:r>
    <w:r w:rsidR="0044526F">
      <w:rPr>
        <w:rFonts w:ascii="Calibri" w:hAnsi="Calibri" w:cs="Calibri"/>
        <w:sz w:val="18"/>
        <w:szCs w:val="18"/>
      </w:rPr>
      <w:t xml:space="preserve">&amp; Sustainability </w:t>
    </w:r>
    <w:r w:rsidR="0044526F" w:rsidRPr="005E1E71">
      <w:rPr>
        <w:rFonts w:ascii="Calibri" w:hAnsi="Calibri" w:cs="Calibri"/>
        <w:sz w:val="18"/>
        <w:szCs w:val="18"/>
      </w:rPr>
      <w:t>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71590" w14:textId="77777777" w:rsidR="0044526F" w:rsidRDefault="0044526F"/>
  <w:p w14:paraId="65D3252E" w14:textId="77777777" w:rsidR="0044526F" w:rsidRDefault="00445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7287"/>
    <w:multiLevelType w:val="hybridMultilevel"/>
    <w:tmpl w:val="F0B85A0C"/>
    <w:lvl w:ilvl="0" w:tplc="0F96442C">
      <w:numFmt w:val="bullet"/>
      <w:lvlText w:val=""/>
      <w:lvlJc w:val="left"/>
      <w:pPr>
        <w:ind w:left="1800" w:hanging="360"/>
      </w:pPr>
      <w:rPr>
        <w:rFonts w:ascii="Symbol" w:eastAsia="Arial Unicode MS" w:hAnsi="Symbol" w:cs="Arial Unicode M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06DD6"/>
    <w:multiLevelType w:val="hybridMultilevel"/>
    <w:tmpl w:val="E3002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6C7AFE"/>
    <w:multiLevelType w:val="hybridMultilevel"/>
    <w:tmpl w:val="87820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CF538B"/>
    <w:multiLevelType w:val="hybridMultilevel"/>
    <w:tmpl w:val="E71EFCFE"/>
    <w:lvl w:ilvl="0" w:tplc="0F96442C">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0C20FA"/>
    <w:multiLevelType w:val="hybridMultilevel"/>
    <w:tmpl w:val="8A508A20"/>
    <w:lvl w:ilvl="0" w:tplc="0F96442C">
      <w:numFmt w:val="bullet"/>
      <w:lvlText w:val=""/>
      <w:lvlJc w:val="left"/>
      <w:pPr>
        <w:ind w:left="1800" w:hanging="360"/>
      </w:pPr>
      <w:rPr>
        <w:rFonts w:ascii="Symbol" w:eastAsia="Arial Unicode MS" w:hAnsi="Symbol" w:cs="Arial Unicode M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B3DAD"/>
    <w:multiLevelType w:val="hybridMultilevel"/>
    <w:tmpl w:val="A91E82B6"/>
    <w:lvl w:ilvl="0" w:tplc="0F96442C">
      <w:numFmt w:val="bullet"/>
      <w:lvlText w:val=""/>
      <w:lvlJc w:val="left"/>
      <w:pPr>
        <w:ind w:left="1800" w:hanging="360"/>
      </w:pPr>
      <w:rPr>
        <w:rFonts w:ascii="Symbol" w:eastAsia="Arial Unicode MS" w:hAnsi="Symbol" w:cs="Arial Unicode M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B428BD"/>
    <w:multiLevelType w:val="hybridMultilevel"/>
    <w:tmpl w:val="25524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F588C"/>
    <w:multiLevelType w:val="hybridMultilevel"/>
    <w:tmpl w:val="A49EEF36"/>
    <w:lvl w:ilvl="0" w:tplc="0F96442C">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D55B4"/>
    <w:multiLevelType w:val="hybridMultilevel"/>
    <w:tmpl w:val="22EC090E"/>
    <w:lvl w:ilvl="0" w:tplc="E5C2072C">
      <w:numFmt w:val="bullet"/>
      <w:lvlText w:val="•"/>
      <w:lvlJc w:val="left"/>
      <w:pPr>
        <w:ind w:left="1440" w:hanging="72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13A63"/>
    <w:multiLevelType w:val="hybridMultilevel"/>
    <w:tmpl w:val="38D4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B20B4"/>
    <w:multiLevelType w:val="hybridMultilevel"/>
    <w:tmpl w:val="B588D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614182"/>
    <w:multiLevelType w:val="hybridMultilevel"/>
    <w:tmpl w:val="D98ED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BF5E7C"/>
    <w:multiLevelType w:val="hybridMultilevel"/>
    <w:tmpl w:val="2D30EBDA"/>
    <w:lvl w:ilvl="0" w:tplc="0F96442C">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95CA5"/>
    <w:multiLevelType w:val="hybridMultilevel"/>
    <w:tmpl w:val="D012F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B3BE5"/>
    <w:multiLevelType w:val="hybridMultilevel"/>
    <w:tmpl w:val="AD4475AE"/>
    <w:lvl w:ilvl="0" w:tplc="0F96442C">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B60B62"/>
    <w:multiLevelType w:val="hybridMultilevel"/>
    <w:tmpl w:val="CDCCA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DD6380"/>
    <w:multiLevelType w:val="hybridMultilevel"/>
    <w:tmpl w:val="FE162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62DD8"/>
    <w:multiLevelType w:val="hybridMultilevel"/>
    <w:tmpl w:val="6E982844"/>
    <w:lvl w:ilvl="0" w:tplc="E5C2072C">
      <w:numFmt w:val="bullet"/>
      <w:lvlText w:val="•"/>
      <w:lvlJc w:val="left"/>
      <w:pPr>
        <w:ind w:left="1440" w:hanging="720"/>
      </w:pPr>
      <w:rPr>
        <w:rFonts w:ascii="Helvetica" w:eastAsia="Arial Unicode MS"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187219"/>
    <w:multiLevelType w:val="hybridMultilevel"/>
    <w:tmpl w:val="02B642FA"/>
    <w:lvl w:ilvl="0" w:tplc="0F96442C">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31638"/>
    <w:multiLevelType w:val="hybridMultilevel"/>
    <w:tmpl w:val="25C6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445DC6"/>
    <w:multiLevelType w:val="hybridMultilevel"/>
    <w:tmpl w:val="CFCC565A"/>
    <w:lvl w:ilvl="0" w:tplc="8910CAE8">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C0323"/>
    <w:multiLevelType w:val="hybridMultilevel"/>
    <w:tmpl w:val="ED184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35982"/>
    <w:multiLevelType w:val="hybridMultilevel"/>
    <w:tmpl w:val="4C188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223923"/>
    <w:multiLevelType w:val="hybridMultilevel"/>
    <w:tmpl w:val="63E48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FF2DFF"/>
    <w:multiLevelType w:val="hybridMultilevel"/>
    <w:tmpl w:val="B2526516"/>
    <w:lvl w:ilvl="0" w:tplc="E5C2072C">
      <w:numFmt w:val="bullet"/>
      <w:lvlText w:val="•"/>
      <w:lvlJc w:val="left"/>
      <w:pPr>
        <w:ind w:left="1440" w:hanging="72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94D9B"/>
    <w:multiLevelType w:val="hybridMultilevel"/>
    <w:tmpl w:val="D32CD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B73929"/>
    <w:multiLevelType w:val="hybridMultilevel"/>
    <w:tmpl w:val="230CC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E77740"/>
    <w:multiLevelType w:val="hybridMultilevel"/>
    <w:tmpl w:val="451830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5C5F25"/>
    <w:multiLevelType w:val="hybridMultilevel"/>
    <w:tmpl w:val="C786F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93BA1"/>
    <w:multiLevelType w:val="hybridMultilevel"/>
    <w:tmpl w:val="8F8A3F6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27904"/>
    <w:multiLevelType w:val="hybridMultilevel"/>
    <w:tmpl w:val="C58E7662"/>
    <w:lvl w:ilvl="0" w:tplc="0F96442C">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20"/>
  </w:num>
  <w:num w:numId="3">
    <w:abstractNumId w:val="15"/>
  </w:num>
  <w:num w:numId="4">
    <w:abstractNumId w:val="13"/>
  </w:num>
  <w:num w:numId="5">
    <w:abstractNumId w:val="21"/>
  </w:num>
  <w:num w:numId="6">
    <w:abstractNumId w:val="7"/>
  </w:num>
  <w:num w:numId="7">
    <w:abstractNumId w:val="18"/>
  </w:num>
  <w:num w:numId="8">
    <w:abstractNumId w:val="16"/>
  </w:num>
  <w:num w:numId="9">
    <w:abstractNumId w:val="10"/>
  </w:num>
  <w:num w:numId="10">
    <w:abstractNumId w:val="1"/>
  </w:num>
  <w:num w:numId="11">
    <w:abstractNumId w:val="14"/>
  </w:num>
  <w:num w:numId="12">
    <w:abstractNumId w:val="4"/>
  </w:num>
  <w:num w:numId="13">
    <w:abstractNumId w:val="28"/>
  </w:num>
  <w:num w:numId="14">
    <w:abstractNumId w:val="9"/>
  </w:num>
  <w:num w:numId="15">
    <w:abstractNumId w:val="30"/>
  </w:num>
  <w:num w:numId="16">
    <w:abstractNumId w:val="5"/>
  </w:num>
  <w:num w:numId="17">
    <w:abstractNumId w:val="0"/>
  </w:num>
  <w:num w:numId="18">
    <w:abstractNumId w:val="2"/>
  </w:num>
  <w:num w:numId="19">
    <w:abstractNumId w:val="11"/>
  </w:num>
  <w:num w:numId="20">
    <w:abstractNumId w:val="19"/>
  </w:num>
  <w:num w:numId="21">
    <w:abstractNumId w:val="22"/>
  </w:num>
  <w:num w:numId="22">
    <w:abstractNumId w:val="3"/>
  </w:num>
  <w:num w:numId="23">
    <w:abstractNumId w:val="12"/>
  </w:num>
  <w:num w:numId="24">
    <w:abstractNumId w:val="6"/>
  </w:num>
  <w:num w:numId="25">
    <w:abstractNumId w:val="25"/>
  </w:num>
  <w:num w:numId="26">
    <w:abstractNumId w:val="27"/>
  </w:num>
  <w:num w:numId="27">
    <w:abstractNumId w:val="26"/>
  </w:num>
  <w:num w:numId="28">
    <w:abstractNumId w:val="17"/>
  </w:num>
  <w:num w:numId="29">
    <w:abstractNumId w:val="8"/>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C9"/>
    <w:rsid w:val="00001E51"/>
    <w:rsid w:val="000105AE"/>
    <w:rsid w:val="00011DA6"/>
    <w:rsid w:val="00030998"/>
    <w:rsid w:val="000319D2"/>
    <w:rsid w:val="00034CCC"/>
    <w:rsid w:val="00035D43"/>
    <w:rsid w:val="000426BF"/>
    <w:rsid w:val="00043835"/>
    <w:rsid w:val="0006171F"/>
    <w:rsid w:val="00070C3E"/>
    <w:rsid w:val="00070EE4"/>
    <w:rsid w:val="00074062"/>
    <w:rsid w:val="00082290"/>
    <w:rsid w:val="00084F73"/>
    <w:rsid w:val="000873F2"/>
    <w:rsid w:val="00087800"/>
    <w:rsid w:val="00095E1E"/>
    <w:rsid w:val="00097DF9"/>
    <w:rsid w:val="000A13D1"/>
    <w:rsid w:val="000A6BD0"/>
    <w:rsid w:val="000C223E"/>
    <w:rsid w:val="000C2E3D"/>
    <w:rsid w:val="000C327C"/>
    <w:rsid w:val="000C7AEC"/>
    <w:rsid w:val="000D1E5C"/>
    <w:rsid w:val="000D351D"/>
    <w:rsid w:val="000E7D86"/>
    <w:rsid w:val="000F2C38"/>
    <w:rsid w:val="000F7FD3"/>
    <w:rsid w:val="00102331"/>
    <w:rsid w:val="0012278B"/>
    <w:rsid w:val="00123B1D"/>
    <w:rsid w:val="00127AAC"/>
    <w:rsid w:val="001408D4"/>
    <w:rsid w:val="00144E28"/>
    <w:rsid w:val="001643DC"/>
    <w:rsid w:val="00165C90"/>
    <w:rsid w:val="00181516"/>
    <w:rsid w:val="00186C2E"/>
    <w:rsid w:val="00194539"/>
    <w:rsid w:val="00197BB7"/>
    <w:rsid w:val="001A3CF7"/>
    <w:rsid w:val="001B1164"/>
    <w:rsid w:val="001C1936"/>
    <w:rsid w:val="001C6F50"/>
    <w:rsid w:val="001C7060"/>
    <w:rsid w:val="001D129E"/>
    <w:rsid w:val="001E5037"/>
    <w:rsid w:val="001F3FB3"/>
    <w:rsid w:val="00204225"/>
    <w:rsid w:val="00205320"/>
    <w:rsid w:val="00207412"/>
    <w:rsid w:val="00207B37"/>
    <w:rsid w:val="00217812"/>
    <w:rsid w:val="00225168"/>
    <w:rsid w:val="002363E2"/>
    <w:rsid w:val="00236D15"/>
    <w:rsid w:val="00240349"/>
    <w:rsid w:val="00245281"/>
    <w:rsid w:val="002839A2"/>
    <w:rsid w:val="0028565B"/>
    <w:rsid w:val="002A1337"/>
    <w:rsid w:val="002A2D72"/>
    <w:rsid w:val="002A4D88"/>
    <w:rsid w:val="002A6296"/>
    <w:rsid w:val="002B153D"/>
    <w:rsid w:val="002C035A"/>
    <w:rsid w:val="002C7FEC"/>
    <w:rsid w:val="002D3C34"/>
    <w:rsid w:val="002D68F6"/>
    <w:rsid w:val="002E796A"/>
    <w:rsid w:val="00304987"/>
    <w:rsid w:val="003258A5"/>
    <w:rsid w:val="003276F5"/>
    <w:rsid w:val="00330EC0"/>
    <w:rsid w:val="00332CD0"/>
    <w:rsid w:val="00332F56"/>
    <w:rsid w:val="0034231B"/>
    <w:rsid w:val="003637BD"/>
    <w:rsid w:val="00364DFF"/>
    <w:rsid w:val="003705C8"/>
    <w:rsid w:val="00375EE1"/>
    <w:rsid w:val="0038213A"/>
    <w:rsid w:val="00385088"/>
    <w:rsid w:val="0039625B"/>
    <w:rsid w:val="003966EB"/>
    <w:rsid w:val="003A0948"/>
    <w:rsid w:val="003A63D3"/>
    <w:rsid w:val="003B1890"/>
    <w:rsid w:val="003B392E"/>
    <w:rsid w:val="003C22C9"/>
    <w:rsid w:val="003C5D8A"/>
    <w:rsid w:val="003D4DDF"/>
    <w:rsid w:val="003E6392"/>
    <w:rsid w:val="003F03FD"/>
    <w:rsid w:val="004039A8"/>
    <w:rsid w:val="00405D2E"/>
    <w:rsid w:val="00442ABA"/>
    <w:rsid w:val="00444ADA"/>
    <w:rsid w:val="0044526F"/>
    <w:rsid w:val="00454710"/>
    <w:rsid w:val="004556AE"/>
    <w:rsid w:val="004613C5"/>
    <w:rsid w:val="0046519A"/>
    <w:rsid w:val="00470C92"/>
    <w:rsid w:val="0047139F"/>
    <w:rsid w:val="00476B4D"/>
    <w:rsid w:val="00490131"/>
    <w:rsid w:val="004A4EA4"/>
    <w:rsid w:val="004B1909"/>
    <w:rsid w:val="004C6AB8"/>
    <w:rsid w:val="004E32CF"/>
    <w:rsid w:val="004F54B4"/>
    <w:rsid w:val="004F7508"/>
    <w:rsid w:val="00506AFB"/>
    <w:rsid w:val="00506E2E"/>
    <w:rsid w:val="00510E67"/>
    <w:rsid w:val="00516856"/>
    <w:rsid w:val="005170EA"/>
    <w:rsid w:val="00533B23"/>
    <w:rsid w:val="00535F80"/>
    <w:rsid w:val="0055207B"/>
    <w:rsid w:val="00554F22"/>
    <w:rsid w:val="005707B1"/>
    <w:rsid w:val="005718CC"/>
    <w:rsid w:val="00574C21"/>
    <w:rsid w:val="00583402"/>
    <w:rsid w:val="00584FA0"/>
    <w:rsid w:val="00585AAE"/>
    <w:rsid w:val="005A239E"/>
    <w:rsid w:val="005A41F8"/>
    <w:rsid w:val="005A5FBA"/>
    <w:rsid w:val="005B0609"/>
    <w:rsid w:val="005C5118"/>
    <w:rsid w:val="005C65AE"/>
    <w:rsid w:val="005C7053"/>
    <w:rsid w:val="005C7316"/>
    <w:rsid w:val="005D165C"/>
    <w:rsid w:val="005D2261"/>
    <w:rsid w:val="005D6E79"/>
    <w:rsid w:val="005E1E71"/>
    <w:rsid w:val="005E3F55"/>
    <w:rsid w:val="005E5672"/>
    <w:rsid w:val="00602BD5"/>
    <w:rsid w:val="00604672"/>
    <w:rsid w:val="00621478"/>
    <w:rsid w:val="006448E6"/>
    <w:rsid w:val="006506E4"/>
    <w:rsid w:val="00657350"/>
    <w:rsid w:val="00675DAC"/>
    <w:rsid w:val="0068645C"/>
    <w:rsid w:val="006913CB"/>
    <w:rsid w:val="006941B8"/>
    <w:rsid w:val="006C111C"/>
    <w:rsid w:val="006D0450"/>
    <w:rsid w:val="006D6B9C"/>
    <w:rsid w:val="006D746C"/>
    <w:rsid w:val="006F41EC"/>
    <w:rsid w:val="007047D5"/>
    <w:rsid w:val="007078DB"/>
    <w:rsid w:val="007109D6"/>
    <w:rsid w:val="00711A64"/>
    <w:rsid w:val="007169CD"/>
    <w:rsid w:val="0072671F"/>
    <w:rsid w:val="007315EF"/>
    <w:rsid w:val="0073604B"/>
    <w:rsid w:val="007442F0"/>
    <w:rsid w:val="00754057"/>
    <w:rsid w:val="0075527A"/>
    <w:rsid w:val="00761ECE"/>
    <w:rsid w:val="007669D9"/>
    <w:rsid w:val="00771679"/>
    <w:rsid w:val="00792502"/>
    <w:rsid w:val="00794812"/>
    <w:rsid w:val="007A779A"/>
    <w:rsid w:val="007B42F6"/>
    <w:rsid w:val="007C043C"/>
    <w:rsid w:val="007C47DB"/>
    <w:rsid w:val="007C5779"/>
    <w:rsid w:val="007E4FEB"/>
    <w:rsid w:val="007E6D2C"/>
    <w:rsid w:val="007F1F44"/>
    <w:rsid w:val="007F2439"/>
    <w:rsid w:val="00807AD8"/>
    <w:rsid w:val="00810269"/>
    <w:rsid w:val="00822B87"/>
    <w:rsid w:val="00823CD1"/>
    <w:rsid w:val="00832590"/>
    <w:rsid w:val="00845C81"/>
    <w:rsid w:val="00847AF4"/>
    <w:rsid w:val="00856C50"/>
    <w:rsid w:val="0086451C"/>
    <w:rsid w:val="00867FF5"/>
    <w:rsid w:val="008740FA"/>
    <w:rsid w:val="00885705"/>
    <w:rsid w:val="008872AB"/>
    <w:rsid w:val="008A31C7"/>
    <w:rsid w:val="008B0ABB"/>
    <w:rsid w:val="008B2CDF"/>
    <w:rsid w:val="008B3B86"/>
    <w:rsid w:val="008B736F"/>
    <w:rsid w:val="008C18CA"/>
    <w:rsid w:val="008E0817"/>
    <w:rsid w:val="008F1027"/>
    <w:rsid w:val="008F7D68"/>
    <w:rsid w:val="00907F71"/>
    <w:rsid w:val="0091284A"/>
    <w:rsid w:val="00937C50"/>
    <w:rsid w:val="00956148"/>
    <w:rsid w:val="00971A81"/>
    <w:rsid w:val="00972249"/>
    <w:rsid w:val="00974508"/>
    <w:rsid w:val="00990466"/>
    <w:rsid w:val="00997C4E"/>
    <w:rsid w:val="009C2A2D"/>
    <w:rsid w:val="009E2079"/>
    <w:rsid w:val="009E4C7E"/>
    <w:rsid w:val="009E6389"/>
    <w:rsid w:val="00A141BD"/>
    <w:rsid w:val="00A234ED"/>
    <w:rsid w:val="00A250B9"/>
    <w:rsid w:val="00A37469"/>
    <w:rsid w:val="00A37FF6"/>
    <w:rsid w:val="00A53BF9"/>
    <w:rsid w:val="00A60893"/>
    <w:rsid w:val="00A708EB"/>
    <w:rsid w:val="00A716D9"/>
    <w:rsid w:val="00A8043D"/>
    <w:rsid w:val="00A839A9"/>
    <w:rsid w:val="00A84ED8"/>
    <w:rsid w:val="00A85088"/>
    <w:rsid w:val="00A91F74"/>
    <w:rsid w:val="00A97E11"/>
    <w:rsid w:val="00AB0E48"/>
    <w:rsid w:val="00AC39D9"/>
    <w:rsid w:val="00AD0024"/>
    <w:rsid w:val="00AE3100"/>
    <w:rsid w:val="00AE3B63"/>
    <w:rsid w:val="00AF5468"/>
    <w:rsid w:val="00AF6A99"/>
    <w:rsid w:val="00B1392B"/>
    <w:rsid w:val="00B232EC"/>
    <w:rsid w:val="00B269D4"/>
    <w:rsid w:val="00B3312D"/>
    <w:rsid w:val="00B35805"/>
    <w:rsid w:val="00B41A45"/>
    <w:rsid w:val="00B41C04"/>
    <w:rsid w:val="00B50E74"/>
    <w:rsid w:val="00B51AF4"/>
    <w:rsid w:val="00B6031A"/>
    <w:rsid w:val="00B60748"/>
    <w:rsid w:val="00B6239E"/>
    <w:rsid w:val="00B80703"/>
    <w:rsid w:val="00B91DDE"/>
    <w:rsid w:val="00B921CB"/>
    <w:rsid w:val="00BA7550"/>
    <w:rsid w:val="00C11227"/>
    <w:rsid w:val="00C13FF8"/>
    <w:rsid w:val="00C2707B"/>
    <w:rsid w:val="00C43098"/>
    <w:rsid w:val="00C43291"/>
    <w:rsid w:val="00C45E4C"/>
    <w:rsid w:val="00C5107C"/>
    <w:rsid w:val="00C516A1"/>
    <w:rsid w:val="00C610F7"/>
    <w:rsid w:val="00C63769"/>
    <w:rsid w:val="00C679A3"/>
    <w:rsid w:val="00C77009"/>
    <w:rsid w:val="00C85CED"/>
    <w:rsid w:val="00C86439"/>
    <w:rsid w:val="00CB1340"/>
    <w:rsid w:val="00CB5DFC"/>
    <w:rsid w:val="00CC783A"/>
    <w:rsid w:val="00CD3B38"/>
    <w:rsid w:val="00CE2830"/>
    <w:rsid w:val="00CE362E"/>
    <w:rsid w:val="00CE3767"/>
    <w:rsid w:val="00CE4BA0"/>
    <w:rsid w:val="00CE62FC"/>
    <w:rsid w:val="00CF10A1"/>
    <w:rsid w:val="00D057FF"/>
    <w:rsid w:val="00D07646"/>
    <w:rsid w:val="00D13CA5"/>
    <w:rsid w:val="00D15B3F"/>
    <w:rsid w:val="00D20C05"/>
    <w:rsid w:val="00D46348"/>
    <w:rsid w:val="00D51EEF"/>
    <w:rsid w:val="00D5756F"/>
    <w:rsid w:val="00D62FC7"/>
    <w:rsid w:val="00D63B0B"/>
    <w:rsid w:val="00D64B47"/>
    <w:rsid w:val="00D71B02"/>
    <w:rsid w:val="00D83451"/>
    <w:rsid w:val="00D959E2"/>
    <w:rsid w:val="00DA24B1"/>
    <w:rsid w:val="00DA2579"/>
    <w:rsid w:val="00DA4170"/>
    <w:rsid w:val="00DB1AE7"/>
    <w:rsid w:val="00DB1D46"/>
    <w:rsid w:val="00DC02B4"/>
    <w:rsid w:val="00DC5D65"/>
    <w:rsid w:val="00DD016E"/>
    <w:rsid w:val="00DD2F6D"/>
    <w:rsid w:val="00DD364F"/>
    <w:rsid w:val="00DD593F"/>
    <w:rsid w:val="00DE0814"/>
    <w:rsid w:val="00DE29CB"/>
    <w:rsid w:val="00DE2BB1"/>
    <w:rsid w:val="00DF0289"/>
    <w:rsid w:val="00DF122F"/>
    <w:rsid w:val="00DF191F"/>
    <w:rsid w:val="00E003D1"/>
    <w:rsid w:val="00E01E89"/>
    <w:rsid w:val="00E03B71"/>
    <w:rsid w:val="00E04803"/>
    <w:rsid w:val="00E1383B"/>
    <w:rsid w:val="00E32933"/>
    <w:rsid w:val="00E42959"/>
    <w:rsid w:val="00E4770F"/>
    <w:rsid w:val="00E70A08"/>
    <w:rsid w:val="00E74E60"/>
    <w:rsid w:val="00E77A87"/>
    <w:rsid w:val="00E82C3F"/>
    <w:rsid w:val="00E87B45"/>
    <w:rsid w:val="00E87DEB"/>
    <w:rsid w:val="00E87FBB"/>
    <w:rsid w:val="00E974BD"/>
    <w:rsid w:val="00EB0296"/>
    <w:rsid w:val="00EB6219"/>
    <w:rsid w:val="00ED0A80"/>
    <w:rsid w:val="00ED5452"/>
    <w:rsid w:val="00EE090C"/>
    <w:rsid w:val="00EF713D"/>
    <w:rsid w:val="00F07597"/>
    <w:rsid w:val="00F1386E"/>
    <w:rsid w:val="00F21BB6"/>
    <w:rsid w:val="00F26141"/>
    <w:rsid w:val="00F313AD"/>
    <w:rsid w:val="00F36C82"/>
    <w:rsid w:val="00F42E0E"/>
    <w:rsid w:val="00F540E5"/>
    <w:rsid w:val="00F60C2C"/>
    <w:rsid w:val="00F777BD"/>
    <w:rsid w:val="00F81C03"/>
    <w:rsid w:val="00F83790"/>
    <w:rsid w:val="00FA3CBA"/>
    <w:rsid w:val="00FA5DC4"/>
    <w:rsid w:val="00FB137E"/>
    <w:rsid w:val="00FB445E"/>
    <w:rsid w:val="00FB6194"/>
    <w:rsid w:val="00FE28B5"/>
    <w:rsid w:val="00FE3348"/>
    <w:rsid w:val="00FF304D"/>
    <w:rsid w:val="00FF6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EE2B"/>
  <w15:docId w15:val="{024D94D2-23E3-419C-B920-8CF549B5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90C"/>
    <w:rPr>
      <w:sz w:val="24"/>
      <w:szCs w:val="24"/>
      <w:lang w:eastAsia="en-US"/>
    </w:rPr>
  </w:style>
  <w:style w:type="paragraph" w:styleId="Heading3">
    <w:name w:val="heading 3"/>
    <w:next w:val="Body"/>
    <w:pPr>
      <w:keepNext/>
      <w:pBdr>
        <w:top w:val="single" w:sz="4" w:space="0" w:color="515151"/>
      </w:pBdr>
      <w:spacing w:before="360" w:after="40" w:line="288" w:lineRule="auto"/>
      <w:outlineLvl w:val="2"/>
    </w:pPr>
    <w:rPr>
      <w:rFonts w:ascii="Helvetica Light" w:eastAsia="Helvetica Light" w:hAnsi="Helvetica Light" w:cs="Helvetica Light"/>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styleId="Subtitle">
    <w:name w:val="Subtitle"/>
    <w:next w:val="Body"/>
    <w:pPr>
      <w:keepNext/>
    </w:pPr>
    <w:rPr>
      <w:rFonts w:ascii="Helvetica" w:hAnsi="Helvetica" w:cs="Arial Unicode MS"/>
      <w:color w:val="000000"/>
      <w:sz w:val="40"/>
      <w:szCs w:val="40"/>
      <w:lang w:val="en-US"/>
    </w:rPr>
  </w:style>
  <w:style w:type="paragraph" w:customStyle="1" w:styleId="Body">
    <w:name w:val="Body"/>
    <w:pPr>
      <w:jc w:val="both"/>
    </w:pPr>
    <w:rPr>
      <w:rFonts w:ascii="Helvetica" w:hAnsi="Helvetica" w:cs="Arial Unicode MS"/>
      <w:color w:val="000000"/>
      <w:lang w:val="en-US"/>
    </w:rPr>
  </w:style>
  <w:style w:type="paragraph" w:styleId="Title">
    <w:name w:val="Title"/>
    <w:next w:val="Body"/>
    <w:pPr>
      <w:keepNext/>
    </w:pPr>
    <w:rPr>
      <w:rFonts w:ascii="Helvetica" w:hAnsi="Helvetica" w:cs="Arial Unicode MS"/>
      <w:b/>
      <w:bCs/>
      <w:color w:val="000000"/>
      <w:sz w:val="60"/>
      <w:szCs w:val="60"/>
      <w:lang w:val="en-US"/>
    </w:rPr>
  </w:style>
  <w:style w:type="paragraph" w:customStyle="1" w:styleId="TableStyle2">
    <w:name w:val="Table Style 2"/>
    <w:rPr>
      <w:rFonts w:ascii="Helvetica" w:eastAsia="Helvetica" w:hAnsi="Helvetica" w:cs="Helvetica"/>
      <w:color w:val="000000"/>
    </w:rPr>
  </w:style>
  <w:style w:type="paragraph" w:customStyle="1" w:styleId="TableStyle5">
    <w:name w:val="Table Style 5"/>
    <w:rPr>
      <w:rFonts w:ascii="Helvetica" w:eastAsia="Helvetica" w:hAnsi="Helvetica" w:cs="Helvetica"/>
      <w:b/>
      <w:bCs/>
      <w:color w:val="FEFEFE"/>
    </w:rPr>
  </w:style>
  <w:style w:type="paragraph" w:customStyle="1" w:styleId="TableTitle1">
    <w:name w:val="Table Title 1"/>
    <w:pPr>
      <w:jc w:val="center"/>
    </w:pPr>
    <w:rPr>
      <w:rFonts w:ascii="Helvetica" w:eastAsia="Helvetica" w:hAnsi="Helvetica" w:cs="Helvetica"/>
      <w:color w:val="000000"/>
      <w:sz w:val="24"/>
      <w:szCs w:val="24"/>
    </w:rPr>
  </w:style>
  <w:style w:type="paragraph" w:customStyle="1" w:styleId="Heading">
    <w:name w:val="Heading"/>
    <w:next w:val="Body"/>
    <w:pPr>
      <w:keepNext/>
      <w:outlineLvl w:val="0"/>
    </w:pPr>
    <w:rPr>
      <w:rFonts w:ascii="Helvetica" w:hAnsi="Helvetica" w:cs="Arial Unicode MS"/>
      <w:b/>
      <w:bCs/>
      <w:caps/>
      <w:color w:val="000000"/>
      <w:sz w:val="24"/>
      <w:szCs w:val="24"/>
      <w:lang w:val="en-US"/>
    </w:rPr>
  </w:style>
  <w:style w:type="paragraph" w:customStyle="1" w:styleId="Default">
    <w:name w:val="Default"/>
    <w:pPr>
      <w:spacing w:line="276" w:lineRule="auto"/>
      <w:ind w:left="720" w:hanging="720"/>
      <w:jc w:val="both"/>
    </w:pPr>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u w:val="single"/>
    </w:rPr>
  </w:style>
  <w:style w:type="paragraph" w:styleId="Header">
    <w:name w:val="header"/>
    <w:basedOn w:val="Normal"/>
    <w:link w:val="HeaderChar"/>
    <w:uiPriority w:val="99"/>
    <w:unhideWhenUsed/>
    <w:rsid w:val="00554F22"/>
    <w:pPr>
      <w:tabs>
        <w:tab w:val="center" w:pos="4513"/>
        <w:tab w:val="right" w:pos="9026"/>
      </w:tabs>
    </w:pPr>
  </w:style>
  <w:style w:type="character" w:customStyle="1" w:styleId="HeaderChar">
    <w:name w:val="Header Char"/>
    <w:basedOn w:val="DefaultParagraphFont"/>
    <w:link w:val="Header"/>
    <w:uiPriority w:val="99"/>
    <w:rsid w:val="00554F22"/>
    <w:rPr>
      <w:sz w:val="24"/>
      <w:szCs w:val="24"/>
      <w:lang w:val="en-US" w:eastAsia="en-US"/>
    </w:rPr>
  </w:style>
  <w:style w:type="paragraph" w:styleId="Footer">
    <w:name w:val="footer"/>
    <w:basedOn w:val="Normal"/>
    <w:link w:val="FooterChar"/>
    <w:uiPriority w:val="99"/>
    <w:unhideWhenUsed/>
    <w:rsid w:val="00554F22"/>
    <w:pPr>
      <w:tabs>
        <w:tab w:val="center" w:pos="4513"/>
        <w:tab w:val="right" w:pos="9026"/>
      </w:tabs>
    </w:pPr>
  </w:style>
  <w:style w:type="character" w:customStyle="1" w:styleId="FooterChar">
    <w:name w:val="Footer Char"/>
    <w:basedOn w:val="DefaultParagraphFont"/>
    <w:link w:val="Footer"/>
    <w:uiPriority w:val="99"/>
    <w:rsid w:val="00554F22"/>
    <w:rPr>
      <w:sz w:val="24"/>
      <w:szCs w:val="24"/>
      <w:lang w:val="en-US" w:eastAsia="en-US"/>
    </w:rPr>
  </w:style>
  <w:style w:type="table" w:styleId="TableGrid">
    <w:name w:val="Table Grid"/>
    <w:basedOn w:val="TableNormal"/>
    <w:uiPriority w:val="39"/>
    <w:rsid w:val="00FE2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E28B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E28B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FE28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Grid1">
    <w:name w:val="Table Grid1"/>
    <w:basedOn w:val="TableNormal"/>
    <w:next w:val="TableGrid"/>
    <w:uiPriority w:val="59"/>
    <w:rsid w:val="007925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111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41E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39A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70E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50"/>
    <w:rPr>
      <w:rFonts w:ascii="Segoe UI" w:hAnsi="Segoe UI" w:cs="Segoe UI"/>
      <w:sz w:val="18"/>
      <w:szCs w:val="18"/>
      <w:lang w:eastAsia="en-US"/>
    </w:rPr>
  </w:style>
  <w:style w:type="table" w:customStyle="1" w:styleId="TableGrid6">
    <w:name w:val="Table Grid6"/>
    <w:basedOn w:val="TableNormal"/>
    <w:next w:val="TableGrid"/>
    <w:uiPriority w:val="59"/>
    <w:rsid w:val="001C6F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754165">
      <w:bodyDiv w:val="1"/>
      <w:marLeft w:val="0"/>
      <w:marRight w:val="0"/>
      <w:marTop w:val="0"/>
      <w:marBottom w:val="0"/>
      <w:divBdr>
        <w:top w:val="none" w:sz="0" w:space="0" w:color="auto"/>
        <w:left w:val="none" w:sz="0" w:space="0" w:color="auto"/>
        <w:bottom w:val="none" w:sz="0" w:space="0" w:color="auto"/>
        <w:right w:val="none" w:sz="0" w:space="0" w:color="auto"/>
      </w:divBdr>
    </w:div>
    <w:div w:id="1420252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ondonheatmap.org.uk/Content/hom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e.co.uk/greenguide/podpage.jsp?id=212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e\RedSix%20Dropbox\RedSix\1%20-%20Projects\408%20-%20Maygrove%20Road,%20London\2%20-%20Calculations\ES%20Calcs%20-%20Maygrove%20Road%20-%20AS%20BUI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vie\RedSix%20Dropbox\RedSix\1%20-%20Projects\408%20-%20Maygrove%20Road,%20London\2%20-%20Calculations\ES%20Calcs%20-%20Maygrove%20Road%20-%20AS%20BUIL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'Domestic Final Graph'!$C$3</c:f>
              <c:strCache>
                <c:ptCount val="1"/>
                <c:pt idx="0">
                  <c:v>Total CO2 Emissions (tonnes/annum)</c:v>
                </c:pt>
              </c:strCache>
            </c:strRef>
          </c:tx>
          <c:spPr>
            <a:solidFill>
              <a:schemeClr val="dk1">
                <a:tint val="88500"/>
              </a:schemeClr>
            </a:solidFill>
            <a:ln>
              <a:noFill/>
            </a:ln>
            <a:effectLst/>
          </c:spPr>
          <c:invertIfNegative val="0"/>
          <c:cat>
            <c:strRef>
              <c:f>'Domestic Final Graph'!$B$4:$B$7</c:f>
              <c:strCache>
                <c:ptCount val="4"/>
                <c:pt idx="0">
                  <c:v>Baseline: Building Regulations (2013) Compliant Project</c:v>
                </c:pt>
                <c:pt idx="1">
                  <c:v>Be Lean</c:v>
                </c:pt>
                <c:pt idx="2">
                  <c:v>Be Clean</c:v>
                </c:pt>
                <c:pt idx="3">
                  <c:v>Be Green</c:v>
                </c:pt>
              </c:strCache>
              <c:extLst/>
            </c:strRef>
          </c:cat>
          <c:val>
            <c:numRef>
              <c:f>'Domestic Final Graph'!$C$4:$C$7</c:f>
              <c:numCache>
                <c:formatCode>0.00</c:formatCode>
                <c:ptCount val="4"/>
                <c:pt idx="0">
                  <c:v>10.775435999999999</c:v>
                </c:pt>
                <c:pt idx="1">
                  <c:v>8.3103990000000003</c:v>
                </c:pt>
                <c:pt idx="2">
                  <c:v>8.3103990000000003</c:v>
                </c:pt>
                <c:pt idx="3">
                  <c:v>5.907767999999999</c:v>
                </c:pt>
              </c:numCache>
              <c:extLst/>
            </c:numRef>
          </c:val>
          <c:extLst>
            <c:ext xmlns:c16="http://schemas.microsoft.com/office/drawing/2014/chart" uri="{C3380CC4-5D6E-409C-BE32-E72D297353CC}">
              <c16:uniqueId val="{00000000-945F-4B7E-B67E-8B2218D5ACA3}"/>
            </c:ext>
          </c:extLst>
        </c:ser>
        <c:dLbls>
          <c:showLegendKey val="0"/>
          <c:showVal val="0"/>
          <c:showCatName val="0"/>
          <c:showSerName val="0"/>
          <c:showPercent val="0"/>
          <c:showBubbleSize val="0"/>
        </c:dLbls>
        <c:gapWidth val="219"/>
        <c:overlap val="-27"/>
        <c:axId val="4252760"/>
        <c:axId val="4253936"/>
      </c:barChart>
      <c:catAx>
        <c:axId val="425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53936"/>
        <c:crosses val="autoZero"/>
        <c:auto val="1"/>
        <c:lblAlgn val="ctr"/>
        <c:lblOffset val="100"/>
        <c:noMultiLvlLbl val="0"/>
      </c:catAx>
      <c:valAx>
        <c:axId val="425393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Total</a:t>
                </a:r>
                <a:r>
                  <a:rPr lang="en-GB" b="1" baseline="0">
                    <a:solidFill>
                      <a:schemeClr val="tx1"/>
                    </a:solidFill>
                  </a:rPr>
                  <a:t> CO</a:t>
                </a:r>
                <a:r>
                  <a:rPr lang="en-GB" sz="900" b="1" baseline="0">
                    <a:solidFill>
                      <a:schemeClr val="tx1"/>
                    </a:solidFill>
                  </a:rPr>
                  <a:t>2 </a:t>
                </a:r>
                <a:r>
                  <a:rPr lang="en-GB" b="1" baseline="0">
                    <a:solidFill>
                      <a:schemeClr val="tx1"/>
                    </a:solidFill>
                  </a:rPr>
                  <a:t>Emmisions (tonnes/annum)</a:t>
                </a:r>
                <a:endParaRPr lang="en-GB" b="1">
                  <a:solidFill>
                    <a:schemeClr val="tx1"/>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52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'Domestic Final Graph'!$C$3</c:f>
              <c:strCache>
                <c:ptCount val="1"/>
                <c:pt idx="0">
                  <c:v>Total CO2 Emissions (tonnes/annum)</c:v>
                </c:pt>
              </c:strCache>
            </c:strRef>
          </c:tx>
          <c:spPr>
            <a:solidFill>
              <a:schemeClr val="dk1">
                <a:tint val="88500"/>
              </a:schemeClr>
            </a:solidFill>
            <a:ln>
              <a:noFill/>
            </a:ln>
            <a:effectLst/>
          </c:spPr>
          <c:invertIfNegative val="0"/>
          <c:cat>
            <c:strRef>
              <c:f>'Domestic Final Graph'!$B$4:$B$7</c:f>
              <c:strCache>
                <c:ptCount val="4"/>
                <c:pt idx="0">
                  <c:v>Baseline: Building Regulations (2013) Compliant Project</c:v>
                </c:pt>
                <c:pt idx="1">
                  <c:v>Be Lean</c:v>
                </c:pt>
                <c:pt idx="2">
                  <c:v>Be Clean</c:v>
                </c:pt>
                <c:pt idx="3">
                  <c:v>Be Green</c:v>
                </c:pt>
              </c:strCache>
              <c:extLst/>
            </c:strRef>
          </c:cat>
          <c:val>
            <c:numRef>
              <c:f>'Domestic Final Graph'!$C$4:$C$7</c:f>
              <c:numCache>
                <c:formatCode>0.00</c:formatCode>
                <c:ptCount val="4"/>
                <c:pt idx="0">
                  <c:v>10.775435999999999</c:v>
                </c:pt>
                <c:pt idx="1">
                  <c:v>8.3103990000000003</c:v>
                </c:pt>
                <c:pt idx="2">
                  <c:v>8.3103990000000003</c:v>
                </c:pt>
                <c:pt idx="3">
                  <c:v>5.907767999999999</c:v>
                </c:pt>
              </c:numCache>
              <c:extLst/>
            </c:numRef>
          </c:val>
          <c:extLst>
            <c:ext xmlns:c16="http://schemas.microsoft.com/office/drawing/2014/chart" uri="{C3380CC4-5D6E-409C-BE32-E72D297353CC}">
              <c16:uniqueId val="{00000000-BB21-4999-AF8E-E3DE6CCEBF03}"/>
            </c:ext>
          </c:extLst>
        </c:ser>
        <c:dLbls>
          <c:showLegendKey val="0"/>
          <c:showVal val="0"/>
          <c:showCatName val="0"/>
          <c:showSerName val="0"/>
          <c:showPercent val="0"/>
          <c:showBubbleSize val="0"/>
        </c:dLbls>
        <c:gapWidth val="219"/>
        <c:overlap val="-27"/>
        <c:axId val="4252760"/>
        <c:axId val="4253936"/>
      </c:barChart>
      <c:catAx>
        <c:axId val="425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53936"/>
        <c:crosses val="autoZero"/>
        <c:auto val="1"/>
        <c:lblAlgn val="ctr"/>
        <c:lblOffset val="100"/>
        <c:noMultiLvlLbl val="0"/>
      </c:catAx>
      <c:valAx>
        <c:axId val="425393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Total</a:t>
                </a:r>
                <a:r>
                  <a:rPr lang="en-GB" b="1" baseline="0">
                    <a:solidFill>
                      <a:schemeClr val="tx1"/>
                    </a:solidFill>
                  </a:rPr>
                  <a:t> CO</a:t>
                </a:r>
                <a:r>
                  <a:rPr lang="en-GB" sz="900" b="1" baseline="0">
                    <a:solidFill>
                      <a:schemeClr val="tx1"/>
                    </a:solidFill>
                  </a:rPr>
                  <a:t>2 </a:t>
                </a:r>
                <a:r>
                  <a:rPr lang="en-GB" b="1" baseline="0">
                    <a:solidFill>
                      <a:schemeClr val="tx1"/>
                    </a:solidFill>
                  </a:rPr>
                  <a:t>Emmisions (tonnes/annum)</a:t>
                </a:r>
                <a:endParaRPr lang="en-GB" b="1">
                  <a:solidFill>
                    <a:schemeClr val="tx1"/>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52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6E76-D2BE-41E6-B42C-A680B7F0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gareth@redsixpartnership.com</dc:creator>
  <cp:lastModifiedBy>Gareth Davies</cp:lastModifiedBy>
  <cp:revision>17</cp:revision>
  <cp:lastPrinted>2017-03-30T13:18:00Z</cp:lastPrinted>
  <dcterms:created xsi:type="dcterms:W3CDTF">2019-07-30T16:11:00Z</dcterms:created>
  <dcterms:modified xsi:type="dcterms:W3CDTF">2021-01-22T16:18:00Z</dcterms:modified>
</cp:coreProperties>
</file>