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6149F" w14:textId="3F347E23" w:rsidR="00EB687D" w:rsidRDefault="007A6B99" w:rsidP="007A6B99">
      <w:pPr>
        <w:jc w:val="center"/>
        <w:rPr>
          <w:b/>
        </w:rPr>
      </w:pPr>
      <w:r w:rsidRPr="007A6B99">
        <w:rPr>
          <w:b/>
        </w:rPr>
        <w:t xml:space="preserve">Job </w:t>
      </w:r>
      <w:r w:rsidR="00CE791A">
        <w:rPr>
          <w:b/>
        </w:rPr>
        <w:t>Profile</w:t>
      </w:r>
      <w:r w:rsidR="00A41766">
        <w:rPr>
          <w:b/>
        </w:rPr>
        <w:t xml:space="preserve">: </w:t>
      </w:r>
      <w:r w:rsidR="00CE791A">
        <w:rPr>
          <w:b/>
        </w:rPr>
        <w:t>HS2 Special Projects Officer</w:t>
      </w:r>
    </w:p>
    <w:p w14:paraId="2F61D07C" w14:textId="77777777" w:rsidR="007A6B99" w:rsidRDefault="007A6B99" w:rsidP="007A6B99">
      <w:pPr>
        <w:jc w:val="center"/>
        <w:rPr>
          <w:b/>
        </w:rPr>
      </w:pPr>
    </w:p>
    <w:p w14:paraId="376D1D1E" w14:textId="07913A9F" w:rsidR="001362D5" w:rsidRDefault="007A6B99" w:rsidP="007A6B99">
      <w:pPr>
        <w:rPr>
          <w:b/>
        </w:rPr>
      </w:pPr>
      <w:r>
        <w:rPr>
          <w:b/>
        </w:rPr>
        <w:t xml:space="preserve">This supplementary information </w:t>
      </w:r>
      <w:r w:rsidR="00BE1BA8">
        <w:rPr>
          <w:b/>
        </w:rPr>
        <w:t xml:space="preserve">for </w:t>
      </w:r>
      <w:r w:rsidR="00CE791A" w:rsidRPr="00CE791A">
        <w:rPr>
          <w:b/>
        </w:rPr>
        <w:t xml:space="preserve">HS2 Special Projects Officer </w:t>
      </w:r>
      <w:r>
        <w:rPr>
          <w:b/>
        </w:rPr>
        <w:t xml:space="preserve">is for guidance and must be used in conjunction with the Job Capsule for </w:t>
      </w:r>
      <w:r w:rsidR="00CE791A">
        <w:rPr>
          <w:b/>
        </w:rPr>
        <w:t>L</w:t>
      </w:r>
      <w:r w:rsidR="005D4310">
        <w:rPr>
          <w:b/>
        </w:rPr>
        <w:t>evel 6 Zone 1</w:t>
      </w:r>
    </w:p>
    <w:p w14:paraId="7002C9FC" w14:textId="77777777" w:rsidR="001362D5" w:rsidRDefault="001362D5" w:rsidP="007A6B99">
      <w:pPr>
        <w:rPr>
          <w:b/>
        </w:rPr>
      </w:pPr>
    </w:p>
    <w:p w14:paraId="360BAA54" w14:textId="77777777"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14:paraId="78923400" w14:textId="77777777" w:rsidR="00EB687D" w:rsidRDefault="00EB687D" w:rsidP="00EB687D"/>
    <w:p w14:paraId="1BE1DBE3" w14:textId="77777777" w:rsidR="00EB687D" w:rsidRPr="00C97F42" w:rsidRDefault="00EB687D" w:rsidP="00EB687D">
      <w:pPr>
        <w:rPr>
          <w:b/>
        </w:rPr>
      </w:pPr>
      <w:r w:rsidRPr="00C97F42">
        <w:rPr>
          <w:b/>
        </w:rPr>
        <w:t xml:space="preserve">Role </w:t>
      </w:r>
      <w:r w:rsidR="007A6B99">
        <w:rPr>
          <w:b/>
        </w:rPr>
        <w:t>Purpose</w:t>
      </w:r>
      <w:r w:rsidRPr="00C97F42">
        <w:rPr>
          <w:b/>
        </w:rPr>
        <w:t>:</w:t>
      </w:r>
    </w:p>
    <w:p w14:paraId="255933CA" w14:textId="2721251C" w:rsidR="0084115F" w:rsidRDefault="003471D4" w:rsidP="0085090F">
      <w:pPr>
        <w:autoSpaceDE w:val="0"/>
        <w:autoSpaceDN w:val="0"/>
        <w:adjustRightInd w:val="0"/>
        <w:rPr>
          <w:rFonts w:eastAsiaTheme="minorHAnsi" w:cs="Arial"/>
          <w:sz w:val="23"/>
          <w:szCs w:val="23"/>
          <w:lang w:eastAsia="en-US"/>
        </w:rPr>
      </w:pPr>
      <w:r w:rsidRPr="003471D4">
        <w:rPr>
          <w:rFonts w:eastAsiaTheme="minorHAnsi" w:cs="Arial"/>
          <w:sz w:val="23"/>
          <w:szCs w:val="23"/>
          <w:lang w:eastAsia="en-US"/>
        </w:rPr>
        <w:t xml:space="preserve">The post holder will be responsible for </w:t>
      </w:r>
      <w:r w:rsidR="0085090F">
        <w:rPr>
          <w:rFonts w:eastAsiaTheme="minorHAnsi" w:cs="Arial"/>
          <w:sz w:val="23"/>
          <w:szCs w:val="23"/>
          <w:lang w:eastAsia="en-US"/>
        </w:rPr>
        <w:t xml:space="preserve">leading the </w:t>
      </w:r>
      <w:r w:rsidR="0084115F">
        <w:rPr>
          <w:rFonts w:eastAsiaTheme="minorHAnsi" w:cs="Arial"/>
          <w:sz w:val="23"/>
          <w:szCs w:val="23"/>
          <w:lang w:eastAsia="en-US"/>
        </w:rPr>
        <w:t>complex rehousing and redevelopment programme for key Council-owned sites impacted upon by High Speed 2 (HS2).</w:t>
      </w:r>
    </w:p>
    <w:p w14:paraId="68BFB682" w14:textId="3D995EE4" w:rsidR="0084115F" w:rsidRDefault="0084115F" w:rsidP="0085090F">
      <w:pPr>
        <w:autoSpaceDE w:val="0"/>
        <w:autoSpaceDN w:val="0"/>
        <w:adjustRightInd w:val="0"/>
        <w:rPr>
          <w:rFonts w:eastAsiaTheme="minorHAnsi" w:cs="Arial"/>
          <w:sz w:val="23"/>
          <w:szCs w:val="23"/>
          <w:lang w:eastAsia="en-US"/>
        </w:rPr>
      </w:pPr>
    </w:p>
    <w:p w14:paraId="3FDA21C0" w14:textId="62754790" w:rsidR="0084115F" w:rsidRDefault="0084115F" w:rsidP="0085090F">
      <w:pPr>
        <w:autoSpaceDE w:val="0"/>
        <w:autoSpaceDN w:val="0"/>
        <w:adjustRightInd w:val="0"/>
        <w:rPr>
          <w:rFonts w:eastAsiaTheme="minorHAnsi" w:cs="Arial"/>
          <w:sz w:val="23"/>
          <w:szCs w:val="23"/>
          <w:lang w:eastAsia="en-US"/>
        </w:rPr>
      </w:pPr>
      <w:r>
        <w:rPr>
          <w:rFonts w:eastAsiaTheme="minorHAnsi" w:cs="Arial"/>
          <w:sz w:val="23"/>
          <w:szCs w:val="23"/>
          <w:lang w:eastAsia="en-US"/>
        </w:rPr>
        <w:t>The post holder will work in partnership with senior members and officers from within the Council, ward councillors, tenants, residents and other stakeholders to develop shared solutions that provide residents with good quality homes and create new neighbourhoods and spaces for our citizens.</w:t>
      </w:r>
    </w:p>
    <w:p w14:paraId="484749A3" w14:textId="279BBF3D" w:rsidR="00C05BB1" w:rsidRDefault="00C05BB1" w:rsidP="0085090F">
      <w:pPr>
        <w:autoSpaceDE w:val="0"/>
        <w:autoSpaceDN w:val="0"/>
        <w:adjustRightInd w:val="0"/>
        <w:rPr>
          <w:rFonts w:eastAsiaTheme="minorHAnsi" w:cs="Arial"/>
          <w:sz w:val="23"/>
          <w:szCs w:val="23"/>
          <w:lang w:eastAsia="en-US"/>
        </w:rPr>
      </w:pPr>
    </w:p>
    <w:p w14:paraId="1D045936" w14:textId="2A13D7B5" w:rsidR="00C05BB1" w:rsidRDefault="00C05BB1" w:rsidP="0085090F">
      <w:pPr>
        <w:autoSpaceDE w:val="0"/>
        <w:autoSpaceDN w:val="0"/>
        <w:adjustRightInd w:val="0"/>
        <w:rPr>
          <w:rFonts w:eastAsiaTheme="minorHAnsi" w:cs="Arial"/>
          <w:sz w:val="23"/>
          <w:szCs w:val="23"/>
          <w:lang w:eastAsia="en-US"/>
        </w:rPr>
      </w:pPr>
      <w:r>
        <w:rPr>
          <w:rFonts w:eastAsiaTheme="minorHAnsi" w:cs="Arial"/>
          <w:sz w:val="23"/>
          <w:szCs w:val="23"/>
          <w:lang w:eastAsia="en-US"/>
        </w:rPr>
        <w:t>The post holder will work with officers from various departments to ensure the successful delivery of the rehousing and redevelopment programme.</w:t>
      </w:r>
    </w:p>
    <w:p w14:paraId="7C164679" w14:textId="77777777" w:rsidR="00EB687D" w:rsidRDefault="00EB687D" w:rsidP="00EB687D"/>
    <w:p w14:paraId="7D9A89F0" w14:textId="77777777"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7740AE8D" w14:textId="7DA09766" w:rsidR="00677721" w:rsidRPr="00CE791A" w:rsidRDefault="00677721" w:rsidP="00CE791A">
      <w:pPr>
        <w:pStyle w:val="ListParagraph"/>
        <w:numPr>
          <w:ilvl w:val="0"/>
          <w:numId w:val="26"/>
        </w:numPr>
        <w:autoSpaceDE w:val="0"/>
        <w:autoSpaceDN w:val="0"/>
        <w:adjustRightInd w:val="0"/>
        <w:spacing w:after="200" w:line="276" w:lineRule="auto"/>
        <w:rPr>
          <w:rFonts w:eastAsiaTheme="minorHAnsi"/>
          <w:lang w:eastAsia="en-US"/>
        </w:rPr>
      </w:pPr>
      <w:r w:rsidRPr="00CE791A">
        <w:rPr>
          <w:rFonts w:eastAsiaTheme="minorHAnsi"/>
          <w:lang w:eastAsia="en-US"/>
        </w:rPr>
        <w:t xml:space="preserve">To successfully implement the complex </w:t>
      </w:r>
      <w:r w:rsidRPr="00CE791A">
        <w:rPr>
          <w:rFonts w:eastAsiaTheme="minorHAnsi"/>
          <w:b/>
          <w:lang w:eastAsia="en-US"/>
        </w:rPr>
        <w:t>decant strategy</w:t>
      </w:r>
      <w:r w:rsidRPr="00CE791A">
        <w:rPr>
          <w:rFonts w:eastAsiaTheme="minorHAnsi"/>
          <w:lang w:eastAsia="en-US"/>
        </w:rPr>
        <w:t xml:space="preserve"> for residents who need to be re-housed as a result of the HS2 project</w:t>
      </w:r>
      <w:r w:rsidR="00C05BB1" w:rsidRPr="00CE791A">
        <w:rPr>
          <w:rFonts w:eastAsiaTheme="minorHAnsi"/>
          <w:lang w:eastAsia="en-US"/>
        </w:rPr>
        <w:t>.</w:t>
      </w:r>
    </w:p>
    <w:p w14:paraId="14DD24A2" w14:textId="0A996459" w:rsidR="00C05BB1" w:rsidRPr="00CE791A" w:rsidRDefault="00C05BB1" w:rsidP="00CE791A">
      <w:pPr>
        <w:pStyle w:val="ListParagraph"/>
        <w:numPr>
          <w:ilvl w:val="0"/>
          <w:numId w:val="26"/>
        </w:numPr>
        <w:autoSpaceDE w:val="0"/>
        <w:autoSpaceDN w:val="0"/>
        <w:adjustRightInd w:val="0"/>
        <w:spacing w:after="200" w:line="276" w:lineRule="auto"/>
        <w:rPr>
          <w:rFonts w:eastAsiaTheme="minorHAnsi"/>
          <w:lang w:eastAsia="en-US"/>
        </w:rPr>
      </w:pPr>
      <w:r w:rsidRPr="00CE791A">
        <w:rPr>
          <w:rFonts w:eastAsiaTheme="minorHAnsi"/>
          <w:lang w:eastAsia="en-US"/>
        </w:rPr>
        <w:t>To oversee a significant budget (approx £110m) to facilitate the rehousing programme.</w:t>
      </w:r>
    </w:p>
    <w:p w14:paraId="39AB6766" w14:textId="124CD209" w:rsidR="00C05BB1" w:rsidRPr="00CE791A" w:rsidRDefault="00C05BB1" w:rsidP="00CE791A">
      <w:pPr>
        <w:pStyle w:val="ListParagraph"/>
        <w:numPr>
          <w:ilvl w:val="0"/>
          <w:numId w:val="26"/>
        </w:numPr>
        <w:autoSpaceDE w:val="0"/>
        <w:autoSpaceDN w:val="0"/>
        <w:adjustRightInd w:val="0"/>
        <w:spacing w:after="200" w:line="276" w:lineRule="auto"/>
        <w:rPr>
          <w:rFonts w:eastAsiaTheme="minorHAnsi"/>
          <w:lang w:eastAsia="en-US"/>
        </w:rPr>
      </w:pPr>
      <w:r w:rsidRPr="00CE791A">
        <w:rPr>
          <w:rFonts w:eastAsiaTheme="minorHAnsi"/>
          <w:lang w:eastAsia="en-US"/>
        </w:rPr>
        <w:t>To oversee the acquisition of additional affordable homes within the borough to rehouse approx 175 households.</w:t>
      </w:r>
    </w:p>
    <w:p w14:paraId="15451570" w14:textId="5A619D33" w:rsidR="003471D4" w:rsidRPr="00CE791A" w:rsidRDefault="00C05BB1" w:rsidP="00CE791A">
      <w:pPr>
        <w:pStyle w:val="ListParagraph"/>
        <w:numPr>
          <w:ilvl w:val="0"/>
          <w:numId w:val="26"/>
        </w:numPr>
        <w:autoSpaceDE w:val="0"/>
        <w:autoSpaceDN w:val="0"/>
        <w:adjustRightInd w:val="0"/>
        <w:spacing w:after="200" w:line="276" w:lineRule="auto"/>
        <w:rPr>
          <w:rFonts w:eastAsiaTheme="minorHAnsi"/>
          <w:lang w:eastAsia="en-US"/>
        </w:rPr>
      </w:pPr>
      <w:r w:rsidRPr="00CE791A">
        <w:rPr>
          <w:rFonts w:eastAsiaTheme="minorHAnsi"/>
          <w:lang w:eastAsia="en-US"/>
        </w:rPr>
        <w:t>To develop a delivery strategy for the sites vacated as a result of the rehousing programme with a view to increasing the amount of affordable housing in the area.</w:t>
      </w:r>
    </w:p>
    <w:p w14:paraId="165425EF" w14:textId="0A1F0DDB" w:rsidR="003471D4" w:rsidRPr="00CE791A" w:rsidRDefault="00D2411E" w:rsidP="00CE791A">
      <w:pPr>
        <w:pStyle w:val="ListParagraph"/>
        <w:numPr>
          <w:ilvl w:val="0"/>
          <w:numId w:val="26"/>
        </w:numPr>
        <w:autoSpaceDE w:val="0"/>
        <w:autoSpaceDN w:val="0"/>
        <w:adjustRightInd w:val="0"/>
        <w:rPr>
          <w:rFonts w:eastAsiaTheme="minorHAnsi" w:cs="Arial"/>
          <w:sz w:val="23"/>
          <w:szCs w:val="23"/>
          <w:lang w:eastAsia="en-US"/>
        </w:rPr>
      </w:pPr>
      <w:r w:rsidRPr="00CE791A">
        <w:rPr>
          <w:rFonts w:eastAsiaTheme="minorHAnsi" w:cs="Arial"/>
          <w:sz w:val="23"/>
          <w:szCs w:val="23"/>
          <w:lang w:eastAsia="en-US"/>
        </w:rPr>
        <w:t xml:space="preserve">To ensure that </w:t>
      </w:r>
      <w:r w:rsidR="00C05BB1" w:rsidRPr="00CE791A">
        <w:rPr>
          <w:rFonts w:eastAsiaTheme="minorHAnsi" w:cs="Arial"/>
          <w:sz w:val="23"/>
          <w:szCs w:val="23"/>
          <w:lang w:eastAsia="en-US"/>
        </w:rPr>
        <w:t>the rehousing and redevelopment programmes</w:t>
      </w:r>
      <w:r w:rsidRPr="00CE791A">
        <w:rPr>
          <w:rFonts w:eastAsiaTheme="minorHAnsi" w:cs="Arial"/>
          <w:sz w:val="23"/>
          <w:szCs w:val="23"/>
          <w:lang w:eastAsia="en-US"/>
        </w:rPr>
        <w:t xml:space="preserve"> are delivered </w:t>
      </w:r>
      <w:r w:rsidR="003471D4" w:rsidRPr="00CE791A">
        <w:rPr>
          <w:rFonts w:eastAsiaTheme="minorHAnsi" w:cs="Arial"/>
          <w:sz w:val="23"/>
          <w:szCs w:val="23"/>
          <w:lang w:eastAsia="en-US"/>
        </w:rPr>
        <w:t>in partnership</w:t>
      </w:r>
      <w:r w:rsidR="00CF50CE" w:rsidRPr="00CE791A">
        <w:rPr>
          <w:rFonts w:eastAsiaTheme="minorHAnsi" w:cs="Arial"/>
          <w:sz w:val="23"/>
          <w:szCs w:val="23"/>
          <w:lang w:eastAsia="en-US"/>
        </w:rPr>
        <w:t xml:space="preserve"> </w:t>
      </w:r>
      <w:r w:rsidR="003471D4" w:rsidRPr="00CE791A">
        <w:rPr>
          <w:rFonts w:eastAsiaTheme="minorHAnsi" w:cs="Arial"/>
          <w:sz w:val="23"/>
          <w:szCs w:val="23"/>
          <w:lang w:eastAsia="en-US"/>
        </w:rPr>
        <w:t xml:space="preserve">with </w:t>
      </w:r>
      <w:r w:rsidR="00C05BB1" w:rsidRPr="00CE791A">
        <w:rPr>
          <w:rFonts w:eastAsiaTheme="minorHAnsi" w:cs="Arial"/>
          <w:sz w:val="23"/>
          <w:szCs w:val="23"/>
          <w:lang w:eastAsia="en-US"/>
        </w:rPr>
        <w:t xml:space="preserve">senior Members and officers within the Council, </w:t>
      </w:r>
      <w:r w:rsidR="003471D4" w:rsidRPr="00CE791A">
        <w:rPr>
          <w:rFonts w:eastAsiaTheme="minorHAnsi" w:cs="Arial"/>
          <w:sz w:val="23"/>
          <w:szCs w:val="23"/>
          <w:lang w:eastAsia="en-US"/>
        </w:rPr>
        <w:t>ward councillors, tenants, residents</w:t>
      </w:r>
      <w:r w:rsidR="008C257A" w:rsidRPr="00CE791A">
        <w:rPr>
          <w:rFonts w:eastAsiaTheme="minorHAnsi" w:cs="Arial"/>
          <w:sz w:val="23"/>
          <w:szCs w:val="23"/>
          <w:lang w:eastAsia="en-US"/>
        </w:rPr>
        <w:t>, School Governing bodies,</w:t>
      </w:r>
      <w:r w:rsidR="003471D4" w:rsidRPr="00CE791A">
        <w:rPr>
          <w:rFonts w:eastAsiaTheme="minorHAnsi" w:cs="Arial"/>
          <w:sz w:val="23"/>
          <w:szCs w:val="23"/>
          <w:lang w:eastAsia="en-US"/>
        </w:rPr>
        <w:t xml:space="preserve"> and other stakeholders, utilising</w:t>
      </w:r>
      <w:r w:rsidR="00CF50CE" w:rsidRPr="00CE791A">
        <w:rPr>
          <w:rFonts w:eastAsiaTheme="minorHAnsi" w:cs="Arial"/>
          <w:sz w:val="23"/>
          <w:szCs w:val="23"/>
          <w:lang w:eastAsia="en-US"/>
        </w:rPr>
        <w:t xml:space="preserve"> </w:t>
      </w:r>
      <w:r w:rsidR="003471D4" w:rsidRPr="00CE791A">
        <w:rPr>
          <w:rFonts w:eastAsiaTheme="minorHAnsi" w:cs="Arial"/>
          <w:sz w:val="23"/>
          <w:szCs w:val="23"/>
          <w:lang w:eastAsia="en-US"/>
        </w:rPr>
        <w:t>innovative and leading edge approaches to community engagement and coor</w:t>
      </w:r>
      <w:r w:rsidR="00CF50CE" w:rsidRPr="00CE791A">
        <w:rPr>
          <w:rFonts w:eastAsiaTheme="minorHAnsi" w:cs="Arial"/>
          <w:sz w:val="23"/>
          <w:szCs w:val="23"/>
          <w:lang w:eastAsia="en-US"/>
        </w:rPr>
        <w:t xml:space="preserve">dinating </w:t>
      </w:r>
      <w:r w:rsidR="003471D4" w:rsidRPr="00CE791A">
        <w:rPr>
          <w:rFonts w:eastAsiaTheme="minorHAnsi" w:cs="Arial"/>
          <w:sz w:val="23"/>
          <w:szCs w:val="23"/>
          <w:lang w:eastAsia="en-US"/>
        </w:rPr>
        <w:t>solutions that command wide-s</w:t>
      </w:r>
      <w:r w:rsidR="00CF50CE" w:rsidRPr="00CE791A">
        <w:rPr>
          <w:rFonts w:eastAsiaTheme="minorHAnsi" w:cs="Arial"/>
          <w:sz w:val="23"/>
          <w:szCs w:val="23"/>
          <w:lang w:eastAsia="en-US"/>
        </w:rPr>
        <w:t>p</w:t>
      </w:r>
      <w:r w:rsidR="003471D4" w:rsidRPr="00CE791A">
        <w:rPr>
          <w:rFonts w:eastAsiaTheme="minorHAnsi" w:cs="Arial"/>
          <w:sz w:val="23"/>
          <w:szCs w:val="23"/>
          <w:lang w:eastAsia="en-US"/>
        </w:rPr>
        <w:t xml:space="preserve">read </w:t>
      </w:r>
      <w:r w:rsidR="00CF50CE" w:rsidRPr="00CE791A">
        <w:rPr>
          <w:rFonts w:eastAsiaTheme="minorHAnsi" w:cs="Arial"/>
          <w:sz w:val="23"/>
          <w:szCs w:val="23"/>
          <w:lang w:eastAsia="en-US"/>
        </w:rPr>
        <w:t>support</w:t>
      </w:r>
      <w:r w:rsidR="003471D4" w:rsidRPr="00CE791A">
        <w:rPr>
          <w:rFonts w:eastAsiaTheme="minorHAnsi" w:cs="Arial"/>
          <w:sz w:val="23"/>
          <w:szCs w:val="23"/>
          <w:lang w:eastAsia="en-US"/>
        </w:rPr>
        <w:t>.</w:t>
      </w:r>
    </w:p>
    <w:p w14:paraId="6E35306F" w14:textId="763BFD38" w:rsidR="00CF50CE" w:rsidRPr="003471D4" w:rsidRDefault="00CF50CE" w:rsidP="00CF50CE">
      <w:pPr>
        <w:autoSpaceDE w:val="0"/>
        <w:autoSpaceDN w:val="0"/>
        <w:adjustRightInd w:val="0"/>
        <w:rPr>
          <w:rFonts w:eastAsiaTheme="minorHAnsi" w:cs="Arial"/>
          <w:sz w:val="23"/>
          <w:szCs w:val="23"/>
          <w:lang w:eastAsia="en-US"/>
        </w:rPr>
      </w:pPr>
    </w:p>
    <w:p w14:paraId="09900ABD" w14:textId="77777777" w:rsidR="003471D4" w:rsidRDefault="003471D4" w:rsidP="00272781">
      <w:pPr>
        <w:pStyle w:val="ListParagraph"/>
      </w:pPr>
    </w:p>
    <w:p w14:paraId="75F8A43D" w14:textId="77777777" w:rsidR="00EB687D" w:rsidRDefault="00EB687D" w:rsidP="00EB687D"/>
    <w:p w14:paraId="5EC19F1C" w14:textId="77777777" w:rsidR="00EB687D" w:rsidRDefault="00287409" w:rsidP="00EB687D">
      <w:r w:rsidRPr="00287409">
        <w:rPr>
          <w:b/>
        </w:rPr>
        <w:lastRenderedPageBreak/>
        <w:t>People Management Responsibilities:</w:t>
      </w:r>
    </w:p>
    <w:p w14:paraId="5DBCBCDD" w14:textId="783C7464" w:rsidR="003471D4" w:rsidRPr="003471D4" w:rsidRDefault="003471D4" w:rsidP="003471D4">
      <w:pPr>
        <w:autoSpaceDE w:val="0"/>
        <w:autoSpaceDN w:val="0"/>
        <w:adjustRightInd w:val="0"/>
        <w:rPr>
          <w:rFonts w:eastAsiaTheme="minorHAnsi" w:cs="Arial"/>
          <w:sz w:val="23"/>
          <w:szCs w:val="23"/>
          <w:lang w:eastAsia="en-US"/>
        </w:rPr>
      </w:pPr>
      <w:r w:rsidRPr="003471D4">
        <w:rPr>
          <w:rFonts w:eastAsiaTheme="minorHAnsi" w:cs="Arial"/>
          <w:sz w:val="23"/>
          <w:szCs w:val="23"/>
          <w:lang w:eastAsia="en-US"/>
        </w:rPr>
        <w:t xml:space="preserve">The post holder reports directly to </w:t>
      </w:r>
      <w:r w:rsidR="005D4310">
        <w:rPr>
          <w:rFonts w:eastAsiaTheme="minorHAnsi" w:cs="Arial"/>
          <w:color w:val="FF0000"/>
          <w:sz w:val="23"/>
          <w:szCs w:val="23"/>
          <w:lang w:eastAsia="en-US"/>
        </w:rPr>
        <w:t xml:space="preserve">TBC </w:t>
      </w:r>
      <w:r w:rsidRPr="003471D4">
        <w:rPr>
          <w:rFonts w:eastAsiaTheme="minorHAnsi" w:cs="Arial"/>
          <w:sz w:val="23"/>
          <w:szCs w:val="23"/>
          <w:lang w:eastAsia="en-US"/>
        </w:rPr>
        <w:t>and is required</w:t>
      </w:r>
      <w:r w:rsidR="00CF50CE">
        <w:rPr>
          <w:rFonts w:eastAsiaTheme="minorHAnsi" w:cs="Arial"/>
          <w:sz w:val="23"/>
          <w:szCs w:val="23"/>
          <w:lang w:eastAsia="en-US"/>
        </w:rPr>
        <w:t xml:space="preserve"> </w:t>
      </w:r>
      <w:r w:rsidR="002242F1">
        <w:rPr>
          <w:rFonts w:eastAsiaTheme="minorHAnsi" w:cs="Arial"/>
          <w:sz w:val="23"/>
          <w:szCs w:val="23"/>
          <w:lang w:eastAsia="en-US"/>
        </w:rPr>
        <w:t xml:space="preserve">to deputise </w:t>
      </w:r>
      <w:r w:rsidRPr="003471D4">
        <w:rPr>
          <w:rFonts w:eastAsiaTheme="minorHAnsi" w:cs="Arial"/>
          <w:sz w:val="23"/>
          <w:szCs w:val="23"/>
          <w:lang w:eastAsia="en-US"/>
        </w:rPr>
        <w:t>on occasion.</w:t>
      </w:r>
    </w:p>
    <w:p w14:paraId="2CA65AC1" w14:textId="77777777" w:rsidR="003471D4" w:rsidRDefault="003471D4" w:rsidP="003471D4">
      <w:pPr>
        <w:autoSpaceDE w:val="0"/>
        <w:autoSpaceDN w:val="0"/>
        <w:adjustRightInd w:val="0"/>
        <w:rPr>
          <w:rFonts w:eastAsiaTheme="minorHAnsi" w:cs="Arial"/>
          <w:sz w:val="23"/>
          <w:szCs w:val="23"/>
          <w:lang w:eastAsia="en-US"/>
        </w:rPr>
      </w:pPr>
    </w:p>
    <w:p w14:paraId="04F46A3F" w14:textId="17CFAC83" w:rsidR="003471D4" w:rsidRDefault="003471D4" w:rsidP="003471D4">
      <w:pPr>
        <w:autoSpaceDE w:val="0"/>
        <w:autoSpaceDN w:val="0"/>
        <w:adjustRightInd w:val="0"/>
        <w:rPr>
          <w:rFonts w:eastAsiaTheme="minorHAnsi" w:cs="Arial"/>
          <w:sz w:val="23"/>
          <w:szCs w:val="23"/>
          <w:lang w:eastAsia="en-US"/>
        </w:rPr>
      </w:pPr>
      <w:r w:rsidRPr="003471D4">
        <w:rPr>
          <w:rFonts w:eastAsiaTheme="minorHAnsi" w:cs="Arial"/>
          <w:sz w:val="23"/>
          <w:szCs w:val="23"/>
          <w:lang w:eastAsia="en-US"/>
        </w:rPr>
        <w:t>The post holder has responsibility for day-to-day management of a team of</w:t>
      </w:r>
      <w:r w:rsidR="002242F1">
        <w:rPr>
          <w:rFonts w:eastAsiaTheme="minorHAnsi" w:cs="Arial"/>
          <w:sz w:val="23"/>
          <w:szCs w:val="23"/>
          <w:lang w:eastAsia="en-US"/>
        </w:rPr>
        <w:t xml:space="preserve"> staff and consultants which will reflect the complexity and value of the </w:t>
      </w:r>
      <w:r w:rsidR="00C05BB1">
        <w:rPr>
          <w:rFonts w:eastAsiaTheme="minorHAnsi" w:cs="Arial"/>
          <w:sz w:val="23"/>
          <w:szCs w:val="23"/>
          <w:lang w:eastAsia="en-US"/>
        </w:rPr>
        <w:t>rehousing and redevelopment programme. This is valued at approximately £400m.</w:t>
      </w:r>
      <w:r w:rsidR="002242F1">
        <w:rPr>
          <w:rFonts w:eastAsiaTheme="minorHAnsi" w:cs="Arial"/>
          <w:sz w:val="23"/>
          <w:szCs w:val="23"/>
          <w:lang w:eastAsia="en-US"/>
        </w:rPr>
        <w:t xml:space="preserve"> </w:t>
      </w:r>
    </w:p>
    <w:p w14:paraId="1519D6FD" w14:textId="004C78FB" w:rsidR="00C05BB1" w:rsidRDefault="00C05BB1" w:rsidP="003471D4">
      <w:pPr>
        <w:autoSpaceDE w:val="0"/>
        <w:autoSpaceDN w:val="0"/>
        <w:adjustRightInd w:val="0"/>
        <w:rPr>
          <w:rFonts w:eastAsiaTheme="minorHAnsi" w:cs="Arial"/>
          <w:sz w:val="23"/>
          <w:szCs w:val="23"/>
          <w:lang w:eastAsia="en-US"/>
        </w:rPr>
      </w:pPr>
    </w:p>
    <w:p w14:paraId="10C9E9A3" w14:textId="644EEEE6" w:rsidR="00C05BB1" w:rsidRDefault="00C05BB1" w:rsidP="003471D4">
      <w:pPr>
        <w:autoSpaceDE w:val="0"/>
        <w:autoSpaceDN w:val="0"/>
        <w:adjustRightInd w:val="0"/>
        <w:rPr>
          <w:rFonts w:eastAsiaTheme="minorHAnsi" w:cs="Arial"/>
          <w:sz w:val="23"/>
          <w:szCs w:val="23"/>
          <w:lang w:eastAsia="en-US"/>
        </w:rPr>
      </w:pPr>
      <w:r>
        <w:rPr>
          <w:rFonts w:eastAsiaTheme="minorHAnsi" w:cs="Arial"/>
          <w:sz w:val="23"/>
          <w:szCs w:val="23"/>
          <w:lang w:eastAsia="en-US"/>
        </w:rPr>
        <w:t>The post holder will lead a team of officers and consultants to deliver the programme. The internal team is to be agreed however could be a mixture of direct reports and seconded resources.</w:t>
      </w:r>
    </w:p>
    <w:p w14:paraId="432FC958" w14:textId="21141520" w:rsidR="00C05BB1" w:rsidRDefault="00C05BB1" w:rsidP="003471D4">
      <w:pPr>
        <w:autoSpaceDE w:val="0"/>
        <w:autoSpaceDN w:val="0"/>
        <w:adjustRightInd w:val="0"/>
        <w:rPr>
          <w:rFonts w:eastAsiaTheme="minorHAnsi" w:cs="Arial"/>
          <w:sz w:val="23"/>
          <w:szCs w:val="23"/>
          <w:lang w:eastAsia="en-US"/>
        </w:rPr>
      </w:pPr>
    </w:p>
    <w:p w14:paraId="1A7B43B2" w14:textId="44574823" w:rsidR="00C05BB1" w:rsidRDefault="006F5C38" w:rsidP="003471D4">
      <w:pPr>
        <w:autoSpaceDE w:val="0"/>
        <w:autoSpaceDN w:val="0"/>
        <w:adjustRightInd w:val="0"/>
        <w:rPr>
          <w:rFonts w:eastAsiaTheme="minorHAnsi" w:cs="Arial"/>
          <w:sz w:val="23"/>
          <w:szCs w:val="23"/>
          <w:lang w:eastAsia="en-US"/>
        </w:rPr>
      </w:pPr>
      <w:r>
        <w:rPr>
          <w:rFonts w:eastAsiaTheme="minorHAnsi" w:cs="Arial"/>
          <w:sz w:val="23"/>
          <w:szCs w:val="23"/>
          <w:lang w:eastAsia="en-US"/>
        </w:rPr>
        <w:t>An indication of the Team required is set out below:</w:t>
      </w:r>
    </w:p>
    <w:p w14:paraId="637743C6" w14:textId="1DDF1D51" w:rsidR="006F5C38" w:rsidRDefault="006F5C38" w:rsidP="003471D4">
      <w:pPr>
        <w:autoSpaceDE w:val="0"/>
        <w:autoSpaceDN w:val="0"/>
        <w:adjustRightInd w:val="0"/>
        <w:rPr>
          <w:rFonts w:eastAsiaTheme="minorHAnsi" w:cs="Arial"/>
          <w:sz w:val="23"/>
          <w:szCs w:val="23"/>
          <w:lang w:eastAsia="en-US"/>
        </w:rPr>
      </w:pPr>
    </w:p>
    <w:p w14:paraId="137466A6" w14:textId="40C95A0D" w:rsidR="006F5C38" w:rsidRDefault="006F5C38" w:rsidP="003471D4">
      <w:pPr>
        <w:autoSpaceDE w:val="0"/>
        <w:autoSpaceDN w:val="0"/>
        <w:adjustRightInd w:val="0"/>
        <w:rPr>
          <w:rFonts w:eastAsiaTheme="minorHAnsi" w:cs="Arial"/>
          <w:sz w:val="23"/>
          <w:szCs w:val="23"/>
          <w:lang w:eastAsia="en-US"/>
        </w:rPr>
      </w:pPr>
      <w:r>
        <w:rPr>
          <w:rFonts w:eastAsiaTheme="minorHAnsi" w:cs="Arial"/>
          <w:sz w:val="23"/>
          <w:szCs w:val="23"/>
          <w:lang w:eastAsia="en-US"/>
        </w:rPr>
        <w:t>HS2 Special Projects Officer</w:t>
      </w:r>
    </w:p>
    <w:p w14:paraId="07906AB6" w14:textId="239F0E95" w:rsidR="006F5C38" w:rsidRPr="006F5C38" w:rsidRDefault="006F5C38" w:rsidP="006F5C38">
      <w:pPr>
        <w:pStyle w:val="ListParagraph"/>
        <w:numPr>
          <w:ilvl w:val="0"/>
          <w:numId w:val="24"/>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Programme Support Officer</w:t>
      </w:r>
    </w:p>
    <w:p w14:paraId="27FF2A0B" w14:textId="125AB847" w:rsidR="006F5C38" w:rsidRPr="006F5C38" w:rsidRDefault="006F5C38" w:rsidP="006F5C38">
      <w:pPr>
        <w:pStyle w:val="ListParagraph"/>
        <w:numPr>
          <w:ilvl w:val="0"/>
          <w:numId w:val="24"/>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Tenant Decant Officer</w:t>
      </w:r>
    </w:p>
    <w:p w14:paraId="3D5C3E8E" w14:textId="64DF776B" w:rsidR="006F5C38" w:rsidRDefault="006F5C38" w:rsidP="006F5C38">
      <w:pPr>
        <w:pStyle w:val="ListParagraph"/>
        <w:numPr>
          <w:ilvl w:val="0"/>
          <w:numId w:val="24"/>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Leasehold Buyback Officer</w:t>
      </w:r>
    </w:p>
    <w:p w14:paraId="6BF535E9" w14:textId="7471E1DC" w:rsidR="006F5C38" w:rsidRDefault="006F5C38" w:rsidP="006F5C38">
      <w:pPr>
        <w:pStyle w:val="ListParagraph"/>
        <w:numPr>
          <w:ilvl w:val="0"/>
          <w:numId w:val="24"/>
        </w:numPr>
        <w:autoSpaceDE w:val="0"/>
        <w:autoSpaceDN w:val="0"/>
        <w:adjustRightInd w:val="0"/>
        <w:rPr>
          <w:rFonts w:eastAsiaTheme="minorHAnsi" w:cs="Arial"/>
          <w:sz w:val="23"/>
          <w:szCs w:val="23"/>
          <w:lang w:eastAsia="en-US"/>
        </w:rPr>
      </w:pPr>
      <w:r>
        <w:rPr>
          <w:rFonts w:eastAsiaTheme="minorHAnsi" w:cs="Arial"/>
          <w:sz w:val="23"/>
          <w:szCs w:val="23"/>
          <w:lang w:eastAsia="en-US"/>
        </w:rPr>
        <w:t>Consultation and Engagement Officer</w:t>
      </w:r>
    </w:p>
    <w:p w14:paraId="4FF2A251" w14:textId="4822F476" w:rsidR="006F5C38" w:rsidRDefault="006F5C38" w:rsidP="006F5C38">
      <w:pPr>
        <w:pStyle w:val="ListParagraph"/>
        <w:numPr>
          <w:ilvl w:val="0"/>
          <w:numId w:val="24"/>
        </w:numPr>
        <w:autoSpaceDE w:val="0"/>
        <w:autoSpaceDN w:val="0"/>
        <w:adjustRightInd w:val="0"/>
        <w:rPr>
          <w:rFonts w:eastAsiaTheme="minorHAnsi" w:cs="Arial"/>
          <w:sz w:val="23"/>
          <w:szCs w:val="23"/>
          <w:lang w:eastAsia="en-US"/>
        </w:rPr>
      </w:pPr>
      <w:r>
        <w:rPr>
          <w:rFonts w:eastAsiaTheme="minorHAnsi" w:cs="Arial"/>
          <w:sz w:val="23"/>
          <w:szCs w:val="23"/>
          <w:lang w:eastAsia="en-US"/>
        </w:rPr>
        <w:t>Senior Development Manager</w:t>
      </w:r>
    </w:p>
    <w:p w14:paraId="00093D0B" w14:textId="053F44E5" w:rsidR="006F5C38" w:rsidRPr="006F5C38" w:rsidRDefault="006F5C38" w:rsidP="006F5C38">
      <w:pPr>
        <w:pStyle w:val="ListParagraph"/>
        <w:numPr>
          <w:ilvl w:val="0"/>
          <w:numId w:val="24"/>
        </w:numPr>
        <w:autoSpaceDE w:val="0"/>
        <w:autoSpaceDN w:val="0"/>
        <w:adjustRightInd w:val="0"/>
        <w:rPr>
          <w:rFonts w:eastAsiaTheme="minorHAnsi" w:cs="Arial"/>
          <w:sz w:val="23"/>
          <w:szCs w:val="23"/>
          <w:lang w:eastAsia="en-US"/>
        </w:rPr>
      </w:pPr>
      <w:r>
        <w:rPr>
          <w:rFonts w:eastAsiaTheme="minorHAnsi" w:cs="Arial"/>
          <w:sz w:val="23"/>
          <w:szCs w:val="23"/>
          <w:lang w:eastAsia="en-US"/>
        </w:rPr>
        <w:t>Development Manager</w:t>
      </w:r>
    </w:p>
    <w:p w14:paraId="2F9C94FB" w14:textId="77777777" w:rsidR="00287409" w:rsidRDefault="00287409" w:rsidP="00EB687D">
      <w:pPr>
        <w:rPr>
          <w:sz w:val="18"/>
          <w:szCs w:val="18"/>
        </w:rPr>
      </w:pPr>
    </w:p>
    <w:p w14:paraId="250C2D76" w14:textId="77777777" w:rsidR="003471D4" w:rsidRDefault="003471D4" w:rsidP="00EB687D">
      <w:pPr>
        <w:rPr>
          <w:sz w:val="18"/>
          <w:szCs w:val="18"/>
        </w:rPr>
      </w:pPr>
    </w:p>
    <w:p w14:paraId="5F38DE42" w14:textId="77777777" w:rsidR="00287409" w:rsidRDefault="00287409" w:rsidP="00EB687D">
      <w:pPr>
        <w:rPr>
          <w:b/>
        </w:rPr>
      </w:pPr>
      <w:r w:rsidRPr="00287409">
        <w:rPr>
          <w:b/>
        </w:rPr>
        <w:t>Relationship</w:t>
      </w:r>
      <w:r>
        <w:rPr>
          <w:b/>
        </w:rPr>
        <w:t>s;</w:t>
      </w:r>
    </w:p>
    <w:p w14:paraId="0F17A2D0" w14:textId="77777777" w:rsidR="003471D4" w:rsidRDefault="003471D4" w:rsidP="003471D4">
      <w:pPr>
        <w:autoSpaceDE w:val="0"/>
        <w:autoSpaceDN w:val="0"/>
        <w:adjustRightInd w:val="0"/>
        <w:rPr>
          <w:rFonts w:eastAsiaTheme="minorHAnsi" w:cs="Arial"/>
          <w:sz w:val="23"/>
          <w:szCs w:val="23"/>
          <w:lang w:eastAsia="en-US"/>
        </w:rPr>
      </w:pPr>
      <w:r w:rsidRPr="003471D4">
        <w:rPr>
          <w:rFonts w:eastAsiaTheme="minorHAnsi" w:cs="Arial"/>
          <w:sz w:val="23"/>
          <w:szCs w:val="23"/>
          <w:lang w:eastAsia="en-US"/>
        </w:rPr>
        <w:t>The post holder will be responsible for developing a new way of working, bringing</w:t>
      </w:r>
      <w:r w:rsidR="00CF50CE">
        <w:rPr>
          <w:rFonts w:eastAsiaTheme="minorHAnsi" w:cs="Arial"/>
          <w:sz w:val="23"/>
          <w:szCs w:val="23"/>
          <w:lang w:eastAsia="en-US"/>
        </w:rPr>
        <w:t xml:space="preserve"> </w:t>
      </w:r>
      <w:r w:rsidRPr="003471D4">
        <w:rPr>
          <w:rFonts w:eastAsiaTheme="minorHAnsi" w:cs="Arial"/>
          <w:sz w:val="23"/>
          <w:szCs w:val="23"/>
          <w:lang w:eastAsia="en-US"/>
        </w:rPr>
        <w:t>together ward councillors, tenants, leaseholders, residents and communities to</w:t>
      </w:r>
      <w:r w:rsidR="00CF50CE">
        <w:rPr>
          <w:rFonts w:eastAsiaTheme="minorHAnsi" w:cs="Arial"/>
          <w:sz w:val="23"/>
          <w:szCs w:val="23"/>
          <w:lang w:eastAsia="en-US"/>
        </w:rPr>
        <w:t xml:space="preserve"> </w:t>
      </w:r>
      <w:r w:rsidRPr="003471D4">
        <w:rPr>
          <w:rFonts w:eastAsiaTheme="minorHAnsi" w:cs="Arial"/>
          <w:sz w:val="23"/>
          <w:szCs w:val="23"/>
          <w:lang w:eastAsia="en-US"/>
        </w:rPr>
        <w:t>establish and deliver a shared vision for these estates.</w:t>
      </w:r>
    </w:p>
    <w:p w14:paraId="18CDB37F" w14:textId="77777777" w:rsidR="00CF50CE" w:rsidRPr="003471D4" w:rsidRDefault="00CF50CE" w:rsidP="003471D4">
      <w:pPr>
        <w:autoSpaceDE w:val="0"/>
        <w:autoSpaceDN w:val="0"/>
        <w:adjustRightInd w:val="0"/>
        <w:rPr>
          <w:rFonts w:eastAsiaTheme="minorHAnsi" w:cs="Arial"/>
          <w:sz w:val="23"/>
          <w:szCs w:val="23"/>
          <w:lang w:eastAsia="en-US"/>
        </w:rPr>
      </w:pPr>
    </w:p>
    <w:p w14:paraId="266BCFE0" w14:textId="02692C28" w:rsidR="003471D4" w:rsidRDefault="003471D4" w:rsidP="003471D4">
      <w:pPr>
        <w:autoSpaceDE w:val="0"/>
        <w:autoSpaceDN w:val="0"/>
        <w:adjustRightInd w:val="0"/>
        <w:rPr>
          <w:rFonts w:eastAsiaTheme="minorHAnsi" w:cs="Arial"/>
          <w:sz w:val="23"/>
          <w:szCs w:val="23"/>
          <w:lang w:eastAsia="en-US"/>
        </w:rPr>
      </w:pPr>
      <w:r w:rsidRPr="003471D4">
        <w:rPr>
          <w:rFonts w:eastAsiaTheme="minorHAnsi" w:cs="Arial"/>
          <w:sz w:val="23"/>
          <w:szCs w:val="23"/>
          <w:lang w:eastAsia="en-US"/>
        </w:rPr>
        <w:t>This is a new venture for Camden Council, involving significant busines</w:t>
      </w:r>
      <w:r w:rsidR="00CF50CE">
        <w:rPr>
          <w:rFonts w:eastAsiaTheme="minorHAnsi" w:cs="Arial"/>
          <w:sz w:val="23"/>
          <w:szCs w:val="23"/>
          <w:lang w:eastAsia="en-US"/>
        </w:rPr>
        <w:t>s</w:t>
      </w:r>
      <w:r w:rsidRPr="003471D4">
        <w:rPr>
          <w:rFonts w:eastAsiaTheme="minorHAnsi" w:cs="Arial"/>
          <w:sz w:val="23"/>
          <w:szCs w:val="23"/>
          <w:lang w:eastAsia="en-US"/>
        </w:rPr>
        <w:t xml:space="preserve"> risk in terms</w:t>
      </w:r>
      <w:r w:rsidR="00CF50CE">
        <w:rPr>
          <w:rFonts w:eastAsiaTheme="minorHAnsi" w:cs="Arial"/>
          <w:sz w:val="23"/>
          <w:szCs w:val="23"/>
          <w:lang w:eastAsia="en-US"/>
        </w:rPr>
        <w:t xml:space="preserve"> </w:t>
      </w:r>
      <w:r w:rsidR="00C05BB1">
        <w:rPr>
          <w:rFonts w:eastAsiaTheme="minorHAnsi" w:cs="Arial"/>
          <w:sz w:val="23"/>
          <w:szCs w:val="23"/>
          <w:lang w:eastAsia="en-US"/>
        </w:rPr>
        <w:t>of delivering the decant</w:t>
      </w:r>
      <w:r w:rsidRPr="003471D4">
        <w:rPr>
          <w:rFonts w:eastAsiaTheme="minorHAnsi" w:cs="Arial"/>
          <w:sz w:val="23"/>
          <w:szCs w:val="23"/>
          <w:lang w:eastAsia="en-US"/>
        </w:rPr>
        <w:t xml:space="preserve"> strategy and reputational risk for the Council if the</w:t>
      </w:r>
      <w:r w:rsidR="00CF50CE">
        <w:rPr>
          <w:rFonts w:eastAsiaTheme="minorHAnsi" w:cs="Arial"/>
          <w:sz w:val="23"/>
          <w:szCs w:val="23"/>
          <w:lang w:eastAsia="en-US"/>
        </w:rPr>
        <w:t xml:space="preserve"> </w:t>
      </w:r>
      <w:r w:rsidRPr="003471D4">
        <w:rPr>
          <w:rFonts w:eastAsiaTheme="minorHAnsi" w:cs="Arial"/>
          <w:sz w:val="23"/>
          <w:szCs w:val="23"/>
          <w:lang w:eastAsia="en-US"/>
        </w:rPr>
        <w:t>programme fails to deliver.</w:t>
      </w:r>
    </w:p>
    <w:p w14:paraId="11129BD2" w14:textId="77777777" w:rsidR="00CF50CE" w:rsidRPr="003471D4" w:rsidRDefault="00CF50CE" w:rsidP="003471D4">
      <w:pPr>
        <w:autoSpaceDE w:val="0"/>
        <w:autoSpaceDN w:val="0"/>
        <w:adjustRightInd w:val="0"/>
        <w:rPr>
          <w:rFonts w:eastAsiaTheme="minorHAnsi" w:cs="Arial"/>
          <w:sz w:val="23"/>
          <w:szCs w:val="23"/>
          <w:lang w:eastAsia="en-US"/>
        </w:rPr>
      </w:pPr>
    </w:p>
    <w:p w14:paraId="11F079CB" w14:textId="77777777" w:rsidR="003471D4" w:rsidRPr="003471D4" w:rsidRDefault="003471D4" w:rsidP="003471D4">
      <w:pPr>
        <w:autoSpaceDE w:val="0"/>
        <w:autoSpaceDN w:val="0"/>
        <w:adjustRightInd w:val="0"/>
        <w:rPr>
          <w:rFonts w:eastAsiaTheme="minorHAnsi" w:cs="Arial"/>
          <w:sz w:val="23"/>
          <w:szCs w:val="23"/>
          <w:lang w:eastAsia="en-US"/>
        </w:rPr>
      </w:pPr>
      <w:r w:rsidRPr="003471D4">
        <w:rPr>
          <w:rFonts w:eastAsiaTheme="minorHAnsi" w:cs="Arial"/>
          <w:sz w:val="23"/>
          <w:szCs w:val="23"/>
          <w:lang w:eastAsia="en-US"/>
        </w:rPr>
        <w:t>The post holder will have daily contact with chief officers and very regular contact with</w:t>
      </w:r>
      <w:r w:rsidR="00CF50CE">
        <w:rPr>
          <w:rFonts w:eastAsiaTheme="minorHAnsi" w:cs="Arial"/>
          <w:sz w:val="23"/>
          <w:szCs w:val="23"/>
          <w:lang w:eastAsia="en-US"/>
        </w:rPr>
        <w:t xml:space="preserve"> </w:t>
      </w:r>
      <w:r w:rsidRPr="003471D4">
        <w:rPr>
          <w:rFonts w:eastAsiaTheme="minorHAnsi" w:cs="Arial"/>
          <w:sz w:val="23"/>
          <w:szCs w:val="23"/>
          <w:lang w:eastAsia="en-US"/>
        </w:rPr>
        <w:t xml:space="preserve">elected members, including presenting reports to </w:t>
      </w:r>
      <w:r w:rsidR="000D5BA4">
        <w:rPr>
          <w:rFonts w:eastAsiaTheme="minorHAnsi" w:cs="Arial"/>
          <w:sz w:val="23"/>
          <w:szCs w:val="23"/>
          <w:lang w:eastAsia="en-US"/>
        </w:rPr>
        <w:t>Cabinet</w:t>
      </w:r>
      <w:r w:rsidR="008C257A">
        <w:rPr>
          <w:rFonts w:eastAsiaTheme="minorHAnsi" w:cs="Arial"/>
          <w:sz w:val="23"/>
          <w:szCs w:val="23"/>
          <w:lang w:eastAsia="en-US"/>
        </w:rPr>
        <w:t>,</w:t>
      </w:r>
      <w:r w:rsidRPr="003471D4">
        <w:rPr>
          <w:rFonts w:eastAsiaTheme="minorHAnsi" w:cs="Arial"/>
          <w:sz w:val="23"/>
          <w:szCs w:val="23"/>
          <w:lang w:eastAsia="en-US"/>
        </w:rPr>
        <w:t xml:space="preserve"> scrutiny and</w:t>
      </w:r>
      <w:r w:rsidR="00CF50CE">
        <w:rPr>
          <w:rFonts w:eastAsiaTheme="minorHAnsi" w:cs="Arial"/>
          <w:sz w:val="23"/>
          <w:szCs w:val="23"/>
          <w:lang w:eastAsia="en-US"/>
        </w:rPr>
        <w:t xml:space="preserve"> </w:t>
      </w:r>
      <w:r w:rsidRPr="003471D4">
        <w:rPr>
          <w:rFonts w:eastAsiaTheme="minorHAnsi" w:cs="Arial"/>
          <w:sz w:val="23"/>
          <w:szCs w:val="23"/>
          <w:lang w:eastAsia="en-US"/>
        </w:rPr>
        <w:t>ward councillors. The post holder will represent the Council at a wide range of public</w:t>
      </w:r>
      <w:r w:rsidR="00CF50CE">
        <w:rPr>
          <w:rFonts w:eastAsiaTheme="minorHAnsi" w:cs="Arial"/>
          <w:sz w:val="23"/>
          <w:szCs w:val="23"/>
          <w:lang w:eastAsia="en-US"/>
        </w:rPr>
        <w:t xml:space="preserve"> </w:t>
      </w:r>
      <w:r w:rsidRPr="003471D4">
        <w:rPr>
          <w:rFonts w:eastAsiaTheme="minorHAnsi" w:cs="Arial"/>
          <w:sz w:val="23"/>
          <w:szCs w:val="23"/>
          <w:lang w:eastAsia="en-US"/>
        </w:rPr>
        <w:t>meetings.</w:t>
      </w:r>
    </w:p>
    <w:p w14:paraId="517D248E" w14:textId="77777777" w:rsidR="003471D4" w:rsidRDefault="003471D4" w:rsidP="00EB687D"/>
    <w:p w14:paraId="48F04430" w14:textId="77777777" w:rsidR="003471D4" w:rsidRDefault="003471D4" w:rsidP="00EB687D"/>
    <w:p w14:paraId="4474AECB" w14:textId="77777777" w:rsidR="00C97F42" w:rsidRPr="00C97F42" w:rsidRDefault="00C97F42" w:rsidP="00EB687D">
      <w:pPr>
        <w:rPr>
          <w:b/>
        </w:rPr>
      </w:pPr>
      <w:r w:rsidRPr="00C97F42">
        <w:rPr>
          <w:b/>
        </w:rPr>
        <w:lastRenderedPageBreak/>
        <w:t>Work Environment:</w:t>
      </w:r>
    </w:p>
    <w:p w14:paraId="1B2C26AD" w14:textId="77777777" w:rsidR="00C97F42" w:rsidRDefault="00C97F42" w:rsidP="00EB687D"/>
    <w:p w14:paraId="07D48362" w14:textId="0AA0E267" w:rsidR="00C97F42" w:rsidRDefault="00CF50CE" w:rsidP="00EB687D">
      <w:r>
        <w:t>Office</w:t>
      </w:r>
      <w:r w:rsidR="006F5C38">
        <w:t xml:space="preserve"> / Working from Home</w:t>
      </w:r>
      <w:r>
        <w:t xml:space="preserve"> based with periods of time spent outdoors</w:t>
      </w:r>
    </w:p>
    <w:p w14:paraId="7EC0F37B" w14:textId="77777777" w:rsidR="00C97F42" w:rsidRDefault="00C97F42" w:rsidP="00EB687D"/>
    <w:p w14:paraId="446FE4B9" w14:textId="77777777" w:rsidR="00CE791A" w:rsidRDefault="00CE791A" w:rsidP="00EB687D">
      <w:pPr>
        <w:rPr>
          <w:b/>
        </w:rPr>
      </w:pPr>
    </w:p>
    <w:p w14:paraId="4B49AE51" w14:textId="7F8FA312" w:rsidR="00EB687D" w:rsidRDefault="007A6B99" w:rsidP="00EB687D">
      <w:pPr>
        <w:rPr>
          <w:b/>
        </w:rPr>
      </w:pPr>
      <w:r>
        <w:rPr>
          <w:b/>
        </w:rPr>
        <w:t xml:space="preserve">Technical </w:t>
      </w:r>
      <w:r w:rsidR="00EB687D" w:rsidRPr="00C97F42">
        <w:rPr>
          <w:b/>
        </w:rPr>
        <w:t>Knowledge and Experience</w:t>
      </w:r>
      <w:r w:rsidR="00C97F42">
        <w:rPr>
          <w:b/>
        </w:rPr>
        <w:t>:</w:t>
      </w:r>
    </w:p>
    <w:p w14:paraId="7F97EBE3" w14:textId="77777777" w:rsidR="00EB687D" w:rsidRDefault="00EB687D" w:rsidP="00EB687D"/>
    <w:p w14:paraId="1EB3CA3C" w14:textId="47973024" w:rsidR="003471D4" w:rsidRDefault="003471D4" w:rsidP="006F5C38">
      <w:pPr>
        <w:pStyle w:val="ListParagraph"/>
        <w:numPr>
          <w:ilvl w:val="0"/>
          <w:numId w:val="25"/>
        </w:numPr>
        <w:autoSpaceDE w:val="0"/>
        <w:autoSpaceDN w:val="0"/>
        <w:adjustRightInd w:val="0"/>
        <w:ind w:left="1843" w:hanging="425"/>
        <w:rPr>
          <w:rFonts w:eastAsiaTheme="minorHAnsi" w:cs="Arial"/>
          <w:sz w:val="23"/>
          <w:szCs w:val="23"/>
          <w:lang w:eastAsia="en-US"/>
        </w:rPr>
      </w:pPr>
      <w:r w:rsidRPr="006F5C38">
        <w:rPr>
          <w:rFonts w:eastAsiaTheme="minorHAnsi" w:cs="Arial"/>
          <w:sz w:val="23"/>
          <w:szCs w:val="23"/>
          <w:lang w:eastAsia="en-US"/>
        </w:rPr>
        <w:t xml:space="preserve">Degree level education </w:t>
      </w:r>
      <w:r w:rsidR="006F5C38">
        <w:rPr>
          <w:rFonts w:eastAsiaTheme="minorHAnsi" w:cs="Arial"/>
          <w:sz w:val="23"/>
          <w:szCs w:val="23"/>
          <w:lang w:eastAsia="en-US"/>
        </w:rPr>
        <w:t>in regeneration, construction and/or housing</w:t>
      </w:r>
    </w:p>
    <w:p w14:paraId="4255FB44" w14:textId="0B743ACE" w:rsidR="006F5C38" w:rsidRDefault="006F5C38" w:rsidP="006F5C38">
      <w:pPr>
        <w:pStyle w:val="ListParagraph"/>
        <w:numPr>
          <w:ilvl w:val="0"/>
          <w:numId w:val="25"/>
        </w:numPr>
        <w:autoSpaceDE w:val="0"/>
        <w:autoSpaceDN w:val="0"/>
        <w:adjustRightInd w:val="0"/>
        <w:ind w:left="1843" w:hanging="425"/>
        <w:rPr>
          <w:rFonts w:eastAsiaTheme="minorHAnsi" w:cs="Arial"/>
          <w:sz w:val="23"/>
          <w:szCs w:val="23"/>
          <w:lang w:eastAsia="en-US"/>
        </w:rPr>
      </w:pPr>
      <w:r>
        <w:rPr>
          <w:rFonts w:eastAsiaTheme="minorHAnsi" w:cs="Arial"/>
          <w:sz w:val="23"/>
          <w:szCs w:val="23"/>
          <w:lang w:eastAsia="en-US"/>
        </w:rPr>
        <w:t>Good knowledge of tenant and leasehold rights as well as landlord responsibilities</w:t>
      </w:r>
      <w:r w:rsidRPr="006F5C38">
        <w:rPr>
          <w:rFonts w:eastAsiaTheme="minorHAnsi" w:cs="Arial"/>
          <w:sz w:val="23"/>
          <w:szCs w:val="23"/>
          <w:lang w:eastAsia="en-US"/>
        </w:rPr>
        <w:t xml:space="preserve"> </w:t>
      </w:r>
    </w:p>
    <w:p w14:paraId="0500B566" w14:textId="72F4FA30" w:rsidR="006F5C38" w:rsidRPr="006F5C38" w:rsidRDefault="006F5C38" w:rsidP="006F5C38">
      <w:pPr>
        <w:pStyle w:val="ListParagraph"/>
        <w:numPr>
          <w:ilvl w:val="0"/>
          <w:numId w:val="25"/>
        </w:numPr>
        <w:autoSpaceDE w:val="0"/>
        <w:autoSpaceDN w:val="0"/>
        <w:adjustRightInd w:val="0"/>
        <w:ind w:left="1843" w:hanging="425"/>
        <w:rPr>
          <w:rFonts w:eastAsiaTheme="minorHAnsi" w:cs="Arial"/>
          <w:sz w:val="23"/>
          <w:szCs w:val="23"/>
          <w:lang w:eastAsia="en-US"/>
        </w:rPr>
      </w:pPr>
      <w:r>
        <w:rPr>
          <w:rFonts w:eastAsiaTheme="minorHAnsi" w:cs="Arial"/>
          <w:sz w:val="23"/>
          <w:szCs w:val="23"/>
          <w:lang w:eastAsia="en-US"/>
        </w:rPr>
        <w:t>Knowledge of CPO process</w:t>
      </w:r>
    </w:p>
    <w:p w14:paraId="3CA07285" w14:textId="27B7A3D6" w:rsidR="003471D4" w:rsidRPr="006F5C38" w:rsidRDefault="003471D4" w:rsidP="006F5C38">
      <w:pPr>
        <w:pStyle w:val="ListParagraph"/>
        <w:numPr>
          <w:ilvl w:val="1"/>
          <w:numId w:val="25"/>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Knowledge &amp; understanding of regulations</w:t>
      </w:r>
      <w:r w:rsidR="00CF50CE" w:rsidRPr="006F5C38">
        <w:rPr>
          <w:rFonts w:eastAsiaTheme="minorHAnsi" w:cs="Arial"/>
          <w:sz w:val="23"/>
          <w:szCs w:val="23"/>
          <w:lang w:eastAsia="en-US"/>
        </w:rPr>
        <w:t>,</w:t>
      </w:r>
      <w:r w:rsidRPr="006F5C38">
        <w:rPr>
          <w:rFonts w:eastAsiaTheme="minorHAnsi" w:cs="Arial"/>
          <w:sz w:val="23"/>
          <w:szCs w:val="23"/>
          <w:lang w:eastAsia="en-US"/>
        </w:rPr>
        <w:t xml:space="preserve"> sustainability in terms of</w:t>
      </w:r>
      <w:r w:rsidR="00CF50CE" w:rsidRPr="006F5C38">
        <w:rPr>
          <w:rFonts w:eastAsiaTheme="minorHAnsi" w:cs="Arial"/>
          <w:sz w:val="23"/>
          <w:szCs w:val="23"/>
          <w:lang w:eastAsia="en-US"/>
        </w:rPr>
        <w:t xml:space="preserve"> Design and Management</w:t>
      </w:r>
    </w:p>
    <w:p w14:paraId="725635C0" w14:textId="3C02E5D1" w:rsidR="003471D4" w:rsidRPr="006F5C38" w:rsidRDefault="003471D4" w:rsidP="006F5C38">
      <w:pPr>
        <w:pStyle w:val="ListParagraph"/>
        <w:numPr>
          <w:ilvl w:val="1"/>
          <w:numId w:val="25"/>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Knowledge of effective resident environment, communities and engagement techniques in relation to construction regeneration projects.</w:t>
      </w:r>
    </w:p>
    <w:p w14:paraId="7058F3FE" w14:textId="0C782704" w:rsidR="003471D4" w:rsidRPr="006F5C38" w:rsidRDefault="003471D4" w:rsidP="006F5C38">
      <w:pPr>
        <w:pStyle w:val="ListParagraph"/>
        <w:numPr>
          <w:ilvl w:val="1"/>
          <w:numId w:val="25"/>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Knowledge of construction contract and property law, including Landlord &amp; Tenant law and practice.</w:t>
      </w:r>
    </w:p>
    <w:p w14:paraId="1F95512F" w14:textId="686A1BBD" w:rsidR="003471D4" w:rsidRPr="006F5C38" w:rsidRDefault="003471D4" w:rsidP="006F5C38">
      <w:pPr>
        <w:pStyle w:val="ListParagraph"/>
        <w:numPr>
          <w:ilvl w:val="1"/>
          <w:numId w:val="25"/>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A good knowledge of best practice in regeneration and development activities.</w:t>
      </w:r>
    </w:p>
    <w:p w14:paraId="3E583FEE" w14:textId="09BA95B0" w:rsidR="003471D4" w:rsidRDefault="003471D4" w:rsidP="006F5C38">
      <w:pPr>
        <w:autoSpaceDE w:val="0"/>
        <w:autoSpaceDN w:val="0"/>
        <w:adjustRightInd w:val="0"/>
        <w:ind w:left="1418"/>
        <w:rPr>
          <w:rFonts w:eastAsiaTheme="minorHAnsi" w:cs="Arial"/>
          <w:sz w:val="23"/>
          <w:szCs w:val="23"/>
          <w:lang w:eastAsia="en-US"/>
        </w:rPr>
      </w:pPr>
      <w:r w:rsidRPr="003471D4">
        <w:rPr>
          <w:rFonts w:eastAsiaTheme="minorHAnsi" w:cs="Arial"/>
          <w:sz w:val="34"/>
          <w:szCs w:val="34"/>
          <w:lang w:eastAsia="en-US"/>
        </w:rPr>
        <w:t xml:space="preserve">• </w:t>
      </w:r>
      <w:r w:rsidRPr="003471D4">
        <w:rPr>
          <w:rFonts w:eastAsiaTheme="minorHAnsi" w:cs="Arial"/>
          <w:sz w:val="23"/>
          <w:szCs w:val="23"/>
          <w:lang w:eastAsia="en-US"/>
        </w:rPr>
        <w:t>Knowledge of Asset Management</w:t>
      </w:r>
      <w:r>
        <w:rPr>
          <w:rFonts w:eastAsiaTheme="minorHAnsi" w:cs="Arial"/>
          <w:sz w:val="23"/>
          <w:szCs w:val="23"/>
          <w:lang w:eastAsia="en-US"/>
        </w:rPr>
        <w:t xml:space="preserve"> </w:t>
      </w:r>
      <w:r w:rsidRPr="003471D4">
        <w:rPr>
          <w:rFonts w:eastAsiaTheme="minorHAnsi" w:cs="Arial"/>
          <w:sz w:val="23"/>
          <w:szCs w:val="23"/>
          <w:lang w:eastAsia="en-US"/>
        </w:rPr>
        <w:t>Planning, particularly in a local</w:t>
      </w:r>
      <w:r>
        <w:rPr>
          <w:rFonts w:eastAsiaTheme="minorHAnsi" w:cs="Arial"/>
          <w:sz w:val="23"/>
          <w:szCs w:val="23"/>
          <w:lang w:eastAsia="en-US"/>
        </w:rPr>
        <w:t xml:space="preserve"> </w:t>
      </w:r>
      <w:r w:rsidRPr="003471D4">
        <w:rPr>
          <w:rFonts w:eastAsiaTheme="minorHAnsi" w:cs="Arial"/>
          <w:sz w:val="23"/>
          <w:szCs w:val="23"/>
          <w:lang w:eastAsia="en-US"/>
        </w:rPr>
        <w:t>authority context.</w:t>
      </w:r>
    </w:p>
    <w:p w14:paraId="72E66316" w14:textId="77777777" w:rsidR="006F5C38" w:rsidRPr="006F5C38" w:rsidRDefault="006F5C38" w:rsidP="006F5C38">
      <w:pPr>
        <w:pStyle w:val="ListParagraph"/>
        <w:numPr>
          <w:ilvl w:val="1"/>
          <w:numId w:val="25"/>
        </w:numPr>
        <w:autoSpaceDE w:val="0"/>
        <w:autoSpaceDN w:val="0"/>
        <w:adjustRightInd w:val="0"/>
        <w:rPr>
          <w:rFonts w:eastAsiaTheme="minorHAnsi" w:cs="Arial"/>
          <w:sz w:val="23"/>
          <w:szCs w:val="23"/>
          <w:lang w:eastAsia="en-US"/>
        </w:rPr>
      </w:pPr>
      <w:r w:rsidRPr="006F5C38">
        <w:rPr>
          <w:rFonts w:eastAsiaTheme="minorHAnsi" w:cs="Arial"/>
          <w:sz w:val="23"/>
          <w:szCs w:val="23"/>
          <w:lang w:eastAsia="en-US"/>
        </w:rPr>
        <w:t>Good knowledge of construction and safety responsibilities in relation procurement practice and related to construction and Construction law.</w:t>
      </w:r>
    </w:p>
    <w:p w14:paraId="560D3F6D" w14:textId="77777777" w:rsidR="006F5C38" w:rsidRPr="003471D4" w:rsidRDefault="006F5C38" w:rsidP="003471D4">
      <w:pPr>
        <w:autoSpaceDE w:val="0"/>
        <w:autoSpaceDN w:val="0"/>
        <w:adjustRightInd w:val="0"/>
        <w:rPr>
          <w:rFonts w:eastAsiaTheme="minorHAnsi" w:cs="Arial"/>
          <w:sz w:val="23"/>
          <w:szCs w:val="23"/>
          <w:lang w:eastAsia="en-US"/>
        </w:rPr>
      </w:pPr>
    </w:p>
    <w:p w14:paraId="5A996EB7" w14:textId="77777777" w:rsidR="00EB687D" w:rsidRDefault="00EB687D" w:rsidP="00EB687D"/>
    <w:p w14:paraId="4B3959D7" w14:textId="77777777" w:rsidR="00C97F42" w:rsidRDefault="00C97F42" w:rsidP="00EB687D"/>
    <w:p w14:paraId="6F98A260" w14:textId="77777777" w:rsidR="00CE791A" w:rsidRDefault="00CE791A" w:rsidP="00EB687D">
      <w:pPr>
        <w:rPr>
          <w:b/>
        </w:rPr>
      </w:pPr>
    </w:p>
    <w:p w14:paraId="3165372B" w14:textId="77777777" w:rsidR="00CE791A" w:rsidRDefault="00CE791A" w:rsidP="00EB687D">
      <w:pPr>
        <w:rPr>
          <w:b/>
        </w:rPr>
      </w:pPr>
    </w:p>
    <w:p w14:paraId="58395B57" w14:textId="77777777" w:rsidR="00CE791A" w:rsidRDefault="00CE791A" w:rsidP="00EB687D">
      <w:pPr>
        <w:rPr>
          <w:b/>
        </w:rPr>
      </w:pPr>
    </w:p>
    <w:p w14:paraId="5103C7D5" w14:textId="77777777" w:rsidR="00CE791A" w:rsidRDefault="00CE791A" w:rsidP="00EB687D">
      <w:pPr>
        <w:rPr>
          <w:b/>
        </w:rPr>
      </w:pPr>
    </w:p>
    <w:p w14:paraId="7CDDF881" w14:textId="77777777" w:rsidR="00CE791A" w:rsidRDefault="00CE791A" w:rsidP="00EB687D">
      <w:pPr>
        <w:rPr>
          <w:b/>
        </w:rPr>
      </w:pPr>
    </w:p>
    <w:p w14:paraId="36CE7FD9" w14:textId="77777777" w:rsidR="00CE791A" w:rsidRDefault="00CE791A" w:rsidP="00EB687D">
      <w:pPr>
        <w:rPr>
          <w:b/>
        </w:rPr>
      </w:pPr>
    </w:p>
    <w:p w14:paraId="742F8D01" w14:textId="77777777" w:rsidR="00CE791A" w:rsidRDefault="00CE791A" w:rsidP="00EB687D">
      <w:pPr>
        <w:rPr>
          <w:b/>
        </w:rPr>
      </w:pPr>
    </w:p>
    <w:p w14:paraId="6B40E0BB" w14:textId="77777777" w:rsidR="00CE791A" w:rsidRDefault="00CE791A" w:rsidP="00EB687D">
      <w:pPr>
        <w:rPr>
          <w:b/>
        </w:rPr>
      </w:pPr>
    </w:p>
    <w:p w14:paraId="72387481" w14:textId="5F416808" w:rsidR="00C97F42" w:rsidRPr="00C97F42" w:rsidRDefault="00287409" w:rsidP="00EB687D">
      <w:pPr>
        <w:rPr>
          <w:b/>
        </w:rPr>
      </w:pPr>
      <w:r>
        <w:rPr>
          <w:b/>
        </w:rPr>
        <w:lastRenderedPageBreak/>
        <w:t xml:space="preserve">Camden Core </w:t>
      </w:r>
      <w:r w:rsidR="00C97F42" w:rsidRPr="00C97F42">
        <w:rPr>
          <w:b/>
        </w:rPr>
        <w:t>Behaviours</w:t>
      </w:r>
      <w:r>
        <w:rPr>
          <w:b/>
        </w:rPr>
        <w:t xml:space="preserve"> – identify the level relevant to role for the 5 Camden core behaviours</w:t>
      </w:r>
      <w:r w:rsidR="00C97F42" w:rsidRPr="00C97F42">
        <w:rPr>
          <w:b/>
        </w:rPr>
        <w:t>:</w:t>
      </w:r>
    </w:p>
    <w:p w14:paraId="2874E92B" w14:textId="77777777" w:rsidR="00287409" w:rsidRDefault="00287409" w:rsidP="00EB687D">
      <w:pPr>
        <w:rPr>
          <w:i/>
          <w:sz w:val="18"/>
          <w:szCs w:val="18"/>
        </w:rPr>
      </w:pPr>
    </w:p>
    <w:p w14:paraId="2821E2FA" w14:textId="77777777" w:rsidR="00287409" w:rsidRDefault="00287409" w:rsidP="00EB687D">
      <w:pPr>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290"/>
      </w:tblGrid>
      <w:tr w:rsidR="00EB3F80" w:rsidRPr="00EB3F80" w14:paraId="153A47F8" w14:textId="77777777" w:rsidTr="00EB3F80">
        <w:tc>
          <w:tcPr>
            <w:tcW w:w="2693" w:type="dxa"/>
            <w:vAlign w:val="center"/>
          </w:tcPr>
          <w:p w14:paraId="370D47D2" w14:textId="77777777" w:rsidR="00EB3F80" w:rsidRPr="00EB3F80" w:rsidRDefault="00EB3F80" w:rsidP="00EB3F80">
            <w:pPr>
              <w:jc w:val="center"/>
              <w:rPr>
                <w:rFonts w:cs="Arial"/>
                <w:b/>
                <w:color w:val="008000"/>
                <w:sz w:val="20"/>
                <w:szCs w:val="20"/>
              </w:rPr>
            </w:pPr>
          </w:p>
          <w:p w14:paraId="13890335" w14:textId="77777777" w:rsidR="00EB3F80" w:rsidRPr="00EB3F80" w:rsidRDefault="00EB3F80" w:rsidP="00EB3F80">
            <w:pPr>
              <w:rPr>
                <w:rFonts w:cs="Arial"/>
                <w:b/>
                <w:color w:val="008000"/>
                <w:sz w:val="20"/>
                <w:szCs w:val="20"/>
              </w:rPr>
            </w:pPr>
            <w:r w:rsidRPr="00EB3F80">
              <w:rPr>
                <w:rFonts w:cs="Arial"/>
                <w:b/>
                <w:color w:val="008000"/>
                <w:sz w:val="20"/>
                <w:szCs w:val="20"/>
              </w:rPr>
              <w:t>Behaviour</w:t>
            </w:r>
          </w:p>
          <w:p w14:paraId="0A4CB969" w14:textId="77777777" w:rsidR="00EB3F80" w:rsidRPr="00EB3F80" w:rsidRDefault="00EB3F80" w:rsidP="00EB3F80">
            <w:pPr>
              <w:jc w:val="center"/>
              <w:rPr>
                <w:rFonts w:cs="Arial"/>
                <w:b/>
                <w:color w:val="008000"/>
                <w:sz w:val="20"/>
                <w:szCs w:val="20"/>
              </w:rPr>
            </w:pPr>
          </w:p>
        </w:tc>
        <w:tc>
          <w:tcPr>
            <w:tcW w:w="3290" w:type="dxa"/>
          </w:tcPr>
          <w:p w14:paraId="3C71AA9D" w14:textId="77777777" w:rsidR="00EB3F80" w:rsidRPr="00EB3F80" w:rsidRDefault="00EB3F80" w:rsidP="00EB3F80">
            <w:pPr>
              <w:jc w:val="center"/>
              <w:rPr>
                <w:rFonts w:cs="Arial"/>
                <w:b/>
                <w:color w:val="008000"/>
                <w:sz w:val="20"/>
                <w:szCs w:val="20"/>
              </w:rPr>
            </w:pPr>
          </w:p>
          <w:p w14:paraId="6FAB2F16" w14:textId="77777777" w:rsidR="00EB3F80" w:rsidRPr="00EB3F80" w:rsidRDefault="00EB3F80" w:rsidP="00EB3F80">
            <w:pPr>
              <w:jc w:val="center"/>
              <w:rPr>
                <w:rFonts w:cs="Arial"/>
                <w:b/>
                <w:color w:val="008000"/>
                <w:sz w:val="20"/>
                <w:szCs w:val="20"/>
              </w:rPr>
            </w:pPr>
            <w:r w:rsidRPr="00EB3F80">
              <w:rPr>
                <w:rFonts w:cs="Arial"/>
                <w:b/>
                <w:color w:val="008000"/>
                <w:sz w:val="20"/>
                <w:szCs w:val="20"/>
              </w:rPr>
              <w:t>Level required at Zone 2</w:t>
            </w:r>
          </w:p>
        </w:tc>
      </w:tr>
      <w:tr w:rsidR="00EB3F80" w:rsidRPr="00EB3F80" w14:paraId="18C3729D" w14:textId="77777777" w:rsidTr="00EB3F80">
        <w:tc>
          <w:tcPr>
            <w:tcW w:w="2693" w:type="dxa"/>
          </w:tcPr>
          <w:p w14:paraId="77E7BB00" w14:textId="77777777" w:rsidR="00EB3F80" w:rsidRPr="00EB3F80" w:rsidRDefault="00EB3F80" w:rsidP="00EB3F80">
            <w:pPr>
              <w:rPr>
                <w:rFonts w:cs="Arial"/>
                <w:b/>
                <w:color w:val="008000"/>
                <w:sz w:val="20"/>
                <w:szCs w:val="20"/>
              </w:rPr>
            </w:pPr>
            <w:r w:rsidRPr="00EB3F80">
              <w:rPr>
                <w:rFonts w:cs="Arial"/>
                <w:b/>
                <w:color w:val="008000"/>
                <w:sz w:val="20"/>
                <w:szCs w:val="20"/>
              </w:rPr>
              <w:t>Confidence and Resilience</w:t>
            </w:r>
          </w:p>
        </w:tc>
        <w:tc>
          <w:tcPr>
            <w:tcW w:w="3290" w:type="dxa"/>
            <w:vAlign w:val="center"/>
          </w:tcPr>
          <w:p w14:paraId="0FFDDAE6" w14:textId="77777777" w:rsidR="00EB3F80" w:rsidRPr="00EB3F80" w:rsidRDefault="00EB3F80" w:rsidP="00EB3F80">
            <w:pPr>
              <w:jc w:val="center"/>
              <w:rPr>
                <w:rFonts w:cs="Arial"/>
                <w:sz w:val="20"/>
                <w:szCs w:val="20"/>
              </w:rPr>
            </w:pPr>
            <w:r w:rsidRPr="00EB3F80">
              <w:rPr>
                <w:rFonts w:cs="Arial"/>
                <w:sz w:val="20"/>
                <w:szCs w:val="20"/>
              </w:rPr>
              <w:t>4</w:t>
            </w:r>
          </w:p>
        </w:tc>
      </w:tr>
      <w:tr w:rsidR="00EB3F80" w:rsidRPr="00EB3F80" w14:paraId="4C33C480" w14:textId="77777777" w:rsidTr="00EB3F80">
        <w:tc>
          <w:tcPr>
            <w:tcW w:w="2693" w:type="dxa"/>
          </w:tcPr>
          <w:p w14:paraId="1D10A856" w14:textId="77777777" w:rsidR="00EB3F80" w:rsidRPr="00EB3F80" w:rsidRDefault="00EB3F80" w:rsidP="00EB3F80">
            <w:pPr>
              <w:rPr>
                <w:rFonts w:cs="Arial"/>
                <w:b/>
                <w:color w:val="008000"/>
                <w:sz w:val="20"/>
                <w:szCs w:val="20"/>
              </w:rPr>
            </w:pPr>
            <w:r w:rsidRPr="00EB3F80">
              <w:rPr>
                <w:rFonts w:cs="Arial"/>
                <w:b/>
                <w:color w:val="008000"/>
                <w:sz w:val="20"/>
                <w:szCs w:val="20"/>
              </w:rPr>
              <w:t>Driving</w:t>
            </w:r>
          </w:p>
          <w:p w14:paraId="2316A0AB" w14:textId="77777777" w:rsidR="00EB3F80" w:rsidRPr="00EB3F80" w:rsidRDefault="00EB3F80" w:rsidP="00EB3F80">
            <w:pPr>
              <w:rPr>
                <w:rFonts w:cs="Arial"/>
                <w:b/>
                <w:color w:val="008000"/>
                <w:sz w:val="20"/>
                <w:szCs w:val="20"/>
              </w:rPr>
            </w:pPr>
            <w:r w:rsidRPr="00EB3F80">
              <w:rPr>
                <w:rFonts w:cs="Arial"/>
                <w:b/>
                <w:color w:val="008000"/>
                <w:sz w:val="20"/>
                <w:szCs w:val="20"/>
              </w:rPr>
              <w:t>Improvement</w:t>
            </w:r>
          </w:p>
        </w:tc>
        <w:tc>
          <w:tcPr>
            <w:tcW w:w="3290" w:type="dxa"/>
            <w:vAlign w:val="center"/>
          </w:tcPr>
          <w:p w14:paraId="361E8727" w14:textId="77777777" w:rsidR="00EB3F80" w:rsidRPr="00EB3F80" w:rsidRDefault="00EB3F80" w:rsidP="00EB3F80">
            <w:pPr>
              <w:jc w:val="center"/>
              <w:rPr>
                <w:rFonts w:cs="Arial"/>
                <w:sz w:val="20"/>
                <w:szCs w:val="20"/>
              </w:rPr>
            </w:pPr>
            <w:r w:rsidRPr="00EB3F80">
              <w:rPr>
                <w:rFonts w:cs="Arial"/>
                <w:sz w:val="20"/>
                <w:szCs w:val="20"/>
              </w:rPr>
              <w:t>3</w:t>
            </w:r>
          </w:p>
        </w:tc>
      </w:tr>
      <w:tr w:rsidR="00EB3F80" w:rsidRPr="00EB3F80" w14:paraId="694ED0FD" w14:textId="77777777" w:rsidTr="00EB3F80">
        <w:tc>
          <w:tcPr>
            <w:tcW w:w="2693" w:type="dxa"/>
          </w:tcPr>
          <w:p w14:paraId="79063A76" w14:textId="77777777" w:rsidR="00EB3F80" w:rsidRPr="00EB3F80" w:rsidRDefault="00EB3F80" w:rsidP="00EB3F80">
            <w:pPr>
              <w:rPr>
                <w:rFonts w:cs="Arial"/>
                <w:b/>
                <w:color w:val="008000"/>
                <w:sz w:val="20"/>
                <w:szCs w:val="20"/>
              </w:rPr>
            </w:pPr>
            <w:r w:rsidRPr="00EB3F80">
              <w:rPr>
                <w:rFonts w:cs="Arial"/>
                <w:b/>
                <w:color w:val="008000"/>
                <w:sz w:val="20"/>
                <w:szCs w:val="20"/>
              </w:rPr>
              <w:t>Leading People or Working Together*</w:t>
            </w:r>
          </w:p>
        </w:tc>
        <w:tc>
          <w:tcPr>
            <w:tcW w:w="3290" w:type="dxa"/>
            <w:vAlign w:val="center"/>
          </w:tcPr>
          <w:p w14:paraId="7EFDCA82" w14:textId="77777777" w:rsidR="00EB3F80" w:rsidRPr="00EB3F80" w:rsidRDefault="00EB3F80" w:rsidP="00EB3F80">
            <w:pPr>
              <w:jc w:val="center"/>
              <w:rPr>
                <w:rFonts w:cs="Arial"/>
                <w:sz w:val="20"/>
                <w:szCs w:val="20"/>
              </w:rPr>
            </w:pPr>
            <w:r w:rsidRPr="00EB3F80">
              <w:rPr>
                <w:rFonts w:cs="Arial"/>
                <w:sz w:val="20"/>
                <w:szCs w:val="20"/>
              </w:rPr>
              <w:t>3</w:t>
            </w:r>
          </w:p>
        </w:tc>
      </w:tr>
      <w:tr w:rsidR="00EB3F80" w:rsidRPr="00EB3F80" w14:paraId="7629E6FA" w14:textId="77777777" w:rsidTr="00EB3F80">
        <w:tc>
          <w:tcPr>
            <w:tcW w:w="2693" w:type="dxa"/>
          </w:tcPr>
          <w:p w14:paraId="0FB46C2E" w14:textId="77777777" w:rsidR="00EB3F80" w:rsidRPr="00EB3F80" w:rsidRDefault="00EB3F80" w:rsidP="00EB3F80">
            <w:pPr>
              <w:rPr>
                <w:rFonts w:cs="Arial"/>
                <w:b/>
                <w:color w:val="008000"/>
                <w:sz w:val="20"/>
                <w:szCs w:val="20"/>
              </w:rPr>
            </w:pPr>
            <w:r w:rsidRPr="00EB3F80">
              <w:rPr>
                <w:rFonts w:cs="Arial"/>
                <w:b/>
                <w:color w:val="008000"/>
                <w:sz w:val="20"/>
                <w:szCs w:val="20"/>
              </w:rPr>
              <w:t>Organisational Awareness</w:t>
            </w:r>
          </w:p>
        </w:tc>
        <w:tc>
          <w:tcPr>
            <w:tcW w:w="3290" w:type="dxa"/>
            <w:vAlign w:val="center"/>
          </w:tcPr>
          <w:p w14:paraId="17A6D444" w14:textId="77777777" w:rsidR="00EB3F80" w:rsidRPr="00EB3F80" w:rsidRDefault="00EB3F80" w:rsidP="00EB3F80">
            <w:pPr>
              <w:jc w:val="center"/>
              <w:rPr>
                <w:rFonts w:cs="Arial"/>
                <w:sz w:val="20"/>
                <w:szCs w:val="20"/>
              </w:rPr>
            </w:pPr>
            <w:r w:rsidRPr="00EB3F80">
              <w:rPr>
                <w:rFonts w:cs="Arial"/>
                <w:sz w:val="20"/>
                <w:szCs w:val="20"/>
              </w:rPr>
              <w:t>4</w:t>
            </w:r>
          </w:p>
        </w:tc>
      </w:tr>
      <w:tr w:rsidR="00EB3F80" w:rsidRPr="00EB3F80" w14:paraId="5434BC21" w14:textId="77777777" w:rsidTr="00EB3F80">
        <w:tc>
          <w:tcPr>
            <w:tcW w:w="2693" w:type="dxa"/>
          </w:tcPr>
          <w:p w14:paraId="408F0074" w14:textId="77777777" w:rsidR="00EB3F80" w:rsidRPr="00EB3F80" w:rsidRDefault="00EB3F80" w:rsidP="00EB3F80">
            <w:pPr>
              <w:rPr>
                <w:rFonts w:cs="Arial"/>
                <w:b/>
                <w:color w:val="008000"/>
                <w:sz w:val="20"/>
                <w:szCs w:val="20"/>
              </w:rPr>
            </w:pPr>
            <w:r w:rsidRPr="00EB3F80">
              <w:rPr>
                <w:rFonts w:cs="Arial"/>
                <w:b/>
                <w:color w:val="008000"/>
                <w:sz w:val="20"/>
                <w:szCs w:val="20"/>
              </w:rPr>
              <w:t>Strategic</w:t>
            </w:r>
          </w:p>
          <w:p w14:paraId="491130E4" w14:textId="77777777" w:rsidR="00EB3F80" w:rsidRPr="00EB3F80" w:rsidRDefault="00EB3F80" w:rsidP="00EB3F80">
            <w:pPr>
              <w:rPr>
                <w:rFonts w:cs="Arial"/>
                <w:b/>
                <w:color w:val="008000"/>
                <w:sz w:val="20"/>
                <w:szCs w:val="20"/>
              </w:rPr>
            </w:pPr>
            <w:r w:rsidRPr="00EB3F80">
              <w:rPr>
                <w:rFonts w:cs="Arial"/>
                <w:b/>
                <w:color w:val="008000"/>
                <w:sz w:val="20"/>
                <w:szCs w:val="20"/>
              </w:rPr>
              <w:t>Perspective</w:t>
            </w:r>
          </w:p>
        </w:tc>
        <w:tc>
          <w:tcPr>
            <w:tcW w:w="3290" w:type="dxa"/>
            <w:vAlign w:val="center"/>
          </w:tcPr>
          <w:p w14:paraId="338D70FF" w14:textId="77777777" w:rsidR="00EB3F80" w:rsidRPr="00EB3F80" w:rsidRDefault="00EB3F80" w:rsidP="00EB3F80">
            <w:pPr>
              <w:jc w:val="center"/>
              <w:rPr>
                <w:rFonts w:cs="Arial"/>
                <w:sz w:val="20"/>
                <w:szCs w:val="20"/>
              </w:rPr>
            </w:pPr>
            <w:r w:rsidRPr="00EB3F80">
              <w:rPr>
                <w:rFonts w:cs="Arial"/>
                <w:sz w:val="20"/>
                <w:szCs w:val="20"/>
              </w:rPr>
              <w:t>2</w:t>
            </w:r>
          </w:p>
        </w:tc>
      </w:tr>
    </w:tbl>
    <w:p w14:paraId="0622217F" w14:textId="77777777" w:rsidR="00EB3F80" w:rsidRDefault="00EB3F80" w:rsidP="00EB687D">
      <w:pPr>
        <w:rPr>
          <w:sz w:val="18"/>
          <w:szCs w:val="18"/>
        </w:rPr>
      </w:pPr>
    </w:p>
    <w:p w14:paraId="666BC101" w14:textId="77777777" w:rsidR="00EB3F80" w:rsidRDefault="00EB3F80" w:rsidP="00EB687D">
      <w:pPr>
        <w:rPr>
          <w:sz w:val="18"/>
          <w:szCs w:val="18"/>
        </w:rPr>
      </w:pPr>
    </w:p>
    <w:p w14:paraId="160B6B34" w14:textId="77777777" w:rsidR="00BE1BA8" w:rsidRDefault="00BE1BA8" w:rsidP="00EB687D"/>
    <w:p w14:paraId="4F1C6FF3" w14:textId="77777777" w:rsidR="00BE1BA8" w:rsidRDefault="00BE1BA8" w:rsidP="00EB687D">
      <w:pPr>
        <w:rPr>
          <w:b/>
        </w:rPr>
      </w:pPr>
    </w:p>
    <w:p w14:paraId="3760D690" w14:textId="77777777" w:rsidR="00BA4907" w:rsidRDefault="00BA4907" w:rsidP="00EB687D">
      <w:pPr>
        <w:rPr>
          <w:b/>
        </w:rPr>
      </w:pPr>
      <w:bookmarkStart w:id="0" w:name="_GoBack"/>
      <w:bookmarkEnd w:id="0"/>
    </w:p>
    <w:p w14:paraId="191430BA" w14:textId="77777777" w:rsidR="00BA4907" w:rsidRDefault="00BA4907" w:rsidP="00EB687D">
      <w:pPr>
        <w:rPr>
          <w:b/>
        </w:rPr>
      </w:pPr>
    </w:p>
    <w:p w14:paraId="369DFDF4" w14:textId="77777777" w:rsidR="00BA4907" w:rsidRDefault="00BA4907" w:rsidP="00EB687D">
      <w:pPr>
        <w:rPr>
          <w:b/>
        </w:rPr>
      </w:pPr>
    </w:p>
    <w:p w14:paraId="66243DD3" w14:textId="25CFD044" w:rsidR="00BA4907" w:rsidRDefault="00BA4907" w:rsidP="00EB687D">
      <w:pPr>
        <w:rPr>
          <w:b/>
        </w:rPr>
      </w:pPr>
    </w:p>
    <w:p w14:paraId="1764ACBC" w14:textId="77777777" w:rsidR="00BA4907" w:rsidRDefault="00BA4907" w:rsidP="00EB687D">
      <w:pPr>
        <w:rPr>
          <w:b/>
        </w:rPr>
      </w:pPr>
    </w:p>
    <w:p w14:paraId="0C435D0D" w14:textId="7594A02B" w:rsidR="00BA4907" w:rsidRDefault="00BA4907" w:rsidP="00EB687D">
      <w:pPr>
        <w:rPr>
          <w:b/>
        </w:rPr>
      </w:pPr>
    </w:p>
    <w:p w14:paraId="0F556A68" w14:textId="77777777" w:rsidR="00BA4907" w:rsidRDefault="00BA4907" w:rsidP="00EB687D">
      <w:pPr>
        <w:rPr>
          <w:b/>
        </w:rPr>
      </w:pPr>
    </w:p>
    <w:p w14:paraId="5ADFD17A" w14:textId="77777777" w:rsidR="00BA4907" w:rsidRDefault="00BA4907" w:rsidP="00EB687D">
      <w:pPr>
        <w:rPr>
          <w:b/>
        </w:rPr>
      </w:pPr>
    </w:p>
    <w:p w14:paraId="577409EA" w14:textId="77777777" w:rsidR="00BA4907" w:rsidRDefault="00BA4907" w:rsidP="00EB687D">
      <w:pPr>
        <w:rPr>
          <w:b/>
        </w:rPr>
      </w:pPr>
    </w:p>
    <w:p w14:paraId="19AD329F" w14:textId="77777777" w:rsidR="00BA4907" w:rsidRDefault="00BA4907" w:rsidP="00EB687D">
      <w:pPr>
        <w:rPr>
          <w:b/>
        </w:rPr>
      </w:pPr>
    </w:p>
    <w:p w14:paraId="247BC4B9" w14:textId="77777777" w:rsidR="00BA4907" w:rsidRDefault="00BA4907" w:rsidP="00EB687D">
      <w:pPr>
        <w:rPr>
          <w:b/>
        </w:rPr>
      </w:pPr>
    </w:p>
    <w:p w14:paraId="3B36A135" w14:textId="77777777" w:rsidR="00BA4907" w:rsidRDefault="00BA4907" w:rsidP="00EB687D">
      <w:pPr>
        <w:rPr>
          <w:b/>
        </w:rPr>
      </w:pPr>
    </w:p>
    <w:p w14:paraId="39D34A57" w14:textId="77777777" w:rsidR="00BA4907" w:rsidRDefault="00BA4907" w:rsidP="00EB687D">
      <w:pPr>
        <w:rPr>
          <w:b/>
        </w:rPr>
      </w:pPr>
    </w:p>
    <w:p w14:paraId="79D7CE82" w14:textId="77777777" w:rsidR="00BA4907" w:rsidRDefault="00BA4907" w:rsidP="00EB687D">
      <w:pPr>
        <w:rPr>
          <w:b/>
        </w:rPr>
      </w:pPr>
    </w:p>
    <w:p w14:paraId="671A486F" w14:textId="77777777" w:rsidR="00BA4907" w:rsidRDefault="00BA4907" w:rsidP="00EB687D">
      <w:pPr>
        <w:rPr>
          <w:b/>
        </w:rPr>
      </w:pPr>
    </w:p>
    <w:p w14:paraId="7659CA39" w14:textId="77777777" w:rsidR="00BA4907" w:rsidRDefault="00BA4907" w:rsidP="00EB687D">
      <w:pPr>
        <w:rPr>
          <w:b/>
        </w:rPr>
      </w:pPr>
    </w:p>
    <w:p w14:paraId="6DAFEF3B" w14:textId="77777777" w:rsidR="00BA4907" w:rsidRDefault="00BA4907" w:rsidP="00EB687D">
      <w:pPr>
        <w:rPr>
          <w:b/>
        </w:rPr>
      </w:pPr>
    </w:p>
    <w:p w14:paraId="11799476" w14:textId="77777777" w:rsidR="00BA4907" w:rsidRDefault="00BA4907" w:rsidP="00EB687D">
      <w:pPr>
        <w:rPr>
          <w:b/>
        </w:rPr>
      </w:pPr>
    </w:p>
    <w:p w14:paraId="0041273F" w14:textId="77777777" w:rsidR="00BA4907" w:rsidRDefault="00BA4907" w:rsidP="00EB687D">
      <w:pPr>
        <w:rPr>
          <w:b/>
        </w:rPr>
      </w:pPr>
    </w:p>
    <w:p w14:paraId="5E8B4E16" w14:textId="77777777" w:rsidR="00BA4907" w:rsidRDefault="00BA4907" w:rsidP="00EB687D">
      <w:pPr>
        <w:rPr>
          <w:b/>
        </w:rPr>
      </w:pPr>
    </w:p>
    <w:p w14:paraId="213F96A9" w14:textId="77777777" w:rsidR="00BA4907" w:rsidRDefault="00BA4907" w:rsidP="00EB687D">
      <w:pPr>
        <w:rPr>
          <w:b/>
        </w:rPr>
      </w:pPr>
    </w:p>
    <w:p w14:paraId="1F838C24" w14:textId="77777777" w:rsidR="00BA4907" w:rsidRDefault="00BA4907" w:rsidP="00EB687D">
      <w:pPr>
        <w:rPr>
          <w:b/>
        </w:rPr>
      </w:pPr>
    </w:p>
    <w:p w14:paraId="14A40424" w14:textId="77777777" w:rsidR="00BA4907" w:rsidRDefault="00BA4907" w:rsidP="00EB687D">
      <w:pPr>
        <w:rPr>
          <w:b/>
        </w:rPr>
      </w:pPr>
    </w:p>
    <w:p w14:paraId="733FA25B" w14:textId="77777777" w:rsidR="00BA4907" w:rsidRDefault="00BA4907" w:rsidP="00EB687D">
      <w:pPr>
        <w:rPr>
          <w:b/>
        </w:rPr>
      </w:pPr>
    </w:p>
    <w:p w14:paraId="6B446F9F" w14:textId="77777777" w:rsidR="00BA4907" w:rsidRPr="00BE1BA8" w:rsidRDefault="00BA4907" w:rsidP="00EB687D">
      <w:pPr>
        <w:rPr>
          <w:b/>
        </w:rPr>
      </w:pPr>
    </w:p>
    <w:sectPr w:rsidR="00BA4907"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D232" w14:textId="77777777" w:rsidR="00C9609F" w:rsidRDefault="00C9609F">
      <w:r>
        <w:separator/>
      </w:r>
    </w:p>
  </w:endnote>
  <w:endnote w:type="continuationSeparator" w:id="0">
    <w:p w14:paraId="757D2D31" w14:textId="77777777" w:rsidR="00C9609F" w:rsidRDefault="00C9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D51" w14:textId="77777777" w:rsidR="00C9609F" w:rsidRDefault="00C9609F">
      <w:r>
        <w:separator/>
      </w:r>
    </w:p>
  </w:footnote>
  <w:footnote w:type="continuationSeparator" w:id="0">
    <w:p w14:paraId="51BA69E4" w14:textId="77777777" w:rsidR="00C9609F" w:rsidRDefault="00C96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D7EB4"/>
    <w:multiLevelType w:val="hybridMultilevel"/>
    <w:tmpl w:val="424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384CDC"/>
    <w:multiLevelType w:val="hybridMultilevel"/>
    <w:tmpl w:val="7C74F2AA"/>
    <w:lvl w:ilvl="0" w:tplc="08090001">
      <w:start w:val="1"/>
      <w:numFmt w:val="bullet"/>
      <w:lvlText w:val=""/>
      <w:lvlJc w:val="left"/>
      <w:pPr>
        <w:ind w:left="1080" w:hanging="360"/>
      </w:pPr>
      <w:rPr>
        <w:rFonts w:ascii="Symbol" w:hAnsi="Symbol" w:hint="default"/>
      </w:rPr>
    </w:lvl>
    <w:lvl w:ilvl="1" w:tplc="0BE00A24">
      <w:numFmt w:val="bullet"/>
      <w:lvlText w:val="•"/>
      <w:lvlJc w:val="left"/>
      <w:pPr>
        <w:ind w:left="1800" w:hanging="360"/>
      </w:pPr>
      <w:rPr>
        <w:rFonts w:ascii="Arial" w:eastAsiaTheme="minorHAnsi" w:hAnsi="Arial" w:cs="Arial" w:hint="default"/>
        <w:sz w:val="3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42000A"/>
    <w:multiLevelType w:val="hybridMultilevel"/>
    <w:tmpl w:val="9442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89D07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8A76E0"/>
    <w:multiLevelType w:val="hybridMultilevel"/>
    <w:tmpl w:val="E202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F7C2AA5"/>
    <w:multiLevelType w:val="hybridMultilevel"/>
    <w:tmpl w:val="7D1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7DC09DA"/>
    <w:multiLevelType w:val="hybridMultilevel"/>
    <w:tmpl w:val="BE62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2"/>
  </w:num>
  <w:num w:numId="3">
    <w:abstractNumId w:val="14"/>
  </w:num>
  <w:num w:numId="4">
    <w:abstractNumId w:val="24"/>
  </w:num>
  <w:num w:numId="5">
    <w:abstractNumId w:val="1"/>
  </w:num>
  <w:num w:numId="6">
    <w:abstractNumId w:val="6"/>
  </w:num>
  <w:num w:numId="7">
    <w:abstractNumId w:val="20"/>
  </w:num>
  <w:num w:numId="8">
    <w:abstractNumId w:val="15"/>
  </w:num>
  <w:num w:numId="9">
    <w:abstractNumId w:val="5"/>
  </w:num>
  <w:num w:numId="10">
    <w:abstractNumId w:val="9"/>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8"/>
  </w:num>
  <w:num w:numId="20">
    <w:abstractNumId w:val="16"/>
  </w:num>
  <w:num w:numId="21">
    <w:abstractNumId w:val="23"/>
  </w:num>
  <w:num w:numId="22">
    <w:abstractNumId w:val="17"/>
  </w:num>
  <w:num w:numId="23">
    <w:abstractNumId w:val="13"/>
  </w:num>
  <w:num w:numId="24">
    <w:abstractNumId w:val="21"/>
  </w:num>
  <w:num w:numId="25">
    <w:abstractNumId w:val="12"/>
  </w:num>
  <w:num w:numId="2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5688"/>
    <w:rsid w:val="000D5BA4"/>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42F1"/>
    <w:rsid w:val="002276F6"/>
    <w:rsid w:val="002335E9"/>
    <w:rsid w:val="00241AA7"/>
    <w:rsid w:val="00253840"/>
    <w:rsid w:val="00253888"/>
    <w:rsid w:val="0026753A"/>
    <w:rsid w:val="00272781"/>
    <w:rsid w:val="00281B56"/>
    <w:rsid w:val="00287409"/>
    <w:rsid w:val="002902CB"/>
    <w:rsid w:val="002976AB"/>
    <w:rsid w:val="002A5E19"/>
    <w:rsid w:val="002B66D4"/>
    <w:rsid w:val="002C06AA"/>
    <w:rsid w:val="002E6F4B"/>
    <w:rsid w:val="002E7A75"/>
    <w:rsid w:val="0030129C"/>
    <w:rsid w:val="00303FA0"/>
    <w:rsid w:val="003056BE"/>
    <w:rsid w:val="0032261C"/>
    <w:rsid w:val="00343798"/>
    <w:rsid w:val="003471D4"/>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4194"/>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4310"/>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77721"/>
    <w:rsid w:val="00681475"/>
    <w:rsid w:val="00684F87"/>
    <w:rsid w:val="00686FE3"/>
    <w:rsid w:val="0069687E"/>
    <w:rsid w:val="006A2E10"/>
    <w:rsid w:val="006A3F5E"/>
    <w:rsid w:val="006B09FA"/>
    <w:rsid w:val="006B4C20"/>
    <w:rsid w:val="006B4E04"/>
    <w:rsid w:val="006D489C"/>
    <w:rsid w:val="006E3B3B"/>
    <w:rsid w:val="006E74E4"/>
    <w:rsid w:val="006F1C6A"/>
    <w:rsid w:val="006F5C38"/>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115F"/>
    <w:rsid w:val="00847299"/>
    <w:rsid w:val="00850455"/>
    <w:rsid w:val="0085090F"/>
    <w:rsid w:val="00873650"/>
    <w:rsid w:val="008808A4"/>
    <w:rsid w:val="00882A5E"/>
    <w:rsid w:val="0088338C"/>
    <w:rsid w:val="00896ED0"/>
    <w:rsid w:val="008976EC"/>
    <w:rsid w:val="008A1599"/>
    <w:rsid w:val="008B1285"/>
    <w:rsid w:val="008B13C3"/>
    <w:rsid w:val="008B7779"/>
    <w:rsid w:val="008C257A"/>
    <w:rsid w:val="008C4DAB"/>
    <w:rsid w:val="008C6E30"/>
    <w:rsid w:val="008D0F63"/>
    <w:rsid w:val="008D7AB2"/>
    <w:rsid w:val="0090353B"/>
    <w:rsid w:val="009106A1"/>
    <w:rsid w:val="00911942"/>
    <w:rsid w:val="00917C8C"/>
    <w:rsid w:val="00940B9B"/>
    <w:rsid w:val="00956BFC"/>
    <w:rsid w:val="00957CC7"/>
    <w:rsid w:val="00962233"/>
    <w:rsid w:val="00966982"/>
    <w:rsid w:val="00982C5D"/>
    <w:rsid w:val="00982F62"/>
    <w:rsid w:val="00983C0C"/>
    <w:rsid w:val="00985CBE"/>
    <w:rsid w:val="00990EA9"/>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1766"/>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3411C"/>
    <w:rsid w:val="00B44BEE"/>
    <w:rsid w:val="00B53918"/>
    <w:rsid w:val="00B53C74"/>
    <w:rsid w:val="00B60815"/>
    <w:rsid w:val="00B75B7F"/>
    <w:rsid w:val="00B77231"/>
    <w:rsid w:val="00B9448F"/>
    <w:rsid w:val="00B97A74"/>
    <w:rsid w:val="00BA37F8"/>
    <w:rsid w:val="00BA4907"/>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05BB1"/>
    <w:rsid w:val="00C11FC9"/>
    <w:rsid w:val="00C21777"/>
    <w:rsid w:val="00C27E6E"/>
    <w:rsid w:val="00C30371"/>
    <w:rsid w:val="00C40224"/>
    <w:rsid w:val="00C436F8"/>
    <w:rsid w:val="00C46A79"/>
    <w:rsid w:val="00C471E8"/>
    <w:rsid w:val="00C51A53"/>
    <w:rsid w:val="00C5406A"/>
    <w:rsid w:val="00C70614"/>
    <w:rsid w:val="00C7343F"/>
    <w:rsid w:val="00C83A53"/>
    <w:rsid w:val="00C92FF3"/>
    <w:rsid w:val="00C9609F"/>
    <w:rsid w:val="00C97F42"/>
    <w:rsid w:val="00CA2408"/>
    <w:rsid w:val="00CA3F09"/>
    <w:rsid w:val="00CC3B59"/>
    <w:rsid w:val="00CC3F72"/>
    <w:rsid w:val="00CC5295"/>
    <w:rsid w:val="00CD5035"/>
    <w:rsid w:val="00CE055A"/>
    <w:rsid w:val="00CE0D29"/>
    <w:rsid w:val="00CE5340"/>
    <w:rsid w:val="00CE791A"/>
    <w:rsid w:val="00CE79B7"/>
    <w:rsid w:val="00CF1AD5"/>
    <w:rsid w:val="00CF50CE"/>
    <w:rsid w:val="00CF5976"/>
    <w:rsid w:val="00CF5FC1"/>
    <w:rsid w:val="00D05301"/>
    <w:rsid w:val="00D21442"/>
    <w:rsid w:val="00D2411E"/>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3F80"/>
    <w:rsid w:val="00EB687D"/>
    <w:rsid w:val="00EB732F"/>
    <w:rsid w:val="00EC07F8"/>
    <w:rsid w:val="00EC138A"/>
    <w:rsid w:val="00EC53A4"/>
    <w:rsid w:val="00ED0420"/>
    <w:rsid w:val="00ED6ACF"/>
    <w:rsid w:val="00EF22A4"/>
    <w:rsid w:val="00EF481B"/>
    <w:rsid w:val="00EF6D39"/>
    <w:rsid w:val="00F013CD"/>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55C444"/>
  <w15:docId w15:val="{CD39CEE4-04E9-48B4-BD95-4744BF0B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F5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6f8f303bc525e776bf1955bc651cab1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285d0248d27717df1e7fc83f7ac191c2"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4FF6E-D609-4054-B616-1E0EFF0049CA}">
  <ds:schemaRefs>
    <ds:schemaRef ds:uri="1848a915-f24d-4e68-9840-56e7bc0b9b3f"/>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360c65b0-1cc5-427a-8427-4bd291ec2a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33F435-D745-4D1F-B606-C0B35D11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140CA-8A6F-4AEB-AE1D-B3171D0D1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2</cp:revision>
  <cp:lastPrinted>2009-12-02T09:13:00Z</cp:lastPrinted>
  <dcterms:created xsi:type="dcterms:W3CDTF">2020-10-15T13:42:00Z</dcterms:created>
  <dcterms:modified xsi:type="dcterms:W3CDTF">2020-10-15T13:42:00Z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