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CA1230" w:rsidRPr="000574AD" w:rsidRDefault="00CA1230">
      <w:pPr>
        <w:pStyle w:val="BodyTextIndent"/>
        <w:ind w:left="0"/>
        <w:jc w:val="both"/>
        <w:outlineLvl w:val="0"/>
        <w:rPr>
          <w:rFonts w:ascii="Century Gothic" w:hAnsi="Century Gothic" w:cs="Arial"/>
          <w:b/>
          <w:u w:val="single"/>
        </w:rPr>
      </w:pPr>
    </w:p>
    <w:p w14:paraId="0A37501D" w14:textId="2AE2C111" w:rsidR="00CA1230" w:rsidRPr="00D93A73" w:rsidRDefault="00CA1230" w:rsidP="000574AD">
      <w:pPr>
        <w:pStyle w:val="BodyTextIndent"/>
        <w:ind w:left="0"/>
        <w:jc w:val="both"/>
        <w:outlineLvl w:val="0"/>
        <w:rPr>
          <w:rFonts w:ascii="Century Gothic" w:hAnsi="Century Gothic" w:cs="Arial"/>
          <w:b/>
          <w:sz w:val="26"/>
          <w:szCs w:val="26"/>
          <w:u w:val="single"/>
        </w:rPr>
      </w:pPr>
      <w:r w:rsidRPr="00D93A73">
        <w:rPr>
          <w:rFonts w:ascii="Century Gothic" w:hAnsi="Century Gothic" w:cs="Arial"/>
          <w:b/>
          <w:sz w:val="26"/>
          <w:szCs w:val="26"/>
          <w:u w:val="single"/>
        </w:rPr>
        <w:t>General Background In</w:t>
      </w:r>
      <w:r w:rsidR="00047A4A" w:rsidRPr="00D93A73">
        <w:rPr>
          <w:rFonts w:ascii="Century Gothic" w:hAnsi="Century Gothic" w:cs="Arial"/>
          <w:b/>
          <w:sz w:val="26"/>
          <w:szCs w:val="26"/>
          <w:u w:val="single"/>
        </w:rPr>
        <w:t>formation for Telecommunications Development</w:t>
      </w:r>
    </w:p>
    <w:p w14:paraId="5DAB6C7B" w14:textId="77777777" w:rsidR="00151443" w:rsidRPr="000574AD" w:rsidRDefault="00151443" w:rsidP="00151443">
      <w:pPr>
        <w:pStyle w:val="BodyTextIndent"/>
        <w:ind w:left="0"/>
        <w:jc w:val="both"/>
        <w:rPr>
          <w:rFonts w:ascii="Century Gothic" w:hAnsi="Century Gothic"/>
          <w:sz w:val="24"/>
        </w:rPr>
      </w:pPr>
    </w:p>
    <w:p w14:paraId="66C6CBD8" w14:textId="757DF702" w:rsidR="00CA1230" w:rsidRPr="000574AD" w:rsidRDefault="30335D96" w:rsidP="30335D96">
      <w:pPr>
        <w:pStyle w:val="BodyTextIndent"/>
        <w:ind w:left="0"/>
        <w:jc w:val="both"/>
        <w:rPr>
          <w:rFonts w:ascii="Century Gothic" w:hAnsi="Century Gothic" w:cs="Arial"/>
          <w:sz w:val="22"/>
          <w:szCs w:val="22"/>
        </w:rPr>
      </w:pPr>
      <w:r w:rsidRPr="000574AD">
        <w:rPr>
          <w:rFonts w:ascii="Century Gothic" w:hAnsi="Century Gothic" w:cs="Arial"/>
          <w:sz w:val="22"/>
          <w:szCs w:val="22"/>
        </w:rPr>
        <w:t>This document is designed to provide general background information on the development of the</w:t>
      </w:r>
      <w:r w:rsidR="00F73728">
        <w:rPr>
          <w:rFonts w:ascii="Century Gothic" w:hAnsi="Century Gothic" w:cs="Arial"/>
          <w:sz w:val="22"/>
          <w:szCs w:val="22"/>
        </w:rPr>
        <w:t xml:space="preserve"> Cornerstone network providing mobile telecommunications coverage for </w:t>
      </w:r>
      <w:r w:rsidRPr="000574AD">
        <w:rPr>
          <w:rFonts w:ascii="Century Gothic" w:hAnsi="Century Gothic" w:cs="Arial"/>
          <w:sz w:val="22"/>
          <w:szCs w:val="22"/>
        </w:rPr>
        <w:t xml:space="preserve">Telefónica. </w:t>
      </w:r>
      <w:r w:rsidR="00F73728" w:rsidRPr="00F73728">
        <w:rPr>
          <w:rFonts w:ascii="Century Gothic" w:hAnsi="Century Gothic" w:cs="Arial"/>
          <w:sz w:val="22"/>
          <w:szCs w:val="22"/>
        </w:rPr>
        <w:t>Formed in 2012 following agreement between Telefónica UK Limited</w:t>
      </w:r>
      <w:r w:rsidR="00446BAD">
        <w:rPr>
          <w:rFonts w:ascii="Century Gothic" w:hAnsi="Century Gothic" w:cs="Arial"/>
          <w:sz w:val="22"/>
          <w:szCs w:val="22"/>
        </w:rPr>
        <w:t>,</w:t>
      </w:r>
      <w:r w:rsidR="00F73728" w:rsidRPr="00F73728">
        <w:rPr>
          <w:rFonts w:ascii="Century Gothic" w:hAnsi="Century Gothic" w:cs="Arial"/>
          <w:sz w:val="22"/>
          <w:szCs w:val="22"/>
        </w:rPr>
        <w:t xml:space="preserve"> Cornerstone enables the two companies to jointly operate and manage a single network grid across the UK.</w:t>
      </w:r>
      <w:r w:rsidR="00F73728">
        <w:rPr>
          <w:rFonts w:ascii="Century Gothic" w:hAnsi="Century Gothic" w:cs="Arial"/>
          <w:sz w:val="22"/>
          <w:szCs w:val="22"/>
        </w:rPr>
        <w:t xml:space="preserve"> This document</w:t>
      </w:r>
      <w:r w:rsidRPr="000574AD">
        <w:rPr>
          <w:rFonts w:ascii="Century Gothic" w:hAnsi="Century Gothic" w:cs="Arial"/>
          <w:sz w:val="22"/>
          <w:szCs w:val="22"/>
        </w:rPr>
        <w:t xml:space="preserve"> has been prepared for inclusion with planning applications and supports network development proposals with generic information.</w:t>
      </w:r>
      <w:bookmarkStart w:id="0" w:name="_Toc13387721"/>
      <w:bookmarkStart w:id="1" w:name="_Toc16569408"/>
      <w:bookmarkStart w:id="2" w:name="_Toc17601540"/>
      <w:bookmarkStart w:id="3" w:name="_Toc18724844"/>
      <w:r w:rsidR="00F73728">
        <w:rPr>
          <w:rFonts w:ascii="Century Gothic" w:hAnsi="Century Gothic" w:cs="Arial"/>
          <w:sz w:val="22"/>
          <w:szCs w:val="22"/>
        </w:rPr>
        <w:t xml:space="preserve"> </w:t>
      </w:r>
    </w:p>
    <w:p w14:paraId="02EB378F" w14:textId="77777777" w:rsidR="00CA1230" w:rsidRPr="000574AD" w:rsidRDefault="00CA1230">
      <w:pPr>
        <w:jc w:val="both"/>
        <w:rPr>
          <w:rFonts w:ascii="Century Gothic" w:hAnsi="Century Gothic" w:cs="Arial"/>
          <w:lang w:val="en-AU"/>
        </w:rPr>
      </w:pPr>
    </w:p>
    <w:p w14:paraId="7FFEAF7A" w14:textId="1D3E56EE" w:rsidR="00CA1230" w:rsidRPr="000574AD" w:rsidRDefault="30335D96" w:rsidP="000574AD">
      <w:pPr>
        <w:pStyle w:val="ListParagraph"/>
        <w:numPr>
          <w:ilvl w:val="0"/>
          <w:numId w:val="32"/>
        </w:numPr>
        <w:jc w:val="both"/>
        <w:rPr>
          <w:rFonts w:ascii="Century Gothic" w:hAnsi="Century Gothic" w:cs="Tahoma"/>
          <w:b/>
          <w:bCs/>
          <w:sz w:val="22"/>
          <w:szCs w:val="22"/>
          <w:u w:val="single"/>
        </w:rPr>
      </w:pPr>
      <w:bookmarkStart w:id="4" w:name="_Toc132513919"/>
      <w:r w:rsidRPr="000574AD">
        <w:rPr>
          <w:rFonts w:ascii="Century Gothic" w:hAnsi="Century Gothic" w:cs="Tahoma"/>
          <w:b/>
          <w:bCs/>
          <w:sz w:val="22"/>
          <w:szCs w:val="22"/>
          <w:u w:val="single"/>
        </w:rPr>
        <w:t>INTRODUCTION</w:t>
      </w:r>
    </w:p>
    <w:p w14:paraId="49A6C0C6" w14:textId="77777777" w:rsidR="000574AD" w:rsidRPr="000574AD" w:rsidRDefault="000574AD" w:rsidP="000574AD">
      <w:pPr>
        <w:pStyle w:val="ListParagraph"/>
        <w:ind w:left="370"/>
        <w:jc w:val="both"/>
        <w:rPr>
          <w:rFonts w:ascii="Century Gothic" w:hAnsi="Century Gothic" w:cs="Tahoma"/>
          <w:b/>
          <w:bCs/>
          <w:sz w:val="22"/>
          <w:szCs w:val="22"/>
          <w:u w:val="single"/>
        </w:rPr>
      </w:pPr>
    </w:p>
    <w:p w14:paraId="53933C31" w14:textId="2E1E896C" w:rsidR="00CA1230" w:rsidRPr="000B300C" w:rsidRDefault="30335D96" w:rsidP="30335D96">
      <w:pPr>
        <w:jc w:val="both"/>
        <w:rPr>
          <w:rFonts w:ascii="Century Gothic" w:hAnsi="Century Gothic" w:cs="Tahoma"/>
          <w:strike/>
          <w:color w:val="FF0000"/>
          <w:sz w:val="22"/>
          <w:szCs w:val="22"/>
        </w:rPr>
      </w:pPr>
      <w:r w:rsidRPr="000574AD">
        <w:rPr>
          <w:rFonts w:ascii="Century Gothic" w:hAnsi="Century Gothic" w:cs="Tahoma"/>
          <w:sz w:val="22"/>
          <w:szCs w:val="22"/>
        </w:rPr>
        <w:t xml:space="preserve">Over </w:t>
      </w:r>
      <w:r w:rsidR="00D6069D">
        <w:rPr>
          <w:rFonts w:ascii="Century Gothic" w:hAnsi="Century Gothic" w:cs="Tahoma"/>
          <w:sz w:val="22"/>
          <w:szCs w:val="22"/>
        </w:rPr>
        <w:t>30</w:t>
      </w:r>
      <w:r w:rsidRPr="000574AD">
        <w:rPr>
          <w:rFonts w:ascii="Century Gothic" w:hAnsi="Century Gothic" w:cs="Tahoma"/>
          <w:sz w:val="22"/>
          <w:szCs w:val="22"/>
        </w:rPr>
        <w:t xml:space="preserve"> years ago under the Telecommunications Act 1984, a licence was granted to </w:t>
      </w:r>
      <w:r w:rsidR="007D4C7C" w:rsidRPr="000574AD">
        <w:rPr>
          <w:rFonts w:ascii="Century Gothic" w:hAnsi="Century Gothic" w:cs="Arial"/>
          <w:sz w:val="22"/>
          <w:szCs w:val="22"/>
        </w:rPr>
        <w:t>Telefónica</w:t>
      </w:r>
      <w:r w:rsidR="007D4C7C" w:rsidRPr="000574AD">
        <w:rPr>
          <w:rFonts w:ascii="Century Gothic" w:hAnsi="Century Gothic" w:cs="Tahoma"/>
          <w:sz w:val="22"/>
          <w:szCs w:val="22"/>
        </w:rPr>
        <w:t xml:space="preserve"> </w:t>
      </w:r>
      <w:r w:rsidRPr="000574AD">
        <w:rPr>
          <w:rFonts w:ascii="Century Gothic" w:hAnsi="Century Gothic" w:cs="Tahoma"/>
          <w:sz w:val="22"/>
          <w:szCs w:val="22"/>
        </w:rPr>
        <w:t xml:space="preserve">to provide wireless (or mobile) phone services utilising unused radio frequencies adjacent to those transmitted for over 50 years by the television industry. Initially, because this wireless technology was new and the number of potential customers unknown, a number of tall masts were used to provide basic radio coverage to the main populated areas. </w:t>
      </w:r>
      <w:r w:rsidR="000B300C">
        <w:rPr>
          <w:rFonts w:ascii="Century Gothic" w:hAnsi="Century Gothic" w:cs="Tahoma"/>
          <w:sz w:val="22"/>
          <w:szCs w:val="22"/>
        </w:rPr>
        <w:t>As</w:t>
      </w:r>
      <w:r w:rsidR="002678D3">
        <w:rPr>
          <w:rFonts w:ascii="Century Gothic" w:hAnsi="Century Gothic" w:cs="Tahoma"/>
          <w:sz w:val="22"/>
          <w:szCs w:val="22"/>
        </w:rPr>
        <w:t xml:space="preserve"> the way we use our phones</w:t>
      </w:r>
      <w:r w:rsidR="005632EE">
        <w:rPr>
          <w:rFonts w:ascii="Century Gothic" w:hAnsi="Century Gothic" w:cs="Tahoma"/>
          <w:sz w:val="22"/>
          <w:szCs w:val="22"/>
        </w:rPr>
        <w:t>,</w:t>
      </w:r>
      <w:r w:rsidR="002678D3">
        <w:rPr>
          <w:rFonts w:ascii="Century Gothic" w:hAnsi="Century Gothic" w:cs="Tahoma"/>
          <w:sz w:val="22"/>
          <w:szCs w:val="22"/>
        </w:rPr>
        <w:t xml:space="preserve"> </w:t>
      </w:r>
      <w:r w:rsidR="005632EE">
        <w:rPr>
          <w:rFonts w:ascii="Century Gothic" w:hAnsi="Century Gothic" w:cs="Tahoma"/>
          <w:sz w:val="22"/>
          <w:szCs w:val="22"/>
        </w:rPr>
        <w:t xml:space="preserve">and other technology, </w:t>
      </w:r>
      <w:r w:rsidR="002678D3">
        <w:rPr>
          <w:rFonts w:ascii="Century Gothic" w:hAnsi="Century Gothic" w:cs="Tahoma"/>
          <w:sz w:val="22"/>
          <w:szCs w:val="22"/>
        </w:rPr>
        <w:t xml:space="preserve">has changed over the past 30 years, so has the requirement for where base stations must be located. </w:t>
      </w:r>
      <w:r w:rsidR="002678D3" w:rsidRPr="000574AD">
        <w:rPr>
          <w:rFonts w:ascii="Century Gothic" w:hAnsi="Century Gothic" w:cs="Arial"/>
          <w:snapToGrid w:val="0"/>
          <w:sz w:val="22"/>
          <w:szCs w:val="22"/>
        </w:rPr>
        <w:t>Due to the increased data transfer</w:t>
      </w:r>
      <w:r w:rsidR="002678D3">
        <w:rPr>
          <w:rFonts w:ascii="Century Gothic" w:hAnsi="Century Gothic" w:cs="Arial"/>
          <w:snapToGrid w:val="0"/>
          <w:sz w:val="22"/>
          <w:szCs w:val="22"/>
        </w:rPr>
        <w:t xml:space="preserve"> necessary for the latest telecommunication services</w:t>
      </w:r>
      <w:r w:rsidR="002678D3" w:rsidRPr="000574AD">
        <w:rPr>
          <w:rFonts w:ascii="Century Gothic" w:hAnsi="Century Gothic" w:cs="Arial"/>
          <w:snapToGrid w:val="0"/>
          <w:sz w:val="22"/>
          <w:szCs w:val="22"/>
        </w:rPr>
        <w:t xml:space="preserve">, </w:t>
      </w:r>
      <w:r w:rsidR="002678D3">
        <w:rPr>
          <w:rFonts w:ascii="Century Gothic" w:hAnsi="Century Gothic" w:cs="Arial"/>
          <w:snapToGrid w:val="0"/>
          <w:sz w:val="22"/>
          <w:szCs w:val="22"/>
        </w:rPr>
        <w:t>b</w:t>
      </w:r>
      <w:r w:rsidR="002678D3" w:rsidRPr="000574AD">
        <w:rPr>
          <w:rFonts w:ascii="Century Gothic" w:hAnsi="Century Gothic" w:cs="Arial"/>
          <w:snapToGrid w:val="0"/>
          <w:sz w:val="22"/>
          <w:szCs w:val="22"/>
        </w:rPr>
        <w:t>ase stations must be located where the local demand exists</w:t>
      </w:r>
      <w:r w:rsidR="002678D3">
        <w:rPr>
          <w:rFonts w:ascii="Century Gothic" w:hAnsi="Century Gothic" w:cs="Arial"/>
          <w:snapToGrid w:val="0"/>
          <w:sz w:val="22"/>
          <w:szCs w:val="22"/>
        </w:rPr>
        <w:t>.</w:t>
      </w:r>
      <w:r w:rsidR="000B300C">
        <w:rPr>
          <w:rFonts w:ascii="Century Gothic" w:hAnsi="Century Gothic" w:cs="Tahoma"/>
          <w:sz w:val="22"/>
          <w:szCs w:val="22"/>
        </w:rPr>
        <w:t xml:space="preserve"> </w:t>
      </w:r>
    </w:p>
    <w:p w14:paraId="23D10DA3" w14:textId="339A76D4" w:rsidR="00CA1230" w:rsidRDefault="30335D96" w:rsidP="000574AD">
      <w:pPr>
        <w:pStyle w:val="Heading1"/>
        <w:numPr>
          <w:ilvl w:val="0"/>
          <w:numId w:val="32"/>
        </w:numPr>
        <w:jc w:val="both"/>
        <w:rPr>
          <w:rFonts w:ascii="Century Gothic" w:hAnsi="Century Gothic" w:cs="Arial"/>
          <w:sz w:val="22"/>
          <w:szCs w:val="22"/>
        </w:rPr>
      </w:pPr>
      <w:bookmarkStart w:id="5" w:name="_Hlk14167409"/>
      <w:r w:rsidRPr="000574AD">
        <w:rPr>
          <w:rFonts w:ascii="Century Gothic" w:hAnsi="Century Gothic" w:cs="Arial"/>
          <w:sz w:val="22"/>
          <w:szCs w:val="22"/>
        </w:rPr>
        <w:t xml:space="preserve">DIGITAL NETWORKs </w:t>
      </w:r>
      <w:bookmarkEnd w:id="0"/>
      <w:bookmarkEnd w:id="1"/>
      <w:bookmarkEnd w:id="2"/>
      <w:bookmarkEnd w:id="3"/>
      <w:bookmarkEnd w:id="4"/>
    </w:p>
    <w:bookmarkEnd w:id="5"/>
    <w:p w14:paraId="34AB8858" w14:textId="77777777" w:rsidR="000574AD" w:rsidRPr="000574AD" w:rsidRDefault="000574AD" w:rsidP="000574AD">
      <w:pPr>
        <w:pStyle w:val="ListParagraph"/>
        <w:ind w:left="370"/>
        <w:rPr>
          <w:lang w:val="en-AU"/>
        </w:rPr>
      </w:pPr>
    </w:p>
    <w:p w14:paraId="018CFE61" w14:textId="4D73AE99" w:rsidR="00CA1230" w:rsidRPr="000574AD" w:rsidRDefault="30335D96" w:rsidP="30335D96">
      <w:pPr>
        <w:pStyle w:val="BodyText"/>
        <w:ind w:left="0"/>
        <w:rPr>
          <w:rFonts w:ascii="Century Gothic" w:hAnsi="Century Gothic" w:cs="Arial"/>
          <w:sz w:val="22"/>
          <w:szCs w:val="22"/>
        </w:rPr>
      </w:pPr>
      <w:r w:rsidRPr="000574AD">
        <w:rPr>
          <w:rFonts w:ascii="Century Gothic" w:hAnsi="Century Gothic" w:cs="Arial"/>
          <w:sz w:val="22"/>
          <w:szCs w:val="22"/>
        </w:rPr>
        <w:t xml:space="preserve">The </w:t>
      </w:r>
      <w:r w:rsidR="007D4C7C" w:rsidRPr="000574AD">
        <w:rPr>
          <w:rFonts w:ascii="Century Gothic" w:hAnsi="Century Gothic" w:cs="Arial"/>
          <w:sz w:val="22"/>
          <w:szCs w:val="22"/>
        </w:rPr>
        <w:t xml:space="preserve">Telefónica </w:t>
      </w:r>
      <w:r w:rsidRPr="000574AD">
        <w:rPr>
          <w:rFonts w:ascii="Century Gothic" w:hAnsi="Century Gothic" w:cs="Arial"/>
          <w:sz w:val="22"/>
          <w:szCs w:val="22"/>
        </w:rPr>
        <w:t xml:space="preserve">2G digital networks were developed in the early 1990s. This digital technology is often referred to as GSM (Global System for Mobile Communications) which is the common European operating standard enabling phones to inter-connect to other networks throughout Europe and Internationally. </w:t>
      </w:r>
    </w:p>
    <w:p w14:paraId="3BA4B121" w14:textId="193F0598" w:rsidR="00CA1230" w:rsidRPr="000574AD" w:rsidRDefault="30335D96" w:rsidP="30335D96">
      <w:pPr>
        <w:pStyle w:val="BodyText"/>
        <w:ind w:left="0"/>
        <w:rPr>
          <w:rFonts w:ascii="Century Gothic" w:hAnsi="Century Gothic" w:cs="Arial"/>
          <w:sz w:val="22"/>
          <w:szCs w:val="22"/>
        </w:rPr>
      </w:pPr>
      <w:r w:rsidRPr="000574AD">
        <w:rPr>
          <w:rFonts w:ascii="Century Gothic" w:hAnsi="Century Gothic" w:cs="Arial"/>
          <w:sz w:val="22"/>
          <w:szCs w:val="22"/>
        </w:rPr>
        <w:t xml:space="preserve">In 2000, </w:t>
      </w:r>
      <w:r w:rsidR="007D4C7C" w:rsidRPr="000574AD">
        <w:rPr>
          <w:rFonts w:ascii="Century Gothic" w:hAnsi="Century Gothic" w:cs="Arial"/>
          <w:sz w:val="22"/>
          <w:szCs w:val="22"/>
        </w:rPr>
        <w:t>Telefónica</w:t>
      </w:r>
      <w:r w:rsidR="007D4C7C">
        <w:rPr>
          <w:rFonts w:ascii="Century Gothic" w:hAnsi="Century Gothic" w:cs="Arial"/>
          <w:sz w:val="22"/>
          <w:szCs w:val="22"/>
        </w:rPr>
        <w:t xml:space="preserve"> </w:t>
      </w:r>
      <w:r w:rsidR="00B21B18">
        <w:rPr>
          <w:rFonts w:ascii="Century Gothic" w:hAnsi="Century Gothic" w:cs="Arial"/>
          <w:sz w:val="22"/>
          <w:szCs w:val="22"/>
        </w:rPr>
        <w:t>launched</w:t>
      </w:r>
      <w:r w:rsidR="002678D3">
        <w:rPr>
          <w:rFonts w:ascii="Century Gothic" w:hAnsi="Century Gothic" w:cs="Arial"/>
          <w:sz w:val="22"/>
          <w:szCs w:val="22"/>
        </w:rPr>
        <w:t xml:space="preserve"> their</w:t>
      </w:r>
      <w:r w:rsidRPr="000574AD">
        <w:rPr>
          <w:rFonts w:ascii="Century Gothic" w:hAnsi="Century Gothic" w:cs="Arial"/>
          <w:sz w:val="22"/>
          <w:szCs w:val="22"/>
        </w:rPr>
        <w:t xml:space="preserve"> ‘Third Generation’ mobile telecommunications service known as 3G or UMTS. In addition to voice services, this </w:t>
      </w:r>
      <w:r w:rsidR="002678D3">
        <w:rPr>
          <w:rFonts w:ascii="Century Gothic" w:hAnsi="Century Gothic" w:cs="Arial"/>
          <w:sz w:val="22"/>
          <w:szCs w:val="22"/>
        </w:rPr>
        <w:t>allowed</w:t>
      </w:r>
      <w:r w:rsidRPr="000574AD">
        <w:rPr>
          <w:rFonts w:ascii="Century Gothic" w:hAnsi="Century Gothic" w:cs="Arial"/>
          <w:sz w:val="22"/>
          <w:szCs w:val="22"/>
        </w:rPr>
        <w:t xml:space="preserve"> broadband access to the Internet for mobile phones and laptop computer data card users.</w:t>
      </w:r>
    </w:p>
    <w:p w14:paraId="72F18A3F" w14:textId="1FC1B0A0" w:rsidR="00CA7CE2" w:rsidRDefault="00C5460C" w:rsidP="30335D96">
      <w:pPr>
        <w:pStyle w:val="BodyText"/>
        <w:ind w:left="0"/>
        <w:rPr>
          <w:rFonts w:ascii="Century Gothic" w:hAnsi="Century Gothic" w:cs="Arial"/>
          <w:sz w:val="22"/>
          <w:szCs w:val="22"/>
        </w:rPr>
      </w:pPr>
      <w:r>
        <w:rPr>
          <w:rFonts w:ascii="Century Gothic" w:hAnsi="Century Gothic" w:cs="Arial"/>
          <w:sz w:val="22"/>
          <w:szCs w:val="22"/>
        </w:rPr>
        <w:t>2013 saw the launch of</w:t>
      </w:r>
      <w:r w:rsidR="00CA7CE2" w:rsidRPr="000574AD">
        <w:rPr>
          <w:rFonts w:ascii="Century Gothic" w:hAnsi="Century Gothic" w:cs="Arial"/>
          <w:sz w:val="22"/>
          <w:szCs w:val="22"/>
        </w:rPr>
        <w:t xml:space="preserve"> 4G </w:t>
      </w:r>
      <w:r>
        <w:rPr>
          <w:rFonts w:ascii="Century Gothic" w:hAnsi="Century Gothic" w:cs="Arial"/>
          <w:sz w:val="22"/>
          <w:szCs w:val="22"/>
        </w:rPr>
        <w:t xml:space="preserve">services on the </w:t>
      </w:r>
      <w:r w:rsidR="00F73728">
        <w:rPr>
          <w:rFonts w:ascii="Century Gothic" w:hAnsi="Century Gothic" w:cs="Arial"/>
          <w:sz w:val="22"/>
          <w:szCs w:val="22"/>
        </w:rPr>
        <w:t xml:space="preserve">Cornerstone </w:t>
      </w:r>
      <w:r>
        <w:rPr>
          <w:rFonts w:ascii="Century Gothic" w:hAnsi="Century Gothic" w:cs="Arial"/>
          <w:sz w:val="22"/>
          <w:szCs w:val="22"/>
        </w:rPr>
        <w:t xml:space="preserve">network. </w:t>
      </w:r>
      <w:r w:rsidR="00CA7CE2" w:rsidRPr="000574AD">
        <w:rPr>
          <w:rFonts w:ascii="Century Gothic" w:hAnsi="Century Gothic" w:cs="Arial"/>
          <w:sz w:val="22"/>
          <w:szCs w:val="22"/>
        </w:rPr>
        <w:t xml:space="preserve"> </w:t>
      </w:r>
      <w:r>
        <w:rPr>
          <w:rFonts w:ascii="Century Gothic" w:hAnsi="Century Gothic" w:cs="Arial"/>
          <w:sz w:val="22"/>
          <w:szCs w:val="22"/>
        </w:rPr>
        <w:t>This technology allows for</w:t>
      </w:r>
      <w:r w:rsidR="00CA7CE2" w:rsidRPr="000574AD">
        <w:rPr>
          <w:rFonts w:ascii="Century Gothic" w:hAnsi="Century Gothic" w:cs="Arial"/>
          <w:sz w:val="22"/>
          <w:szCs w:val="22"/>
        </w:rPr>
        <w:t xml:space="preserve"> ultra-fast speeds when browsing the internet, streaming videos or sending emails. It also enables faster downloads.</w:t>
      </w:r>
    </w:p>
    <w:p w14:paraId="3E0AD1C8" w14:textId="70003068" w:rsidR="005632EE" w:rsidRDefault="005632EE" w:rsidP="30335D96">
      <w:pPr>
        <w:pStyle w:val="BodyText"/>
        <w:ind w:left="0"/>
        <w:rPr>
          <w:rFonts w:ascii="Century Gothic" w:hAnsi="Century Gothic" w:cs="Arial"/>
          <w:sz w:val="22"/>
          <w:szCs w:val="22"/>
        </w:rPr>
      </w:pPr>
      <w:r>
        <w:rPr>
          <w:rFonts w:ascii="Century Gothic" w:hAnsi="Century Gothic" w:cs="Arial"/>
          <w:sz w:val="22"/>
          <w:szCs w:val="22"/>
        </w:rPr>
        <w:t>2019 will see the introduction of 5G services, with the ambition of the Government for the UK to become a world leader in this technology</w:t>
      </w:r>
      <w:r w:rsidR="00242D30">
        <w:rPr>
          <w:rFonts w:ascii="Century Gothic" w:hAnsi="Century Gothic" w:cs="Arial"/>
          <w:sz w:val="22"/>
          <w:szCs w:val="22"/>
        </w:rPr>
        <w:t>. This will ensure early advantage is taken of its potential and the UK creates a world-leading digital economy that works for everyone.</w:t>
      </w:r>
    </w:p>
    <w:p w14:paraId="151334D6" w14:textId="102B31E8" w:rsidR="007E43A0" w:rsidRDefault="007E43A0" w:rsidP="0014231B">
      <w:pPr>
        <w:pStyle w:val="Heading1"/>
        <w:jc w:val="both"/>
        <w:rPr>
          <w:rFonts w:ascii="Century Gothic" w:hAnsi="Century Gothic" w:cs="Arial"/>
          <w:sz w:val="22"/>
          <w:szCs w:val="22"/>
        </w:rPr>
      </w:pPr>
      <w:bookmarkStart w:id="6" w:name="_Hlk14168164"/>
      <w:r w:rsidRPr="007E43A0">
        <w:rPr>
          <w:rFonts w:ascii="Century Gothic" w:hAnsi="Century Gothic" w:cs="Arial"/>
          <w:sz w:val="22"/>
          <w:szCs w:val="22"/>
          <w:u w:val="none"/>
        </w:rPr>
        <w:t>2.</w:t>
      </w:r>
      <w:r w:rsidR="0014231B">
        <w:rPr>
          <w:rFonts w:ascii="Century Gothic" w:hAnsi="Century Gothic" w:cs="Arial"/>
          <w:sz w:val="22"/>
          <w:szCs w:val="22"/>
          <w:u w:val="none"/>
        </w:rPr>
        <w:t>1</w:t>
      </w:r>
      <w:r w:rsidRPr="0014231B">
        <w:rPr>
          <w:rFonts w:ascii="Century Gothic" w:hAnsi="Century Gothic" w:cs="Arial"/>
          <w:sz w:val="22"/>
          <w:szCs w:val="22"/>
          <w:u w:val="none"/>
        </w:rPr>
        <w:t xml:space="preserve"> </w:t>
      </w:r>
      <w:r>
        <w:rPr>
          <w:rFonts w:ascii="Century Gothic" w:hAnsi="Century Gothic" w:cs="Arial"/>
          <w:sz w:val="22"/>
          <w:szCs w:val="22"/>
        </w:rPr>
        <w:t>What is 5G?</w:t>
      </w:r>
      <w:r w:rsidRPr="000574AD">
        <w:rPr>
          <w:rFonts w:ascii="Century Gothic" w:hAnsi="Century Gothic" w:cs="Arial"/>
          <w:sz w:val="22"/>
          <w:szCs w:val="22"/>
        </w:rPr>
        <w:t xml:space="preserve"> </w:t>
      </w:r>
      <w:bookmarkEnd w:id="6"/>
    </w:p>
    <w:p w14:paraId="2D054BB3" w14:textId="77777777" w:rsidR="0014231B" w:rsidRPr="0014231B" w:rsidRDefault="0014231B" w:rsidP="0014231B">
      <w:pPr>
        <w:rPr>
          <w:rFonts w:eastAsia="Calibri"/>
          <w:lang w:val="en-AU"/>
        </w:rPr>
      </w:pPr>
    </w:p>
    <w:p w14:paraId="01A162B0" w14:textId="2BF8AC4B"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5G is the new generation of wireless technology and will deliver the reliable and faster networks of the future. 5G will change how we understand wireless connectivity, moving from something we experience through personal devices to an integrated infrastructure of buildings, transport and utilities, providing enormous benefits for citizens, businesses and </w:t>
      </w:r>
      <w:r w:rsidR="00E27A62">
        <w:rPr>
          <w:rFonts w:ascii="Century Gothic" w:eastAsia="Calibri" w:hAnsi="Century Gothic"/>
          <w:sz w:val="22"/>
          <w:szCs w:val="22"/>
        </w:rPr>
        <w:t>urban regions</w:t>
      </w:r>
      <w:r w:rsidRPr="007E43A0">
        <w:rPr>
          <w:rFonts w:ascii="Century Gothic" w:eastAsia="Calibri" w:hAnsi="Century Gothic"/>
          <w:sz w:val="22"/>
          <w:szCs w:val="22"/>
        </w:rPr>
        <w:t xml:space="preserve"> alike.</w:t>
      </w:r>
    </w:p>
    <w:p w14:paraId="2753B249" w14:textId="168FE390"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5G will provide a new level of underlying connectivity to transform services and create new digital ecosystems that will deliver cost and time savings and new amenities to </w:t>
      </w:r>
      <w:r w:rsidR="00E27A62">
        <w:rPr>
          <w:rFonts w:ascii="Century Gothic" w:eastAsia="Calibri" w:hAnsi="Century Gothic"/>
          <w:sz w:val="22"/>
          <w:szCs w:val="22"/>
        </w:rPr>
        <w:t xml:space="preserve">the </w:t>
      </w:r>
      <w:r w:rsidR="00E27A62">
        <w:rPr>
          <w:rFonts w:ascii="Century Gothic" w:eastAsia="Calibri" w:hAnsi="Century Gothic"/>
          <w:sz w:val="22"/>
          <w:szCs w:val="22"/>
        </w:rPr>
        <w:lastRenderedPageBreak/>
        <w:t>regions</w:t>
      </w:r>
      <w:r w:rsidRPr="007E43A0">
        <w:rPr>
          <w:rFonts w:ascii="Century Gothic" w:eastAsia="Calibri" w:hAnsi="Century Gothic"/>
          <w:sz w:val="22"/>
          <w:szCs w:val="22"/>
        </w:rPr>
        <w:t xml:space="preserve"> inhabitants. With the ability to connect one million devices per square kilometre</w:t>
      </w:r>
      <w:r w:rsidR="00976528">
        <w:rPr>
          <w:rStyle w:val="FootnoteReference"/>
          <w:rFonts w:ascii="Century Gothic" w:eastAsia="Calibri" w:hAnsi="Century Gothic"/>
          <w:sz w:val="22"/>
          <w:szCs w:val="22"/>
        </w:rPr>
        <w:footnoteReference w:id="1"/>
      </w:r>
      <w:r w:rsidRPr="007E43A0">
        <w:rPr>
          <w:rFonts w:ascii="Century Gothic" w:eastAsia="Calibri" w:hAnsi="Century Gothic"/>
          <w:sz w:val="22"/>
          <w:szCs w:val="22"/>
        </w:rPr>
        <w:t xml:space="preserve">,  5G is to offer higher speeds and capacity than anything that has come before. </w:t>
      </w:r>
    </w:p>
    <w:p w14:paraId="50EB64C6" w14:textId="77777777"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Whether it be in the healthcare, transport, energy or retail sectors, 5G will reshape how we use these services and will bring substantial savings to households, businesses and Councils.</w:t>
      </w:r>
    </w:p>
    <w:p w14:paraId="06B84582" w14:textId="29990A20" w:rsidR="007E43A0" w:rsidRDefault="00AE0216" w:rsidP="00AE0216">
      <w:pPr>
        <w:pStyle w:val="Heading1"/>
        <w:rPr>
          <w:rFonts w:ascii="Century Gothic" w:hAnsi="Century Gothic" w:cs="Arial"/>
          <w:sz w:val="22"/>
          <w:szCs w:val="22"/>
        </w:rPr>
      </w:pPr>
      <w:r w:rsidRPr="0014231B">
        <w:rPr>
          <w:rFonts w:ascii="Century Gothic" w:hAnsi="Century Gothic" w:cs="Arial"/>
          <w:sz w:val="22"/>
          <w:szCs w:val="22"/>
          <w:u w:val="none"/>
        </w:rPr>
        <w:t>2.</w:t>
      </w:r>
      <w:r w:rsidR="0014231B">
        <w:rPr>
          <w:rFonts w:ascii="Century Gothic" w:hAnsi="Century Gothic" w:cs="Arial"/>
          <w:sz w:val="22"/>
          <w:szCs w:val="22"/>
          <w:u w:val="none"/>
        </w:rPr>
        <w:t>2</w:t>
      </w:r>
      <w:r w:rsidR="0014231B" w:rsidRPr="0014231B">
        <w:rPr>
          <w:rFonts w:ascii="Century Gothic" w:hAnsi="Century Gothic" w:cs="Arial"/>
          <w:sz w:val="22"/>
          <w:szCs w:val="22"/>
          <w:u w:val="none"/>
        </w:rPr>
        <w:t xml:space="preserve"> </w:t>
      </w:r>
      <w:r>
        <w:rPr>
          <w:rFonts w:ascii="Century Gothic" w:hAnsi="Century Gothic" w:cs="Arial"/>
          <w:sz w:val="22"/>
          <w:szCs w:val="22"/>
        </w:rPr>
        <w:t>What Infrastructure does 5g require?</w:t>
      </w:r>
      <w:r w:rsidRPr="000574AD">
        <w:rPr>
          <w:rFonts w:ascii="Century Gothic" w:hAnsi="Century Gothic" w:cs="Arial"/>
          <w:sz w:val="22"/>
          <w:szCs w:val="22"/>
        </w:rPr>
        <w:t xml:space="preserve"> </w:t>
      </w:r>
    </w:p>
    <w:p w14:paraId="5E49FB46" w14:textId="77777777" w:rsidR="00AE0216" w:rsidRPr="00AE0216" w:rsidRDefault="00AE0216" w:rsidP="00AE0216">
      <w:pPr>
        <w:pStyle w:val="ListParagraph"/>
        <w:ind w:left="1090"/>
        <w:rPr>
          <w:lang w:val="en-AU"/>
        </w:rPr>
      </w:pPr>
    </w:p>
    <w:p w14:paraId="664F373C" w14:textId="0BE98276"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For these benefits to be delivered and to ensure </w:t>
      </w:r>
      <w:r w:rsidR="00811B1A">
        <w:rPr>
          <w:rFonts w:ascii="Century Gothic" w:eastAsia="Calibri" w:hAnsi="Century Gothic"/>
          <w:sz w:val="22"/>
          <w:szCs w:val="22"/>
        </w:rPr>
        <w:t>the UKs regions</w:t>
      </w:r>
      <w:r w:rsidRPr="007E43A0">
        <w:rPr>
          <w:rFonts w:ascii="Century Gothic" w:eastAsia="Calibri" w:hAnsi="Century Gothic"/>
          <w:sz w:val="22"/>
          <w:szCs w:val="22"/>
        </w:rPr>
        <w:t xml:space="preserve"> do not fall behind their national and international counterparts, there must be further investment in digital infrastructure. </w:t>
      </w:r>
      <w:r w:rsidR="00A17E66">
        <w:rPr>
          <w:rFonts w:ascii="Century Gothic" w:eastAsia="Calibri" w:hAnsi="Century Gothic"/>
          <w:sz w:val="22"/>
          <w:szCs w:val="22"/>
        </w:rPr>
        <w:t>5G uses h</w:t>
      </w:r>
      <w:r w:rsidRPr="007E43A0">
        <w:rPr>
          <w:rFonts w:ascii="Century Gothic" w:eastAsia="Calibri" w:hAnsi="Century Gothic"/>
          <w:sz w:val="22"/>
          <w:szCs w:val="22"/>
        </w:rPr>
        <w:t xml:space="preserve">igher frequency radio </w:t>
      </w:r>
      <w:r w:rsidR="00A17E66">
        <w:rPr>
          <w:rFonts w:ascii="Century Gothic" w:eastAsia="Calibri" w:hAnsi="Century Gothic"/>
          <w:sz w:val="22"/>
          <w:szCs w:val="22"/>
        </w:rPr>
        <w:t>signals that have a</w:t>
      </w:r>
      <w:r w:rsidR="00A17E66" w:rsidRPr="007E43A0">
        <w:rPr>
          <w:rFonts w:ascii="Century Gothic" w:eastAsia="Calibri" w:hAnsi="Century Gothic"/>
          <w:sz w:val="22"/>
          <w:szCs w:val="22"/>
        </w:rPr>
        <w:t xml:space="preserve"> shorter range </w:t>
      </w:r>
      <w:r w:rsidR="00A17E66">
        <w:rPr>
          <w:rFonts w:ascii="Century Gothic" w:eastAsia="Calibri" w:hAnsi="Century Gothic"/>
          <w:sz w:val="22"/>
          <w:szCs w:val="22"/>
        </w:rPr>
        <w:t xml:space="preserve">and </w:t>
      </w:r>
      <w:r w:rsidRPr="007E43A0">
        <w:rPr>
          <w:rFonts w:ascii="Century Gothic" w:eastAsia="Calibri" w:hAnsi="Century Gothic"/>
          <w:sz w:val="22"/>
          <w:szCs w:val="22"/>
        </w:rPr>
        <w:t>will requir</w:t>
      </w:r>
      <w:r w:rsidR="00A17E66">
        <w:rPr>
          <w:rFonts w:ascii="Century Gothic" w:eastAsia="Calibri" w:hAnsi="Century Gothic"/>
          <w:sz w:val="22"/>
          <w:szCs w:val="22"/>
        </w:rPr>
        <w:t xml:space="preserve">e </w:t>
      </w:r>
      <w:r w:rsidRPr="007E43A0">
        <w:rPr>
          <w:rFonts w:ascii="Century Gothic" w:eastAsia="Calibri" w:hAnsi="Century Gothic"/>
          <w:sz w:val="22"/>
          <w:szCs w:val="22"/>
        </w:rPr>
        <w:t xml:space="preserve">more </w:t>
      </w:r>
      <w:r w:rsidR="00A17E66">
        <w:rPr>
          <w:rFonts w:ascii="Century Gothic" w:eastAsia="Calibri" w:hAnsi="Century Gothic"/>
          <w:sz w:val="22"/>
          <w:szCs w:val="22"/>
        </w:rPr>
        <w:t>base station sites</w:t>
      </w:r>
      <w:r w:rsidRPr="007E43A0">
        <w:rPr>
          <w:rFonts w:ascii="Century Gothic" w:eastAsia="Calibri" w:hAnsi="Century Gothic"/>
          <w:sz w:val="22"/>
          <w:szCs w:val="22"/>
        </w:rPr>
        <w:t xml:space="preserve"> than the existing network</w:t>
      </w:r>
      <w:r w:rsidR="00AE0216">
        <w:rPr>
          <w:rFonts w:ascii="Century Gothic" w:eastAsia="Calibri" w:hAnsi="Century Gothic"/>
          <w:sz w:val="22"/>
          <w:szCs w:val="22"/>
        </w:rPr>
        <w:t>s</w:t>
      </w:r>
      <w:r w:rsidRPr="007E43A0">
        <w:rPr>
          <w:rFonts w:ascii="Century Gothic" w:eastAsia="Calibri" w:hAnsi="Century Gothic"/>
          <w:sz w:val="22"/>
          <w:szCs w:val="22"/>
        </w:rPr>
        <w:t xml:space="preserve">. </w:t>
      </w:r>
    </w:p>
    <w:p w14:paraId="652DE386" w14:textId="2DB68563" w:rsidR="007E43A0" w:rsidRPr="007E43A0" w:rsidRDefault="007E43A0" w:rsidP="30335D96">
      <w:pPr>
        <w:pStyle w:val="BodyText"/>
        <w:ind w:left="0"/>
        <w:rPr>
          <w:rFonts w:ascii="Century Gothic" w:hAnsi="Century Gothic" w:cs="Arial"/>
          <w:sz w:val="22"/>
          <w:szCs w:val="22"/>
        </w:rPr>
      </w:pPr>
      <w:r w:rsidRPr="007E43A0">
        <w:rPr>
          <w:rFonts w:ascii="Century Gothic" w:eastAsia="Calibri" w:hAnsi="Century Gothic"/>
          <w:spacing w:val="0"/>
          <w:sz w:val="22"/>
          <w:szCs w:val="22"/>
        </w:rPr>
        <w:t>As 5G is to deliver new technology, so too the infrastructure required is different than that necessary to provide the previous generations of connectivity. Wherever possible, existing installations will be utilised to accommodate the necessary infrastructure. In certain cases the upgrade of service will require a dual pole solution for sites which currently have a single pole design. Due to the beamforming technology required for 5G service, the antenna height in many cases must be greater than that for previous generation technology.</w:t>
      </w:r>
    </w:p>
    <w:p w14:paraId="7A7A96C3" w14:textId="69D7ECD5" w:rsidR="00CA1230" w:rsidRPr="000574AD" w:rsidRDefault="30335D96" w:rsidP="30335D96">
      <w:pPr>
        <w:pStyle w:val="Heading1"/>
        <w:jc w:val="both"/>
        <w:rPr>
          <w:rFonts w:ascii="Century Gothic" w:hAnsi="Century Gothic" w:cs="Arial"/>
          <w:b w:val="0"/>
          <w:caps w:val="0"/>
          <w:sz w:val="22"/>
          <w:szCs w:val="22"/>
          <w:u w:val="none"/>
        </w:rPr>
      </w:pPr>
      <w:r w:rsidRPr="000574AD">
        <w:rPr>
          <w:rFonts w:ascii="Century Gothic" w:hAnsi="Century Gothic" w:cs="Arial"/>
          <w:b w:val="0"/>
          <w:caps w:val="0"/>
          <w:sz w:val="22"/>
          <w:szCs w:val="22"/>
          <w:u w:val="none"/>
        </w:rPr>
        <w:t xml:space="preserve">It is very important to note that mobiles can only work with a network of base stations in place where people want to use their phones (or other wireless devices). Without base stations, the </w:t>
      </w:r>
      <w:r w:rsidR="004938F6">
        <w:rPr>
          <w:rFonts w:ascii="Century Gothic" w:hAnsi="Century Gothic" w:cs="Arial"/>
          <w:b w:val="0"/>
          <w:caps w:val="0"/>
          <w:sz w:val="22"/>
          <w:szCs w:val="22"/>
          <w:u w:val="none"/>
        </w:rPr>
        <w:t>technology</w:t>
      </w:r>
      <w:r w:rsidRPr="000574AD">
        <w:rPr>
          <w:rFonts w:ascii="Century Gothic" w:hAnsi="Century Gothic" w:cs="Arial"/>
          <w:b w:val="0"/>
          <w:caps w:val="0"/>
          <w:sz w:val="22"/>
          <w:szCs w:val="22"/>
          <w:u w:val="none"/>
        </w:rPr>
        <w:t xml:space="preserve"> we rely on simply won’t work. </w:t>
      </w:r>
    </w:p>
    <w:p w14:paraId="0ABC2E5D" w14:textId="59409D2B" w:rsidR="00CA1230" w:rsidRPr="000574AD" w:rsidRDefault="00CA1230" w:rsidP="30335D96">
      <w:pPr>
        <w:pStyle w:val="BodyText"/>
        <w:ind w:left="0"/>
        <w:rPr>
          <w:rFonts w:ascii="Century Gothic" w:hAnsi="Century Gothic" w:cs="Arial"/>
          <w:sz w:val="22"/>
          <w:szCs w:val="22"/>
        </w:rPr>
      </w:pPr>
      <w:bookmarkStart w:id="7" w:name="_Hlk14167212"/>
    </w:p>
    <w:p w14:paraId="1D796104" w14:textId="57D3BE73" w:rsidR="00CA1230" w:rsidRDefault="30335D96" w:rsidP="000574AD">
      <w:pPr>
        <w:pStyle w:val="Heading1"/>
        <w:numPr>
          <w:ilvl w:val="0"/>
          <w:numId w:val="32"/>
        </w:numPr>
        <w:jc w:val="both"/>
        <w:rPr>
          <w:rFonts w:ascii="Century Gothic" w:eastAsia="Arial Narrow" w:hAnsi="Century Gothic" w:cs="Arial Narrow"/>
          <w:sz w:val="22"/>
          <w:szCs w:val="22"/>
        </w:rPr>
      </w:pPr>
      <w:bookmarkStart w:id="8" w:name="_Toc520529615"/>
      <w:bookmarkStart w:id="9" w:name="_Toc132513928"/>
      <w:bookmarkEnd w:id="7"/>
      <w:r w:rsidRPr="000574AD">
        <w:rPr>
          <w:rFonts w:ascii="Century Gothic" w:eastAsia="Arial Narrow" w:hAnsi="Century Gothic" w:cs="Arial Narrow"/>
          <w:sz w:val="22"/>
          <w:szCs w:val="22"/>
        </w:rPr>
        <w:t xml:space="preserve">PLANNING POLICY GUIDANCE ON TELECOMMUNICATIONS </w:t>
      </w:r>
      <w:bookmarkEnd w:id="8"/>
      <w:bookmarkEnd w:id="9"/>
    </w:p>
    <w:p w14:paraId="2399A175" w14:textId="77777777" w:rsidR="000574AD" w:rsidRPr="000574AD" w:rsidRDefault="000574AD" w:rsidP="000574AD">
      <w:pPr>
        <w:pStyle w:val="ListParagraph"/>
        <w:ind w:left="370"/>
        <w:rPr>
          <w:rFonts w:eastAsia="Arial Narrow"/>
          <w:lang w:val="en-AU"/>
        </w:rPr>
      </w:pPr>
    </w:p>
    <w:p w14:paraId="63F1E6E9" w14:textId="5A618118" w:rsidR="30335D96" w:rsidRPr="000574AD" w:rsidRDefault="30335D96" w:rsidP="30335D96">
      <w:pPr>
        <w:rPr>
          <w:rFonts w:ascii="Century Gothic" w:eastAsia="Arial Narrow" w:hAnsi="Century Gothic" w:cs="Arial Narrow"/>
          <w:sz w:val="22"/>
          <w:szCs w:val="22"/>
          <w:lang w:val="en-AU"/>
        </w:rPr>
      </w:pPr>
      <w:bookmarkStart w:id="10" w:name="_Toc132513929"/>
      <w:r w:rsidRPr="000574AD">
        <w:rPr>
          <w:rFonts w:ascii="Century Gothic" w:eastAsia="Arial Narrow" w:hAnsi="Century Gothic" w:cs="Arial Narrow"/>
          <w:sz w:val="22"/>
          <w:szCs w:val="22"/>
        </w:rPr>
        <w:t xml:space="preserve">The </w:t>
      </w:r>
      <w:r w:rsidR="00D6069D">
        <w:rPr>
          <w:rFonts w:ascii="Century Gothic" w:eastAsia="Arial Narrow" w:hAnsi="Century Gothic" w:cs="Arial Narrow"/>
          <w:sz w:val="22"/>
          <w:szCs w:val="22"/>
        </w:rPr>
        <w:t xml:space="preserve">revised </w:t>
      </w:r>
      <w:r w:rsidRPr="000574AD">
        <w:rPr>
          <w:rFonts w:ascii="Century Gothic" w:eastAsia="Arial Narrow" w:hAnsi="Century Gothic" w:cs="Arial Narrow"/>
          <w:sz w:val="22"/>
          <w:szCs w:val="22"/>
        </w:rPr>
        <w:t xml:space="preserve">National Planning Policy Framework (NPPF) was published on </w:t>
      </w:r>
      <w:r w:rsidR="00D6069D">
        <w:rPr>
          <w:rFonts w:ascii="Century Gothic" w:eastAsia="Arial Narrow" w:hAnsi="Century Gothic" w:cs="Arial Narrow"/>
          <w:sz w:val="22"/>
          <w:szCs w:val="22"/>
        </w:rPr>
        <w:t>19</w:t>
      </w:r>
      <w:r w:rsidRPr="000574AD">
        <w:rPr>
          <w:rFonts w:ascii="Century Gothic" w:eastAsia="Arial Narrow" w:hAnsi="Century Gothic" w:cs="Arial Narrow"/>
          <w:sz w:val="22"/>
          <w:szCs w:val="22"/>
          <w:vertAlign w:val="superscript"/>
        </w:rPr>
        <w:t>th</w:t>
      </w:r>
      <w:r w:rsidRPr="000574AD">
        <w:rPr>
          <w:rFonts w:ascii="Century Gothic" w:eastAsia="Arial Narrow" w:hAnsi="Century Gothic" w:cs="Arial Narrow"/>
          <w:sz w:val="22"/>
          <w:szCs w:val="22"/>
        </w:rPr>
        <w:t xml:space="preserve"> </w:t>
      </w:r>
      <w:r w:rsidR="00D6069D">
        <w:rPr>
          <w:rFonts w:ascii="Century Gothic" w:eastAsia="Arial Narrow" w:hAnsi="Century Gothic" w:cs="Arial Narrow"/>
          <w:sz w:val="22"/>
          <w:szCs w:val="22"/>
        </w:rPr>
        <w:t>February</w:t>
      </w:r>
      <w:r w:rsidRPr="000574AD">
        <w:rPr>
          <w:rFonts w:ascii="Century Gothic" w:eastAsia="Arial Narrow" w:hAnsi="Century Gothic" w:cs="Arial Narrow"/>
          <w:sz w:val="22"/>
          <w:szCs w:val="22"/>
        </w:rPr>
        <w:t xml:space="preserve"> 201</w:t>
      </w:r>
      <w:r w:rsidR="00D6069D">
        <w:rPr>
          <w:rFonts w:ascii="Century Gothic" w:eastAsia="Arial Narrow" w:hAnsi="Century Gothic" w:cs="Arial Narrow"/>
          <w:sz w:val="22"/>
          <w:szCs w:val="22"/>
        </w:rPr>
        <w:t>9</w:t>
      </w:r>
      <w:r w:rsidRPr="000574AD">
        <w:rPr>
          <w:rFonts w:ascii="Century Gothic" w:eastAsia="Arial Narrow" w:hAnsi="Century Gothic" w:cs="Arial Narrow"/>
          <w:sz w:val="22"/>
          <w:szCs w:val="22"/>
        </w:rPr>
        <w:t>. The NPPF supports high quality communications infrastructure and recognises it as a strategic priority. At para. 112 it states that: “</w:t>
      </w:r>
      <w:r w:rsidRPr="000574AD">
        <w:rPr>
          <w:rFonts w:ascii="Century Gothic" w:eastAsia="Arial Narrow" w:hAnsi="Century Gothic" w:cs="Arial Narrow"/>
          <w:sz w:val="22"/>
          <w:szCs w:val="22"/>
          <w:lang w:val="en-AU"/>
        </w:rPr>
        <w:t xml:space="preserve">Advanced, high quality and reliable communications infrastructure is essential for economic growth and social well-being. Planning policies and decisions should support the expansion of electronic communications networks, including next generation mobile technology (such as 5G) and full fibre broadband connections.” </w:t>
      </w:r>
    </w:p>
    <w:p w14:paraId="72A3D3EC" w14:textId="77777777" w:rsidR="00CB1623" w:rsidRPr="000574AD" w:rsidRDefault="00CB1623" w:rsidP="30335D96">
      <w:pPr>
        <w:rPr>
          <w:rFonts w:ascii="Century Gothic" w:eastAsia="Arial Narrow" w:hAnsi="Century Gothic" w:cs="Arial Narrow"/>
          <w:sz w:val="22"/>
          <w:szCs w:val="22"/>
          <w:lang w:val="en-AU"/>
        </w:rPr>
      </w:pPr>
    </w:p>
    <w:p w14:paraId="3F647940" w14:textId="10D04561" w:rsidR="00CB1623" w:rsidRPr="000574AD" w:rsidRDefault="30335D96" w:rsidP="30335D96">
      <w:pPr>
        <w:rPr>
          <w:rFonts w:ascii="Century Gothic" w:eastAsia="Arial Narrow" w:hAnsi="Century Gothic" w:cs="Arial Narrow"/>
          <w:sz w:val="22"/>
          <w:szCs w:val="22"/>
          <w:lang w:val="en-AU"/>
        </w:rPr>
      </w:pPr>
      <w:r w:rsidRPr="000574AD">
        <w:rPr>
          <w:rFonts w:ascii="Century Gothic" w:eastAsia="Arial Narrow" w:hAnsi="Century Gothic" w:cs="Arial Narrow"/>
          <w:sz w:val="22"/>
          <w:szCs w:val="22"/>
          <w:lang w:val="en-AU"/>
        </w:rPr>
        <w:t>The NPPF goes on to state at Para. 116 that: “Local planning authorities must determine applications on planning grounds only. They should not seek to prevent competition between different operators, question the need for an electronic communications system, or set health safeguards different from the International Commission guidelines for public exposure</w:t>
      </w:r>
      <w:r w:rsidRPr="000574AD">
        <w:rPr>
          <w:rFonts w:ascii="Century Gothic" w:eastAsia="Arial Narrow" w:hAnsi="Century Gothic" w:cs="Arial Narrow"/>
          <w:sz w:val="22"/>
          <w:szCs w:val="22"/>
        </w:rPr>
        <w:t>.”</w:t>
      </w:r>
    </w:p>
    <w:p w14:paraId="4BF09A8B" w14:textId="0C73C6B5" w:rsidR="00CA1230" w:rsidRDefault="30335D96" w:rsidP="000574AD">
      <w:pPr>
        <w:pStyle w:val="Heading1"/>
        <w:numPr>
          <w:ilvl w:val="0"/>
          <w:numId w:val="32"/>
        </w:numPr>
        <w:jc w:val="both"/>
        <w:rPr>
          <w:rFonts w:ascii="Century Gothic" w:hAnsi="Century Gothic" w:cs="Arial"/>
          <w:sz w:val="22"/>
          <w:szCs w:val="22"/>
        </w:rPr>
      </w:pPr>
      <w:bookmarkStart w:id="11" w:name="_Toc13387726"/>
      <w:bookmarkStart w:id="12" w:name="_Toc16569413"/>
      <w:bookmarkStart w:id="13" w:name="_Toc17601545"/>
      <w:bookmarkStart w:id="14" w:name="_Toc18724849"/>
      <w:bookmarkStart w:id="15" w:name="_Toc132513932"/>
      <w:bookmarkEnd w:id="10"/>
      <w:r w:rsidRPr="000574AD">
        <w:rPr>
          <w:rFonts w:ascii="Century Gothic" w:hAnsi="Century Gothic" w:cs="Arial"/>
          <w:sz w:val="22"/>
          <w:szCs w:val="22"/>
        </w:rPr>
        <w:t>SITE / MAST SHARING</w:t>
      </w:r>
      <w:bookmarkEnd w:id="11"/>
      <w:bookmarkEnd w:id="12"/>
      <w:bookmarkEnd w:id="13"/>
      <w:bookmarkEnd w:id="14"/>
      <w:bookmarkEnd w:id="15"/>
    </w:p>
    <w:p w14:paraId="0CEA1D54" w14:textId="77777777" w:rsidR="000574AD" w:rsidRPr="000574AD" w:rsidRDefault="000574AD" w:rsidP="000574AD">
      <w:pPr>
        <w:pStyle w:val="ListParagraph"/>
        <w:ind w:left="370"/>
        <w:rPr>
          <w:lang w:val="en-AU"/>
        </w:rPr>
      </w:pPr>
    </w:p>
    <w:p w14:paraId="6E079E8D" w14:textId="53F90370" w:rsidR="00CA1230" w:rsidRPr="000539EE" w:rsidRDefault="00F73728" w:rsidP="000539EE">
      <w:pPr>
        <w:pStyle w:val="BodyText"/>
        <w:ind w:left="0"/>
        <w:rPr>
          <w:rFonts w:ascii="Century Gothic" w:hAnsi="Century Gothic" w:cs="Arial"/>
          <w:sz w:val="20"/>
        </w:rPr>
      </w:pPr>
      <w:r>
        <w:rPr>
          <w:rFonts w:ascii="Century Gothic" w:hAnsi="Century Gothic" w:cs="Arial"/>
          <w:sz w:val="22"/>
          <w:szCs w:val="22"/>
        </w:rPr>
        <w:t>Cornerstone</w:t>
      </w:r>
      <w:r w:rsidR="30335D96" w:rsidRPr="000574AD">
        <w:rPr>
          <w:rFonts w:ascii="Century Gothic" w:hAnsi="Century Gothic" w:cs="Arial"/>
          <w:sz w:val="22"/>
          <w:szCs w:val="22"/>
        </w:rPr>
        <w:t xml:space="preserve"> actively encourage and support site sharing for both commercial and environmental reasons. All operators are required to explore site-sharing opportunities under the terms of their licences. </w:t>
      </w:r>
      <w:r>
        <w:rPr>
          <w:rFonts w:ascii="Century Gothic" w:hAnsi="Century Gothic" w:cs="Arial"/>
          <w:sz w:val="22"/>
          <w:szCs w:val="22"/>
        </w:rPr>
        <w:t>Cornerstone</w:t>
      </w:r>
      <w:r w:rsidR="30335D96" w:rsidRPr="000574AD">
        <w:rPr>
          <w:rFonts w:ascii="Century Gothic" w:hAnsi="Century Gothic" w:cs="Arial"/>
          <w:sz w:val="22"/>
          <w:szCs w:val="22"/>
        </w:rPr>
        <w:t xml:space="preserve"> have implemented a number of measures to identify and maximise site-sharing opportunities.</w:t>
      </w:r>
      <w:r w:rsidR="30335D96" w:rsidRPr="000574AD">
        <w:rPr>
          <w:rFonts w:ascii="Century Gothic" w:hAnsi="Century Gothic" w:cs="Arial"/>
          <w:sz w:val="20"/>
        </w:rPr>
        <w:t xml:space="preserve"> </w:t>
      </w:r>
      <w:r w:rsidR="30335D96" w:rsidRPr="007E43A0">
        <w:rPr>
          <w:rFonts w:ascii="Century Gothic" w:hAnsi="Century Gothic" w:cs="Tahoma"/>
          <w:strike/>
          <w:color w:val="FF0000"/>
        </w:rPr>
        <w:t xml:space="preserve"> </w:t>
      </w:r>
    </w:p>
    <w:p w14:paraId="44686B06" w14:textId="32F65943" w:rsidR="00CA1230" w:rsidRDefault="000539EE" w:rsidP="30335D96">
      <w:pPr>
        <w:pStyle w:val="Heading3"/>
        <w:numPr>
          <w:ilvl w:val="2"/>
          <w:numId w:val="0"/>
        </w:numPr>
        <w:jc w:val="both"/>
        <w:rPr>
          <w:rFonts w:ascii="Century Gothic" w:eastAsia="Arial Narrow" w:hAnsi="Century Gothic" w:cs="Arial Narrow"/>
          <w:caps/>
          <w:sz w:val="22"/>
          <w:szCs w:val="22"/>
          <w:u w:val="single"/>
        </w:rPr>
      </w:pPr>
      <w:r>
        <w:rPr>
          <w:rFonts w:ascii="Century Gothic" w:eastAsia="Arial Narrow" w:hAnsi="Century Gothic" w:cs="Arial Narrow"/>
          <w:caps/>
          <w:sz w:val="22"/>
          <w:szCs w:val="22"/>
          <w:u w:val="single"/>
        </w:rPr>
        <w:lastRenderedPageBreak/>
        <w:t>5</w:t>
      </w:r>
      <w:r w:rsidR="30335D96" w:rsidRPr="000574AD">
        <w:rPr>
          <w:rFonts w:ascii="Century Gothic" w:eastAsia="Arial Narrow" w:hAnsi="Century Gothic" w:cs="Arial Narrow"/>
          <w:caps/>
          <w:sz w:val="22"/>
          <w:szCs w:val="22"/>
          <w:u w:val="single"/>
        </w:rPr>
        <w:t xml:space="preserve">.0 </w:t>
      </w:r>
      <w:r w:rsidR="004938F6">
        <w:rPr>
          <w:rFonts w:ascii="Century Gothic" w:eastAsia="Arial Narrow" w:hAnsi="Century Gothic" w:cs="Arial Narrow"/>
          <w:caps/>
          <w:sz w:val="22"/>
          <w:szCs w:val="22"/>
          <w:u w:val="single"/>
        </w:rPr>
        <w:t>Pre-Application Consultation</w:t>
      </w:r>
    </w:p>
    <w:p w14:paraId="348216EE" w14:textId="77777777" w:rsidR="000574AD" w:rsidRPr="000574AD" w:rsidRDefault="000574AD" w:rsidP="000574AD">
      <w:pPr>
        <w:rPr>
          <w:rFonts w:eastAsia="Arial Narrow"/>
          <w:lang w:val="en-AU"/>
        </w:rPr>
      </w:pPr>
    </w:p>
    <w:p w14:paraId="2C8AA1EC" w14:textId="77138B27" w:rsidR="00FB0F91" w:rsidRPr="000574AD" w:rsidRDefault="00F73728" w:rsidP="30335D96">
      <w:pPr>
        <w:jc w:val="both"/>
        <w:rPr>
          <w:rFonts w:ascii="Century Gothic" w:eastAsia="Arial Narrow" w:hAnsi="Century Gothic" w:cs="Arial Narrow"/>
          <w:sz w:val="22"/>
          <w:szCs w:val="22"/>
        </w:rPr>
      </w:pPr>
      <w:r>
        <w:rPr>
          <w:rFonts w:ascii="Century Gothic" w:eastAsia="Arial Narrow" w:hAnsi="Century Gothic" w:cs="Arial Narrow"/>
          <w:sz w:val="22"/>
          <w:szCs w:val="22"/>
        </w:rPr>
        <w:t>Cornerstone</w:t>
      </w:r>
      <w:r w:rsidR="30335D96" w:rsidRPr="000574AD">
        <w:rPr>
          <w:rFonts w:ascii="Century Gothic" w:eastAsia="Arial Narrow" w:hAnsi="Century Gothic" w:cs="Arial Narrow"/>
          <w:sz w:val="22"/>
          <w:szCs w:val="22"/>
        </w:rPr>
        <w:t xml:space="preserve"> </w:t>
      </w:r>
      <w:r w:rsidR="004938F6">
        <w:rPr>
          <w:rFonts w:ascii="Century Gothic" w:eastAsia="Arial Narrow" w:hAnsi="Century Gothic" w:cs="Arial Narrow"/>
          <w:sz w:val="22"/>
          <w:szCs w:val="22"/>
        </w:rPr>
        <w:t xml:space="preserve">are committed to carrying out appropriate consultation with Local Planning Authorities, stakeholders and the public. </w:t>
      </w:r>
      <w:r w:rsidR="30335D96" w:rsidRPr="000574AD">
        <w:rPr>
          <w:rFonts w:ascii="Century Gothic" w:eastAsia="Arial Narrow" w:hAnsi="Century Gothic" w:cs="Arial Narrow"/>
          <w:sz w:val="22"/>
          <w:szCs w:val="22"/>
        </w:rPr>
        <w:t xml:space="preserve">The Code of Best Practice on Mobile Network Development gives guidance on the factors </w:t>
      </w:r>
      <w:r>
        <w:rPr>
          <w:rFonts w:ascii="Century Gothic" w:eastAsia="Arial Narrow" w:hAnsi="Century Gothic" w:cs="Arial Narrow"/>
          <w:sz w:val="22"/>
          <w:szCs w:val="22"/>
        </w:rPr>
        <w:t xml:space="preserve">network </w:t>
      </w:r>
      <w:r w:rsidR="30335D96" w:rsidRPr="000574AD">
        <w:rPr>
          <w:rFonts w:ascii="Century Gothic" w:eastAsia="Arial Narrow" w:hAnsi="Century Gothic" w:cs="Arial Narrow"/>
          <w:sz w:val="22"/>
          <w:szCs w:val="22"/>
        </w:rPr>
        <w:t>operators should consider when determining wh</w:t>
      </w:r>
      <w:r w:rsidR="004938F6">
        <w:rPr>
          <w:rFonts w:ascii="Century Gothic" w:eastAsia="Arial Narrow" w:hAnsi="Century Gothic" w:cs="Arial Narrow"/>
          <w:sz w:val="22"/>
          <w:szCs w:val="22"/>
        </w:rPr>
        <w:t>at</w:t>
      </w:r>
      <w:r w:rsidR="30335D96" w:rsidRPr="000574AD">
        <w:rPr>
          <w:rFonts w:ascii="Century Gothic" w:eastAsia="Arial Narrow" w:hAnsi="Century Gothic" w:cs="Arial Narrow"/>
          <w:sz w:val="22"/>
          <w:szCs w:val="22"/>
        </w:rPr>
        <w:t xml:space="preserve"> consultation is required, as each development is different. These factors are equally applicable for Local Planning Authorities who carry out their own consultation once the application has been submitted. </w:t>
      </w:r>
    </w:p>
    <w:p w14:paraId="1B6593CA" w14:textId="16DA56AD" w:rsidR="00CA1230" w:rsidRDefault="000539EE" w:rsidP="30335D96">
      <w:pPr>
        <w:pStyle w:val="Heading3"/>
        <w:numPr>
          <w:ilvl w:val="2"/>
          <w:numId w:val="0"/>
        </w:numPr>
        <w:jc w:val="both"/>
        <w:rPr>
          <w:rFonts w:ascii="Century Gothic" w:eastAsia="Arial Narrow" w:hAnsi="Century Gothic" w:cs="Arial Narrow"/>
          <w:sz w:val="22"/>
          <w:szCs w:val="22"/>
        </w:rPr>
      </w:pPr>
      <w:r>
        <w:rPr>
          <w:rFonts w:ascii="Century Gothic" w:eastAsia="Arial Narrow" w:hAnsi="Century Gothic" w:cs="Arial Narrow"/>
          <w:sz w:val="22"/>
          <w:szCs w:val="22"/>
          <w:u w:val="single"/>
        </w:rPr>
        <w:t>6</w:t>
      </w:r>
      <w:r w:rsidR="30335D96" w:rsidRPr="000574AD">
        <w:rPr>
          <w:rFonts w:ascii="Century Gothic" w:eastAsia="Arial Narrow" w:hAnsi="Century Gothic" w:cs="Arial Narrow"/>
          <w:sz w:val="22"/>
          <w:szCs w:val="22"/>
          <w:u w:val="single"/>
        </w:rPr>
        <w:t>.0 LEGAL CASES</w:t>
      </w:r>
      <w:r w:rsidR="30335D96" w:rsidRPr="000574AD">
        <w:rPr>
          <w:rFonts w:ascii="Century Gothic" w:eastAsia="Arial Narrow" w:hAnsi="Century Gothic" w:cs="Arial Narrow"/>
          <w:sz w:val="22"/>
          <w:szCs w:val="22"/>
        </w:rPr>
        <w:t xml:space="preserve"> </w:t>
      </w:r>
    </w:p>
    <w:p w14:paraId="531E8901" w14:textId="77777777" w:rsidR="000574AD" w:rsidRPr="000574AD" w:rsidRDefault="000574AD" w:rsidP="000574AD">
      <w:pPr>
        <w:rPr>
          <w:rFonts w:eastAsia="Arial Narrow"/>
          <w:lang w:val="en-AU"/>
        </w:rPr>
      </w:pPr>
    </w:p>
    <w:p w14:paraId="65C98B2F" w14:textId="77777777"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The following legal cases may be helpful;-</w:t>
      </w:r>
    </w:p>
    <w:p w14:paraId="2E9DE2FE" w14:textId="04D7B945" w:rsidR="00CA1230" w:rsidRPr="000574AD" w:rsidRDefault="000539EE" w:rsidP="30335D96">
      <w:pPr>
        <w:pStyle w:val="Heading3"/>
        <w:numPr>
          <w:ilvl w:val="2"/>
          <w:numId w:val="0"/>
        </w:numPr>
        <w:jc w:val="both"/>
        <w:rPr>
          <w:rFonts w:ascii="Century Gothic" w:eastAsia="Arial Narrow" w:hAnsi="Century Gothic" w:cs="Arial Narrow"/>
          <w:caps/>
          <w:sz w:val="22"/>
          <w:szCs w:val="22"/>
        </w:rPr>
      </w:pPr>
      <w:r>
        <w:rPr>
          <w:rFonts w:ascii="Century Gothic" w:eastAsia="Arial Narrow" w:hAnsi="Century Gothic" w:cs="Arial Narrow"/>
          <w:sz w:val="22"/>
          <w:szCs w:val="22"/>
        </w:rPr>
        <w:t>6</w:t>
      </w:r>
      <w:r w:rsidR="30335D96" w:rsidRPr="000574AD">
        <w:rPr>
          <w:rFonts w:ascii="Century Gothic" w:eastAsia="Arial Narrow" w:hAnsi="Century Gothic" w:cs="Arial Narrow"/>
          <w:sz w:val="22"/>
          <w:szCs w:val="22"/>
        </w:rPr>
        <w:t>.1 Harrogate case November 2004</w:t>
      </w:r>
    </w:p>
    <w:p w14:paraId="1EC4CB34" w14:textId="77777777"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The Court of Appeal gave a judgment that Government Planning Guidance in PPG8 (now replaced by the NPPF) is perfectly clear in relation to compliance with the health and safety standards for mobile phone base stations.  The Court of Appeal and the High Court both upheld Government policy in response to a planning inspector’s decision that departed from that policy and failed to give adequate reasons for doing so.</w:t>
      </w:r>
    </w:p>
    <w:p w14:paraId="313F3B59" w14:textId="77C33437" w:rsidR="00CA1230" w:rsidRPr="000574AD" w:rsidRDefault="000539EE" w:rsidP="30335D96">
      <w:pPr>
        <w:pStyle w:val="Heading3"/>
        <w:numPr>
          <w:ilvl w:val="2"/>
          <w:numId w:val="0"/>
        </w:numPr>
        <w:jc w:val="both"/>
        <w:rPr>
          <w:rFonts w:ascii="Century Gothic" w:hAnsi="Century Gothic" w:cs="Tahoma"/>
          <w:sz w:val="22"/>
          <w:szCs w:val="22"/>
        </w:rPr>
      </w:pPr>
      <w:r>
        <w:rPr>
          <w:rFonts w:ascii="Century Gothic" w:eastAsia="Arial Narrow" w:hAnsi="Century Gothic" w:cs="Arial Narrow"/>
          <w:sz w:val="22"/>
          <w:szCs w:val="22"/>
        </w:rPr>
        <w:t>6</w:t>
      </w:r>
      <w:r w:rsidR="30335D96" w:rsidRPr="000574AD">
        <w:rPr>
          <w:rFonts w:ascii="Century Gothic" w:eastAsia="Arial Narrow" w:hAnsi="Century Gothic" w:cs="Arial Narrow"/>
          <w:sz w:val="22"/>
          <w:szCs w:val="22"/>
        </w:rPr>
        <w:t>.</w:t>
      </w:r>
      <w:r w:rsidR="00570FAC">
        <w:rPr>
          <w:rFonts w:ascii="Century Gothic" w:eastAsia="Arial Narrow" w:hAnsi="Century Gothic" w:cs="Arial Narrow"/>
          <w:sz w:val="22"/>
          <w:szCs w:val="22"/>
        </w:rPr>
        <w:t>2</w:t>
      </w:r>
      <w:r w:rsidR="30335D96" w:rsidRPr="000574AD">
        <w:rPr>
          <w:rFonts w:ascii="Century Gothic" w:eastAsia="Arial Narrow" w:hAnsi="Century Gothic" w:cs="Arial Narrow"/>
          <w:sz w:val="22"/>
          <w:szCs w:val="22"/>
        </w:rPr>
        <w:t xml:space="preserve"> </w:t>
      </w:r>
      <w:proofErr w:type="spellStart"/>
      <w:r w:rsidR="30335D96" w:rsidRPr="000574AD">
        <w:rPr>
          <w:rFonts w:ascii="Century Gothic" w:eastAsia="Arial Narrow" w:hAnsi="Century Gothic" w:cs="Arial Narrow"/>
          <w:sz w:val="22"/>
          <w:szCs w:val="22"/>
        </w:rPr>
        <w:t>Bardsey</w:t>
      </w:r>
      <w:proofErr w:type="spellEnd"/>
      <w:r w:rsidR="30335D96" w:rsidRPr="000574AD">
        <w:rPr>
          <w:rFonts w:ascii="Century Gothic" w:eastAsia="Arial Narrow" w:hAnsi="Century Gothic" w:cs="Arial Narrow"/>
          <w:sz w:val="22"/>
          <w:szCs w:val="22"/>
        </w:rPr>
        <w:t xml:space="preserve"> case January 2005</w:t>
      </w:r>
    </w:p>
    <w:p w14:paraId="5C60B9B0" w14:textId="17B5A648"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 xml:space="preserve">This was a case in which a local planning authority failed to comply with its obligations to act within the 56 day period provided under the permitted development regulations. </w:t>
      </w:r>
      <w:r w:rsidR="003A1F44" w:rsidRPr="000574AD">
        <w:rPr>
          <w:rFonts w:ascii="Century Gothic" w:eastAsia="Arial Narrow" w:hAnsi="Century Gothic" w:cs="Arial Narrow"/>
          <w:sz w:val="22"/>
          <w:szCs w:val="22"/>
        </w:rPr>
        <w:t>The Court of Appeal confirmed that the permitted development regime for mobile phone base stations is compliant with the Human Rights Act</w:t>
      </w:r>
      <w:r w:rsidR="003A1F44">
        <w:rPr>
          <w:rFonts w:ascii="Century Gothic" w:eastAsia="Arial Narrow" w:hAnsi="Century Gothic" w:cs="Arial Narrow"/>
          <w:sz w:val="22"/>
          <w:szCs w:val="22"/>
        </w:rPr>
        <w:t>.</w:t>
      </w:r>
    </w:p>
    <w:p w14:paraId="7CF2C8C2" w14:textId="0845D23E" w:rsidR="00CA1230" w:rsidRDefault="000539EE" w:rsidP="30335D96">
      <w:pPr>
        <w:pStyle w:val="Heading1"/>
        <w:jc w:val="both"/>
        <w:rPr>
          <w:rFonts w:ascii="Century Gothic" w:eastAsia="Arial Narrow" w:hAnsi="Century Gothic" w:cs="Arial Narrow"/>
          <w:sz w:val="22"/>
          <w:szCs w:val="22"/>
        </w:rPr>
      </w:pPr>
      <w:bookmarkStart w:id="16" w:name="_Toc13387727"/>
      <w:bookmarkStart w:id="17" w:name="_Toc16569414"/>
      <w:bookmarkStart w:id="18" w:name="_Toc17601546"/>
      <w:bookmarkStart w:id="19" w:name="_Toc18724850"/>
      <w:bookmarkStart w:id="20" w:name="_Toc132513933"/>
      <w:r>
        <w:rPr>
          <w:rFonts w:ascii="Century Gothic" w:eastAsia="Arial Narrow" w:hAnsi="Century Gothic" w:cs="Arial Narrow"/>
          <w:sz w:val="22"/>
          <w:szCs w:val="22"/>
        </w:rPr>
        <w:t>7</w:t>
      </w:r>
      <w:r w:rsidR="30335D96" w:rsidRPr="000574AD">
        <w:rPr>
          <w:rFonts w:ascii="Century Gothic" w:eastAsia="Arial Narrow" w:hAnsi="Century Gothic" w:cs="Arial Narrow"/>
          <w:sz w:val="22"/>
          <w:szCs w:val="22"/>
        </w:rPr>
        <w:t>.0 FURTHER INFORMATION</w:t>
      </w:r>
      <w:bookmarkEnd w:id="16"/>
      <w:bookmarkEnd w:id="17"/>
      <w:bookmarkEnd w:id="18"/>
      <w:bookmarkEnd w:id="19"/>
      <w:bookmarkEnd w:id="20"/>
    </w:p>
    <w:p w14:paraId="641F9436" w14:textId="77777777" w:rsidR="000574AD" w:rsidRPr="000574AD" w:rsidRDefault="000574AD" w:rsidP="000574AD">
      <w:pPr>
        <w:rPr>
          <w:rFonts w:eastAsia="Arial Narrow"/>
          <w:lang w:val="en-AU"/>
        </w:rPr>
      </w:pPr>
    </w:p>
    <w:p w14:paraId="23821873" w14:textId="77777777" w:rsidR="00CA1230" w:rsidRPr="000574AD" w:rsidRDefault="00CA1230" w:rsidP="30335D96">
      <w:pPr>
        <w:pStyle w:val="BodyText"/>
        <w:ind w:left="0"/>
        <w:rPr>
          <w:rFonts w:ascii="Century Gothic" w:eastAsia="Arial Narrow" w:hAnsi="Century Gothic" w:cs="Arial Narrow"/>
          <w:sz w:val="22"/>
          <w:szCs w:val="22"/>
        </w:rPr>
      </w:pPr>
      <w:r w:rsidRPr="000574AD">
        <w:rPr>
          <w:rFonts w:ascii="Century Gothic" w:eastAsia="Arial Narrow" w:hAnsi="Century Gothic" w:cs="Arial Narrow"/>
          <w:spacing w:val="0"/>
          <w:sz w:val="22"/>
          <w:szCs w:val="22"/>
        </w:rPr>
        <w:t xml:space="preserve">We trust the above answers your main queries regarding our planned installation. </w:t>
      </w:r>
    </w:p>
    <w:p w14:paraId="3DA43CBE" w14:textId="77777777" w:rsidR="00A402E7" w:rsidRDefault="00CA1230" w:rsidP="30335D96">
      <w:pPr>
        <w:pStyle w:val="BodyText"/>
        <w:ind w:left="0"/>
        <w:rPr>
          <w:rFonts w:ascii="Century Gothic" w:eastAsia="Arial Narrow" w:hAnsi="Century Gothic" w:cs="Arial Narrow"/>
          <w:spacing w:val="0"/>
          <w:sz w:val="22"/>
          <w:szCs w:val="22"/>
        </w:rPr>
      </w:pPr>
      <w:r w:rsidRPr="000574AD">
        <w:rPr>
          <w:rFonts w:ascii="Century Gothic" w:eastAsia="Arial Narrow" w:hAnsi="Century Gothic" w:cs="Arial Narrow"/>
          <w:spacing w:val="0"/>
          <w:sz w:val="22"/>
          <w:szCs w:val="22"/>
        </w:rPr>
        <w:t>The enclosed site-spe</w:t>
      </w:r>
      <w:r w:rsidR="003E49DE" w:rsidRPr="000574AD">
        <w:rPr>
          <w:rFonts w:ascii="Century Gothic" w:eastAsia="Arial Narrow" w:hAnsi="Century Gothic" w:cs="Arial Narrow"/>
          <w:spacing w:val="0"/>
          <w:sz w:val="22"/>
          <w:szCs w:val="22"/>
        </w:rPr>
        <w:t xml:space="preserve">cific details will identify any </w:t>
      </w:r>
      <w:r w:rsidRPr="000574AD">
        <w:rPr>
          <w:rFonts w:ascii="Century Gothic" w:eastAsia="Arial Narrow" w:hAnsi="Century Gothic" w:cs="Arial Narrow"/>
          <w:spacing w:val="0"/>
          <w:sz w:val="22"/>
          <w:szCs w:val="22"/>
        </w:rPr>
        <w:t>alternative discounted options and reasons why they were rejected and how the proposed site complies with national and local planning policies.</w:t>
      </w:r>
    </w:p>
    <w:p w14:paraId="17C97430" w14:textId="77777777" w:rsidR="00A402E7" w:rsidRDefault="00C375E8" w:rsidP="00A402E7">
      <w:pPr>
        <w:pStyle w:val="BodyText"/>
        <w:ind w:left="0"/>
        <w:rPr>
          <w:rFonts w:ascii="Century Gothic" w:eastAsia="Arial Narrow" w:hAnsi="Century Gothic" w:cs="Arial Narrow"/>
          <w:sz w:val="22"/>
          <w:szCs w:val="22"/>
        </w:rPr>
      </w:pPr>
      <w:r>
        <w:rPr>
          <w:rFonts w:ascii="Century Gothic" w:eastAsia="Arial Narrow" w:hAnsi="Century Gothic" w:cs="Arial Narrow"/>
          <w:sz w:val="22"/>
          <w:szCs w:val="22"/>
        </w:rPr>
        <w:t xml:space="preserve">The </w:t>
      </w:r>
      <w:hyperlink r:id="rId12" w:history="1">
        <w:r w:rsidRPr="00C375E8">
          <w:rPr>
            <w:rStyle w:val="Hyperlink"/>
            <w:rFonts w:ascii="Century Gothic" w:eastAsia="Arial Narrow" w:hAnsi="Century Gothic" w:cs="Arial Narrow"/>
            <w:sz w:val="22"/>
            <w:szCs w:val="22"/>
          </w:rPr>
          <w:t>Digital Connectivity Portal</w:t>
        </w:r>
      </w:hyperlink>
      <w:r>
        <w:rPr>
          <w:rFonts w:ascii="Century Gothic" w:eastAsia="Arial Narrow" w:hAnsi="Century Gothic" w:cs="Arial Narrow"/>
          <w:sz w:val="22"/>
          <w:szCs w:val="22"/>
        </w:rPr>
        <w:t xml:space="preserve"> provides guidance for local authorities and network providers on improving connectivity across the UK. Produced by DCMS, it promotes closer cooperation between network providers and local authorities, and offers guidance on effective policies and processes to facilitate deployment of digital networks</w:t>
      </w:r>
      <w:r w:rsidR="00A402E7">
        <w:rPr>
          <w:rFonts w:ascii="Century Gothic" w:eastAsia="Arial Narrow" w:hAnsi="Century Gothic" w:cs="Arial Narrow"/>
          <w:sz w:val="22"/>
          <w:szCs w:val="22"/>
        </w:rPr>
        <w:t>.</w:t>
      </w:r>
    </w:p>
    <w:p w14:paraId="485F7C3A" w14:textId="77777777" w:rsidR="00A402E7" w:rsidRDefault="00135FC8" w:rsidP="00A402E7">
      <w:pPr>
        <w:pStyle w:val="BodyText"/>
        <w:ind w:left="0"/>
        <w:rPr>
          <w:rFonts w:ascii="Century Gothic" w:hAnsi="Century Gothic" w:cs="Arial"/>
          <w:sz w:val="22"/>
          <w:szCs w:val="22"/>
        </w:rPr>
      </w:pPr>
      <w:r w:rsidRPr="00C375E8">
        <w:rPr>
          <w:rFonts w:ascii="Century Gothic" w:hAnsi="Century Gothic" w:cs="Arial"/>
          <w:sz w:val="22"/>
          <w:szCs w:val="22"/>
        </w:rPr>
        <w:t>The</w:t>
      </w:r>
      <w:r w:rsidR="00C375E8" w:rsidRPr="00C375E8">
        <w:rPr>
          <w:rFonts w:ascii="Century Gothic" w:hAnsi="Century Gothic" w:cs="Arial"/>
          <w:sz w:val="22"/>
          <w:szCs w:val="22"/>
        </w:rPr>
        <w:t xml:space="preserve"> </w:t>
      </w:r>
      <w:hyperlink r:id="rId13" w:history="1">
        <w:r w:rsidR="00C375E8" w:rsidRPr="00C375E8">
          <w:rPr>
            <w:rStyle w:val="Hyperlink"/>
            <w:rFonts w:ascii="Century Gothic" w:hAnsi="Century Gothic" w:cs="Arial"/>
            <w:sz w:val="22"/>
            <w:szCs w:val="22"/>
          </w:rPr>
          <w:t>Future Telecoms Infrastructure Review</w:t>
        </w:r>
      </w:hyperlink>
      <w:r w:rsidRPr="00C375E8">
        <w:rPr>
          <w:rFonts w:ascii="Century Gothic" w:hAnsi="Century Gothic" w:cs="Arial"/>
          <w:sz w:val="22"/>
          <w:szCs w:val="22"/>
        </w:rPr>
        <w:t xml:space="preserve">, produced by </w:t>
      </w:r>
      <w:r w:rsidR="00C375E8">
        <w:rPr>
          <w:rFonts w:ascii="Century Gothic" w:hAnsi="Century Gothic" w:cs="Arial"/>
          <w:sz w:val="22"/>
          <w:szCs w:val="22"/>
        </w:rPr>
        <w:t>DCMS</w:t>
      </w:r>
      <w:r w:rsidRPr="00C375E8">
        <w:rPr>
          <w:rFonts w:ascii="Century Gothic" w:hAnsi="Century Gothic" w:cs="Arial"/>
          <w:sz w:val="22"/>
          <w:szCs w:val="22"/>
        </w:rPr>
        <w:t xml:space="preserve">, </w:t>
      </w:r>
      <w:r w:rsidR="00FB5085" w:rsidRPr="00C375E8">
        <w:rPr>
          <w:rFonts w:ascii="Century Gothic" w:hAnsi="Century Gothic" w:cs="Arial"/>
          <w:sz w:val="22"/>
          <w:szCs w:val="22"/>
        </w:rPr>
        <w:t>sets out the future for telecoms in the UK and the opportunities that these advancements in digital connectivity will create</w:t>
      </w:r>
      <w:r w:rsidR="00C375E8">
        <w:rPr>
          <w:rFonts w:ascii="Century Gothic" w:hAnsi="Century Gothic" w:cs="Arial"/>
          <w:sz w:val="22"/>
          <w:szCs w:val="22"/>
        </w:rPr>
        <w:t>.</w:t>
      </w:r>
    </w:p>
    <w:p w14:paraId="56415258" w14:textId="3819946A" w:rsidR="00A402E7" w:rsidRPr="00C375E8" w:rsidRDefault="00A402E7" w:rsidP="00A402E7">
      <w:pPr>
        <w:pStyle w:val="BodyText"/>
        <w:ind w:left="0"/>
        <w:rPr>
          <w:rFonts w:ascii="Century Gothic" w:hAnsi="Century Gothic" w:cs="Arial"/>
          <w:sz w:val="22"/>
          <w:szCs w:val="22"/>
        </w:rPr>
      </w:pPr>
      <w:r>
        <w:rPr>
          <w:rFonts w:ascii="Century Gothic" w:hAnsi="Century Gothic" w:cs="Arial"/>
          <w:sz w:val="22"/>
          <w:szCs w:val="22"/>
        </w:rPr>
        <w:t xml:space="preserve">The </w:t>
      </w:r>
      <w:hyperlink r:id="rId14" w:history="1">
        <w:r w:rsidRPr="00A402E7">
          <w:rPr>
            <w:rStyle w:val="Hyperlink"/>
            <w:rFonts w:ascii="Century Gothic" w:hAnsi="Century Gothic" w:cs="Arial"/>
            <w:sz w:val="22"/>
            <w:szCs w:val="22"/>
          </w:rPr>
          <w:t>National Planning Policy Framework</w:t>
        </w:r>
      </w:hyperlink>
      <w:r>
        <w:rPr>
          <w:rFonts w:ascii="Century Gothic" w:hAnsi="Century Gothic" w:cs="Arial"/>
          <w:sz w:val="22"/>
          <w:szCs w:val="22"/>
        </w:rPr>
        <w:t xml:space="preserve"> sets out government’s planning policies for England and how these are expected to be applied.</w:t>
      </w:r>
    </w:p>
    <w:sectPr w:rsidR="00A402E7" w:rsidRPr="00C375E8" w:rsidSect="00FE0F67">
      <w:headerReference w:type="default" r:id="rId15"/>
      <w:footerReference w:type="default" r:id="rId16"/>
      <w:pgSz w:w="11909" w:h="16834" w:code="9"/>
      <w:pgMar w:top="902" w:right="992" w:bottom="1418" w:left="1418" w:header="561"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A876D" w14:textId="77777777" w:rsidR="008C5CA7" w:rsidRDefault="008C5CA7">
      <w:r>
        <w:separator/>
      </w:r>
    </w:p>
  </w:endnote>
  <w:endnote w:type="continuationSeparator" w:id="0">
    <w:p w14:paraId="59DD8C2C" w14:textId="77777777" w:rsidR="008C5CA7" w:rsidRDefault="008C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Condense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32A2F" w14:textId="5F32B02A" w:rsidR="00CD5AC7" w:rsidRPr="000574AD" w:rsidRDefault="00016428" w:rsidP="0024294E">
    <w:pPr>
      <w:pStyle w:val="Footer"/>
      <w:rPr>
        <w:rFonts w:ascii="Century Gothic" w:hAnsi="Century Gothic" w:cs="Arial"/>
        <w:color w:val="8064A2"/>
      </w:rPr>
    </w:pPr>
    <w:r w:rsidRPr="000574AD">
      <w:rPr>
        <w:rFonts w:ascii="Century Gothic" w:hAnsi="Century Gothic" w:cs="Arial"/>
        <w:noProof/>
        <w:color w:val="8064A2"/>
      </w:rPr>
      <mc:AlternateContent>
        <mc:Choice Requires="wps">
          <w:drawing>
            <wp:anchor distT="0" distB="0" distL="114300" distR="114300" simplePos="0" relativeHeight="251658240" behindDoc="0" locked="0" layoutInCell="0" allowOverlap="1" wp14:anchorId="0DB5369D" wp14:editId="26BD6323">
              <wp:simplePos x="0" y="0"/>
              <wp:positionH relativeFrom="page">
                <wp:posOffset>0</wp:posOffset>
              </wp:positionH>
              <wp:positionV relativeFrom="page">
                <wp:posOffset>10225405</wp:posOffset>
              </wp:positionV>
              <wp:extent cx="7562215" cy="273685"/>
              <wp:effectExtent l="0" t="0" r="635" b="0"/>
              <wp:wrapNone/>
              <wp:docPr id="1" name="MSIPCMb58e463dae15363a884eebee" descr="{&quot;HashCode&quot;:-27646239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17C1" w14:textId="0A33388F" w:rsidR="00016428" w:rsidRPr="00016428" w:rsidRDefault="00016428" w:rsidP="00016428">
                          <w:pPr>
                            <w:rPr>
                              <w:rFonts w:ascii="Calibri" w:hAnsi="Calibri" w:cs="Calibri"/>
                              <w:color w:val="317100"/>
                            </w:rPr>
                          </w:pPr>
                          <w:r w:rsidRPr="00016428">
                            <w:rPr>
                              <w:rFonts w:ascii="Calibri" w:hAnsi="Calibri" w:cs="Calibri"/>
                              <w:color w:val="317100"/>
                            </w:rPr>
                            <w:t>Classification: Green</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5369D" id="_x0000_t202" coordsize="21600,21600" o:spt="202" path="m,l,21600r21600,l21600,xe">
              <v:stroke joinstyle="miter"/>
              <v:path gradientshapeok="t" o:connecttype="rect"/>
            </v:shapetype>
            <v:shape id="MSIPCMb58e463dae15363a884eebee" o:spid="_x0000_s1026" type="#_x0000_t202" alt="{&quot;HashCode&quot;:-276462396,&quot;Height&quot;:841.0,&quot;Width&quot;:595.0,&quot;Placement&quot;:&quot;Footer&quot;,&quot;Index&quot;:&quot;Primary&quot;,&quot;Section&quot;:1,&quot;Top&quot;:0.0,&quot;Left&quot;:0.0}" style="position:absolute;margin-left:0;margin-top:805.15pt;width:595.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" o:allowincell="f" filled="f" stroked="f">
              <v:textbox inset="20pt,0,,0">
                <w:txbxContent>
                  <w:p w14:paraId="528317C1" w14:textId="0A33388F" w:rsidR="00016428" w:rsidRPr="00016428" w:rsidRDefault="00016428" w:rsidP="00016428">
                    <w:pPr>
                      <w:rPr>
                        <w:rFonts w:ascii="Calibri" w:hAnsi="Calibri" w:cs="Calibri"/>
                        <w:color w:val="317100"/>
                      </w:rPr>
                    </w:pPr>
                    <w:r w:rsidRPr="00016428">
                      <w:rPr>
                        <w:rFonts w:ascii="Calibri" w:hAnsi="Calibri" w:cs="Calibri"/>
                        <w:color w:val="317100"/>
                      </w:rPr>
                      <w:t>Classification: Green</w:t>
                    </w:r>
                  </w:p>
                </w:txbxContent>
              </v:textbox>
              <w10:wrap anchorx="page" anchory="page"/>
            </v:shape>
          </w:pict>
        </mc:Fallback>
      </mc:AlternateContent>
    </w:r>
    <w:r w:rsidR="00AB4040" w:rsidRPr="000574AD">
      <w:rPr>
        <w:rFonts w:ascii="Century Gothic" w:hAnsi="Century Gothic" w:cs="Arial"/>
        <w:color w:val="8064A2"/>
      </w:rPr>
      <w:t>C</w:t>
    </w:r>
    <w:r w:rsidR="002121AE" w:rsidRPr="000574AD">
      <w:rPr>
        <w:rFonts w:ascii="Century Gothic" w:hAnsi="Century Gothic" w:cs="Arial"/>
        <w:color w:val="8064A2"/>
      </w:rPr>
      <w:t>ornerstone</w:t>
    </w:r>
    <w:r w:rsidR="00AB4040" w:rsidRPr="000574AD">
      <w:rPr>
        <w:rFonts w:ascii="Century Gothic" w:hAnsi="Century Gothic" w:cs="Arial"/>
        <w:color w:val="8064A2"/>
      </w:rPr>
      <w:t xml:space="preserve"> </w:t>
    </w:r>
    <w:r w:rsidR="00CD5AC7" w:rsidRPr="000574AD">
      <w:rPr>
        <w:rFonts w:ascii="Century Gothic" w:hAnsi="Century Gothic" w:cs="Arial"/>
        <w:color w:val="8064A2"/>
      </w:rPr>
      <w:t xml:space="preserve">General Background Information (England) </w:t>
    </w:r>
    <w:r w:rsidR="002121AE" w:rsidRPr="000574AD">
      <w:rPr>
        <w:rFonts w:ascii="Century Gothic" w:hAnsi="Century Gothic" w:cs="Arial"/>
        <w:color w:val="8064A2"/>
      </w:rPr>
      <w:t>V.</w:t>
    </w:r>
    <w:r w:rsidR="004938F6">
      <w:rPr>
        <w:rFonts w:ascii="Century Gothic" w:hAnsi="Century Gothic" w:cs="Arial"/>
        <w:color w:val="8064A2"/>
      </w:rPr>
      <w:t>2</w:t>
    </w:r>
  </w:p>
  <w:p w14:paraId="64723F53" w14:textId="6BAC92F4" w:rsidR="00FF274A" w:rsidRPr="000574AD" w:rsidRDefault="30335D96" w:rsidP="0024294E">
    <w:pPr>
      <w:pStyle w:val="Footer"/>
      <w:rPr>
        <w:rFonts w:ascii="Century Gothic" w:hAnsi="Century Gothic" w:cs="Arial"/>
        <w:color w:val="8064A2" w:themeColor="accent4"/>
      </w:rPr>
    </w:pPr>
    <w:r w:rsidRPr="000574AD">
      <w:rPr>
        <w:rFonts w:ascii="Century Gothic" w:hAnsi="Century Gothic" w:cs="Arial"/>
        <w:color w:val="8064A2" w:themeColor="accent4"/>
      </w:rPr>
      <w:t>201</w:t>
    </w:r>
    <w:r w:rsidR="002121AE" w:rsidRPr="000574AD">
      <w:rPr>
        <w:rFonts w:ascii="Century Gothic" w:hAnsi="Century Gothic" w:cs="Arial"/>
        <w:color w:val="8064A2" w:themeColor="accent4"/>
      </w:rPr>
      <w:t>9</w:t>
    </w:r>
    <w:r w:rsidR="00D93A73">
      <w:rPr>
        <w:rFonts w:ascii="Century Gothic" w:hAnsi="Century Gothic" w:cs="Arial"/>
        <w:color w:val="8064A2" w:themeColor="accent4"/>
      </w:rPr>
      <w:t>1002</w:t>
    </w:r>
  </w:p>
  <w:p w14:paraId="45FB0818" w14:textId="77777777" w:rsidR="00FF274A" w:rsidRDefault="00FF274A">
    <w:pPr>
      <w:pStyle w:val="Foote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BB581" w14:textId="77777777" w:rsidR="008C5CA7" w:rsidRDefault="008C5CA7">
      <w:r>
        <w:separator/>
      </w:r>
    </w:p>
  </w:footnote>
  <w:footnote w:type="continuationSeparator" w:id="0">
    <w:p w14:paraId="646C1F9D" w14:textId="77777777" w:rsidR="008C5CA7" w:rsidRDefault="008C5CA7">
      <w:r>
        <w:continuationSeparator/>
      </w:r>
    </w:p>
  </w:footnote>
  <w:footnote w:id="1">
    <w:p w14:paraId="27A4B117" w14:textId="226A2BE6" w:rsidR="00976528" w:rsidRDefault="00976528">
      <w:pPr>
        <w:pStyle w:val="FootnoteText"/>
      </w:pPr>
      <w:r>
        <w:rPr>
          <w:rStyle w:val="FootnoteReference"/>
        </w:rPr>
        <w:footnoteRef/>
      </w:r>
      <w:r>
        <w:t xml:space="preserve"> Ofcom Report: Supporting the Expanding Role of Wireless Innovation in UK Industry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66"/>
      <w:gridCol w:w="3166"/>
      <w:gridCol w:w="3166"/>
    </w:tblGrid>
    <w:tr w:rsidR="30335D96" w14:paraId="2BD3F9C5" w14:textId="77777777" w:rsidTr="30335D96">
      <w:tc>
        <w:tcPr>
          <w:tcW w:w="3166" w:type="dxa"/>
        </w:tcPr>
        <w:p w14:paraId="11FDFEAA" w14:textId="1E0753F2" w:rsidR="30335D96" w:rsidRDefault="30335D96" w:rsidP="30335D96">
          <w:pPr>
            <w:pStyle w:val="Header"/>
            <w:ind w:left="-115"/>
          </w:pPr>
        </w:p>
      </w:tc>
      <w:tc>
        <w:tcPr>
          <w:tcW w:w="3166" w:type="dxa"/>
        </w:tcPr>
        <w:p w14:paraId="616B3BC8" w14:textId="62ECC1AD" w:rsidR="30335D96" w:rsidRDefault="30335D96" w:rsidP="30335D96">
          <w:pPr>
            <w:pStyle w:val="Header"/>
            <w:jc w:val="center"/>
          </w:pPr>
        </w:p>
      </w:tc>
      <w:tc>
        <w:tcPr>
          <w:tcW w:w="3166" w:type="dxa"/>
        </w:tcPr>
        <w:p w14:paraId="75083958" w14:textId="2FC651A9" w:rsidR="30335D96" w:rsidRDefault="30335D96" w:rsidP="30335D96">
          <w:pPr>
            <w:pStyle w:val="Header"/>
            <w:ind w:right="-115"/>
            <w:jc w:val="right"/>
          </w:pPr>
        </w:p>
      </w:tc>
    </w:tr>
  </w:tbl>
  <w:p w14:paraId="0A4ACB1B" w14:textId="61939C00" w:rsidR="30335D96" w:rsidRDefault="30335D96" w:rsidP="30335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784"/>
    <w:multiLevelType w:val="hybridMultilevel"/>
    <w:tmpl w:val="9A761898"/>
    <w:lvl w:ilvl="0" w:tplc="04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14A813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6872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2E1A0C"/>
    <w:multiLevelType w:val="hybridMultilevel"/>
    <w:tmpl w:val="96407860"/>
    <w:lvl w:ilvl="0" w:tplc="D632E79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12EFF"/>
    <w:multiLevelType w:val="multilevel"/>
    <w:tmpl w:val="3B7C8A4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5DF276B"/>
    <w:multiLevelType w:val="multilevel"/>
    <w:tmpl w:val="FEEAF36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6FE1D45"/>
    <w:multiLevelType w:val="hybridMultilevel"/>
    <w:tmpl w:val="8EBEB31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DC3D9E"/>
    <w:multiLevelType w:val="multilevel"/>
    <w:tmpl w:val="5432521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C43384D"/>
    <w:multiLevelType w:val="hybridMultilevel"/>
    <w:tmpl w:val="2E62B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15FCC"/>
    <w:multiLevelType w:val="hybridMultilevel"/>
    <w:tmpl w:val="BA3280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A344C2"/>
    <w:multiLevelType w:val="multilevel"/>
    <w:tmpl w:val="F1224B3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36B165DA"/>
    <w:multiLevelType w:val="hybridMultilevel"/>
    <w:tmpl w:val="49FEF9E2"/>
    <w:lvl w:ilvl="0" w:tplc="04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C1D7B"/>
    <w:multiLevelType w:val="hybridMultilevel"/>
    <w:tmpl w:val="7C6224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10E7"/>
    <w:multiLevelType w:val="singleLevel"/>
    <w:tmpl w:val="94CA6D7A"/>
    <w:lvl w:ilvl="0">
      <w:start w:val="1"/>
      <w:numFmt w:val="decimal"/>
      <w:lvlText w:val="%1."/>
      <w:lvlJc w:val="left"/>
      <w:pPr>
        <w:tabs>
          <w:tab w:val="num" w:pos="720"/>
        </w:tabs>
        <w:ind w:left="720" w:hanging="720"/>
      </w:pPr>
      <w:rPr>
        <w:rFonts w:ascii="Century Gothic" w:eastAsia="Times New Roman" w:hAnsi="Century Gothic" w:cs="Arial"/>
      </w:rPr>
    </w:lvl>
  </w:abstractNum>
  <w:abstractNum w:abstractNumId="14" w15:restartNumberingAfterBreak="0">
    <w:nsid w:val="3AA21E56"/>
    <w:multiLevelType w:val="multilevel"/>
    <w:tmpl w:val="EC147D8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57F63"/>
    <w:multiLevelType w:val="multilevel"/>
    <w:tmpl w:val="BD5E5E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7C64E5"/>
    <w:multiLevelType w:val="multilevel"/>
    <w:tmpl w:val="FBB4E7F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500580"/>
    <w:multiLevelType w:val="multilevel"/>
    <w:tmpl w:val="71C62A8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5157F7E"/>
    <w:multiLevelType w:val="multilevel"/>
    <w:tmpl w:val="C4EAEF78"/>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64E566D"/>
    <w:multiLevelType w:val="hybridMultilevel"/>
    <w:tmpl w:val="CEB6A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63B7D"/>
    <w:multiLevelType w:val="multilevel"/>
    <w:tmpl w:val="E83E286A"/>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4FBE046E"/>
    <w:multiLevelType w:val="multilevel"/>
    <w:tmpl w:val="60B0BCEC"/>
    <w:lvl w:ilvl="0">
      <w:start w:val="1"/>
      <w:numFmt w:val="decimal"/>
      <w:lvlText w:val="%1"/>
      <w:lvlJc w:val="left"/>
      <w:pPr>
        <w:tabs>
          <w:tab w:val="num" w:pos="432"/>
        </w:tabs>
        <w:ind w:left="432" w:hanging="432"/>
      </w:pPr>
    </w:lvl>
    <w:lvl w:ilvl="1">
      <w:start w:val="1"/>
      <w:numFmt w:val="decimal"/>
      <w:lvlText w:val="%1.%2"/>
      <w:lvlJc w:val="left"/>
      <w:pPr>
        <w:tabs>
          <w:tab w:val="num" w:pos="432"/>
        </w:tabs>
        <w:ind w:left="432" w:hanging="432"/>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152"/>
        </w:tabs>
        <w:ind w:left="432" w:firstLine="0"/>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51E32D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CD418C"/>
    <w:multiLevelType w:val="hybridMultilevel"/>
    <w:tmpl w:val="7610B618"/>
    <w:lvl w:ilvl="0" w:tplc="BC1ABBE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7BE5E0B"/>
    <w:multiLevelType w:val="multilevel"/>
    <w:tmpl w:val="50DC5E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CF6771"/>
    <w:multiLevelType w:val="multilevel"/>
    <w:tmpl w:val="7F101E8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542BC5"/>
    <w:multiLevelType w:val="multilevel"/>
    <w:tmpl w:val="9BDE2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228"/>
        </w:tabs>
        <w:ind w:left="228" w:hanging="108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304"/>
        </w:tabs>
        <w:ind w:left="304" w:hanging="1440"/>
      </w:pPr>
      <w:rPr>
        <w:rFonts w:hint="default"/>
      </w:rPr>
    </w:lvl>
  </w:abstractNum>
  <w:abstractNum w:abstractNumId="28" w15:restartNumberingAfterBreak="0">
    <w:nsid w:val="652C21F0"/>
    <w:multiLevelType w:val="multilevel"/>
    <w:tmpl w:val="3F3676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6C31BD5"/>
    <w:multiLevelType w:val="multilevel"/>
    <w:tmpl w:val="C78AB7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76423CA"/>
    <w:multiLevelType w:val="hybridMultilevel"/>
    <w:tmpl w:val="54B2C2B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BCF23BE"/>
    <w:multiLevelType w:val="multilevel"/>
    <w:tmpl w:val="BAAE481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78912A8C"/>
    <w:multiLevelType w:val="hybridMultilevel"/>
    <w:tmpl w:val="096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85132"/>
    <w:multiLevelType w:val="multilevel"/>
    <w:tmpl w:val="7F101E8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13"/>
  </w:num>
  <w:num w:numId="3">
    <w:abstractNumId w:val="1"/>
  </w:num>
  <w:num w:numId="4">
    <w:abstractNumId w:val="22"/>
  </w:num>
  <w:num w:numId="5">
    <w:abstractNumId w:val="2"/>
  </w:num>
  <w:num w:numId="6">
    <w:abstractNumId w:val="19"/>
  </w:num>
  <w:num w:numId="7">
    <w:abstractNumId w:val="27"/>
  </w:num>
  <w:num w:numId="8">
    <w:abstractNumId w:val="8"/>
  </w:num>
  <w:num w:numId="9">
    <w:abstractNumId w:val="9"/>
  </w:num>
  <w:num w:numId="10">
    <w:abstractNumId w:val="30"/>
  </w:num>
  <w:num w:numId="11">
    <w:abstractNumId w:val="12"/>
  </w:num>
  <w:num w:numId="12">
    <w:abstractNumId w:val="18"/>
  </w:num>
  <w:num w:numId="13">
    <w:abstractNumId w:val="14"/>
  </w:num>
  <w:num w:numId="14">
    <w:abstractNumId w:val="5"/>
  </w:num>
  <w:num w:numId="15">
    <w:abstractNumId w:val="7"/>
  </w:num>
  <w:num w:numId="16">
    <w:abstractNumId w:val="0"/>
  </w:num>
  <w:num w:numId="17">
    <w:abstractNumId w:val="31"/>
  </w:num>
  <w:num w:numId="18">
    <w:abstractNumId w:val="16"/>
  </w:num>
  <w:num w:numId="19">
    <w:abstractNumId w:val="15"/>
  </w:num>
  <w:num w:numId="20">
    <w:abstractNumId w:val="6"/>
  </w:num>
  <w:num w:numId="21">
    <w:abstractNumId w:val="17"/>
  </w:num>
  <w:num w:numId="22">
    <w:abstractNumId w:val="20"/>
  </w:num>
  <w:num w:numId="23">
    <w:abstractNumId w:val="24"/>
  </w:num>
  <w:num w:numId="24">
    <w:abstractNumId w:val="29"/>
  </w:num>
  <w:num w:numId="25">
    <w:abstractNumId w:val="10"/>
  </w:num>
  <w:num w:numId="26">
    <w:abstractNumId w:val="28"/>
  </w:num>
  <w:num w:numId="27">
    <w:abstractNumId w:val="23"/>
  </w:num>
  <w:num w:numId="28">
    <w:abstractNumId w:val="11"/>
  </w:num>
  <w:num w:numId="29">
    <w:abstractNumId w:val="4"/>
  </w:num>
  <w:num w:numId="30">
    <w:abstractNumId w:val="26"/>
  </w:num>
  <w:num w:numId="31">
    <w:abstractNumId w:val="32"/>
  </w:num>
  <w:num w:numId="32">
    <w:abstractNumId w:val="33"/>
  </w:num>
  <w:num w:numId="33">
    <w:abstractNumId w:val="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4E"/>
    <w:rsid w:val="000039C2"/>
    <w:rsid w:val="000049EB"/>
    <w:rsid w:val="00007FD8"/>
    <w:rsid w:val="00011531"/>
    <w:rsid w:val="00016428"/>
    <w:rsid w:val="000467A4"/>
    <w:rsid w:val="00046EDA"/>
    <w:rsid w:val="00047A4A"/>
    <w:rsid w:val="000539EE"/>
    <w:rsid w:val="000574AD"/>
    <w:rsid w:val="0005797B"/>
    <w:rsid w:val="00061F0B"/>
    <w:rsid w:val="00070038"/>
    <w:rsid w:val="00070614"/>
    <w:rsid w:val="000B300C"/>
    <w:rsid w:val="000D286F"/>
    <w:rsid w:val="000D5EBC"/>
    <w:rsid w:val="000E5F06"/>
    <w:rsid w:val="000E660B"/>
    <w:rsid w:val="000E7D30"/>
    <w:rsid w:val="000F4742"/>
    <w:rsid w:val="00135FC8"/>
    <w:rsid w:val="001405ED"/>
    <w:rsid w:val="00141C18"/>
    <w:rsid w:val="0014231B"/>
    <w:rsid w:val="00151443"/>
    <w:rsid w:val="00154E4B"/>
    <w:rsid w:val="00175E88"/>
    <w:rsid w:val="0019075B"/>
    <w:rsid w:val="001A0548"/>
    <w:rsid w:val="001A1E40"/>
    <w:rsid w:val="001D2974"/>
    <w:rsid w:val="001D42D0"/>
    <w:rsid w:val="001D781C"/>
    <w:rsid w:val="001E7FE8"/>
    <w:rsid w:val="002121AE"/>
    <w:rsid w:val="0022252F"/>
    <w:rsid w:val="00231094"/>
    <w:rsid w:val="00234A7D"/>
    <w:rsid w:val="0024294E"/>
    <w:rsid w:val="00242D30"/>
    <w:rsid w:val="002678D3"/>
    <w:rsid w:val="00276CCA"/>
    <w:rsid w:val="002B3056"/>
    <w:rsid w:val="002F0674"/>
    <w:rsid w:val="00316957"/>
    <w:rsid w:val="00317B5C"/>
    <w:rsid w:val="003710F2"/>
    <w:rsid w:val="0037424D"/>
    <w:rsid w:val="003926F3"/>
    <w:rsid w:val="003A1F44"/>
    <w:rsid w:val="003A7FD2"/>
    <w:rsid w:val="003B2CDA"/>
    <w:rsid w:val="003D3B95"/>
    <w:rsid w:val="003E0870"/>
    <w:rsid w:val="003E49DE"/>
    <w:rsid w:val="003E6CB9"/>
    <w:rsid w:val="003E7A9B"/>
    <w:rsid w:val="003F3B1C"/>
    <w:rsid w:val="00401AB5"/>
    <w:rsid w:val="00401FDB"/>
    <w:rsid w:val="004216FD"/>
    <w:rsid w:val="00446BAD"/>
    <w:rsid w:val="004534A5"/>
    <w:rsid w:val="0045609F"/>
    <w:rsid w:val="0046198D"/>
    <w:rsid w:val="00467774"/>
    <w:rsid w:val="00486E4A"/>
    <w:rsid w:val="00491CBF"/>
    <w:rsid w:val="004938F6"/>
    <w:rsid w:val="004B6324"/>
    <w:rsid w:val="004D5CBC"/>
    <w:rsid w:val="004F7C09"/>
    <w:rsid w:val="005067CB"/>
    <w:rsid w:val="0051038A"/>
    <w:rsid w:val="00514673"/>
    <w:rsid w:val="00515CFB"/>
    <w:rsid w:val="005342C5"/>
    <w:rsid w:val="005617F0"/>
    <w:rsid w:val="005632EE"/>
    <w:rsid w:val="00564E64"/>
    <w:rsid w:val="00570FAC"/>
    <w:rsid w:val="005732B4"/>
    <w:rsid w:val="005752D0"/>
    <w:rsid w:val="00594CFA"/>
    <w:rsid w:val="005A2DAA"/>
    <w:rsid w:val="005A5F5E"/>
    <w:rsid w:val="005B31CF"/>
    <w:rsid w:val="005B6BD3"/>
    <w:rsid w:val="005C23A8"/>
    <w:rsid w:val="005C2FDB"/>
    <w:rsid w:val="005C3E4A"/>
    <w:rsid w:val="005D5505"/>
    <w:rsid w:val="005E687C"/>
    <w:rsid w:val="00603482"/>
    <w:rsid w:val="006332AF"/>
    <w:rsid w:val="00633D66"/>
    <w:rsid w:val="00634F80"/>
    <w:rsid w:val="006417DE"/>
    <w:rsid w:val="0064345E"/>
    <w:rsid w:val="006435A8"/>
    <w:rsid w:val="00652975"/>
    <w:rsid w:val="00654E49"/>
    <w:rsid w:val="00656C83"/>
    <w:rsid w:val="006830DF"/>
    <w:rsid w:val="006A18B3"/>
    <w:rsid w:val="006B72C8"/>
    <w:rsid w:val="006F0357"/>
    <w:rsid w:val="006F3E31"/>
    <w:rsid w:val="0072539B"/>
    <w:rsid w:val="00725910"/>
    <w:rsid w:val="00762905"/>
    <w:rsid w:val="00773438"/>
    <w:rsid w:val="0078353C"/>
    <w:rsid w:val="007A22EF"/>
    <w:rsid w:val="007B6A5B"/>
    <w:rsid w:val="007D4C7C"/>
    <w:rsid w:val="007E43A0"/>
    <w:rsid w:val="00811B1A"/>
    <w:rsid w:val="008145A7"/>
    <w:rsid w:val="008205F6"/>
    <w:rsid w:val="00843E9A"/>
    <w:rsid w:val="00846986"/>
    <w:rsid w:val="008829B0"/>
    <w:rsid w:val="00882EF1"/>
    <w:rsid w:val="008A09DA"/>
    <w:rsid w:val="008A2F29"/>
    <w:rsid w:val="008A592B"/>
    <w:rsid w:val="008C4DC6"/>
    <w:rsid w:val="008C5CA7"/>
    <w:rsid w:val="008D6D89"/>
    <w:rsid w:val="008E799F"/>
    <w:rsid w:val="00903255"/>
    <w:rsid w:val="009127A0"/>
    <w:rsid w:val="00923A70"/>
    <w:rsid w:val="009431D3"/>
    <w:rsid w:val="00963FF7"/>
    <w:rsid w:val="00976528"/>
    <w:rsid w:val="00977BC4"/>
    <w:rsid w:val="00994561"/>
    <w:rsid w:val="009A646A"/>
    <w:rsid w:val="009D7886"/>
    <w:rsid w:val="009E4826"/>
    <w:rsid w:val="009E5ABE"/>
    <w:rsid w:val="009E70BC"/>
    <w:rsid w:val="009F4234"/>
    <w:rsid w:val="009F44E1"/>
    <w:rsid w:val="00A10617"/>
    <w:rsid w:val="00A11D68"/>
    <w:rsid w:val="00A17E66"/>
    <w:rsid w:val="00A402E7"/>
    <w:rsid w:val="00A4104D"/>
    <w:rsid w:val="00A47922"/>
    <w:rsid w:val="00A47FB9"/>
    <w:rsid w:val="00A61B90"/>
    <w:rsid w:val="00A61BD0"/>
    <w:rsid w:val="00A6362D"/>
    <w:rsid w:val="00A67337"/>
    <w:rsid w:val="00A67646"/>
    <w:rsid w:val="00A83CC1"/>
    <w:rsid w:val="00A91C6F"/>
    <w:rsid w:val="00A958F6"/>
    <w:rsid w:val="00AA7761"/>
    <w:rsid w:val="00AB4040"/>
    <w:rsid w:val="00AC76D8"/>
    <w:rsid w:val="00AD306B"/>
    <w:rsid w:val="00AE0216"/>
    <w:rsid w:val="00AE4623"/>
    <w:rsid w:val="00AF1317"/>
    <w:rsid w:val="00B21B18"/>
    <w:rsid w:val="00B35A98"/>
    <w:rsid w:val="00B45A9F"/>
    <w:rsid w:val="00B734F7"/>
    <w:rsid w:val="00B764A4"/>
    <w:rsid w:val="00B928BF"/>
    <w:rsid w:val="00B96AAD"/>
    <w:rsid w:val="00BC3B84"/>
    <w:rsid w:val="00BE23CE"/>
    <w:rsid w:val="00BE56E0"/>
    <w:rsid w:val="00C114A2"/>
    <w:rsid w:val="00C32A93"/>
    <w:rsid w:val="00C372EF"/>
    <w:rsid w:val="00C375E8"/>
    <w:rsid w:val="00C5460C"/>
    <w:rsid w:val="00C67B50"/>
    <w:rsid w:val="00C71736"/>
    <w:rsid w:val="00C82762"/>
    <w:rsid w:val="00C85013"/>
    <w:rsid w:val="00CA1230"/>
    <w:rsid w:val="00CA56B0"/>
    <w:rsid w:val="00CA7CE2"/>
    <w:rsid w:val="00CB1623"/>
    <w:rsid w:val="00CB1D1B"/>
    <w:rsid w:val="00CD2AE4"/>
    <w:rsid w:val="00CD5AC7"/>
    <w:rsid w:val="00D04041"/>
    <w:rsid w:val="00D370C1"/>
    <w:rsid w:val="00D4286D"/>
    <w:rsid w:val="00D6069D"/>
    <w:rsid w:val="00D6389A"/>
    <w:rsid w:val="00D6761E"/>
    <w:rsid w:val="00D76F97"/>
    <w:rsid w:val="00D84FC6"/>
    <w:rsid w:val="00D93A73"/>
    <w:rsid w:val="00D93A7C"/>
    <w:rsid w:val="00DB5E6F"/>
    <w:rsid w:val="00DD687A"/>
    <w:rsid w:val="00DE03E6"/>
    <w:rsid w:val="00E1001F"/>
    <w:rsid w:val="00E12E3A"/>
    <w:rsid w:val="00E27A62"/>
    <w:rsid w:val="00E4253F"/>
    <w:rsid w:val="00E6510B"/>
    <w:rsid w:val="00E65388"/>
    <w:rsid w:val="00EA0A47"/>
    <w:rsid w:val="00EA382E"/>
    <w:rsid w:val="00EB1A60"/>
    <w:rsid w:val="00EB3436"/>
    <w:rsid w:val="00EC6CFC"/>
    <w:rsid w:val="00EC7470"/>
    <w:rsid w:val="00EF63F5"/>
    <w:rsid w:val="00F10FB0"/>
    <w:rsid w:val="00F12187"/>
    <w:rsid w:val="00F23CA9"/>
    <w:rsid w:val="00F24599"/>
    <w:rsid w:val="00F5250B"/>
    <w:rsid w:val="00F57AE5"/>
    <w:rsid w:val="00F73728"/>
    <w:rsid w:val="00F90A43"/>
    <w:rsid w:val="00FB0F91"/>
    <w:rsid w:val="00FB5085"/>
    <w:rsid w:val="00FE0F67"/>
    <w:rsid w:val="00FF274A"/>
    <w:rsid w:val="3033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078BD1F"/>
  <w15:docId w15:val="{1628D01A-446F-4914-8099-D56E3B8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67"/>
    <w:rPr>
      <w:lang w:eastAsia="en-US"/>
    </w:rPr>
  </w:style>
  <w:style w:type="paragraph" w:styleId="Heading1">
    <w:name w:val="heading 1"/>
    <w:basedOn w:val="Normal"/>
    <w:next w:val="Normal"/>
    <w:link w:val="Heading1Char"/>
    <w:qFormat/>
    <w:rsid w:val="00FE0F67"/>
    <w:pPr>
      <w:keepNext/>
      <w:spacing w:before="240" w:after="60"/>
      <w:outlineLvl w:val="0"/>
    </w:pPr>
    <w:rPr>
      <w:rFonts w:ascii="Arial" w:hAnsi="Arial"/>
      <w:b/>
      <w:caps/>
      <w:kern w:val="28"/>
      <w:sz w:val="24"/>
      <w:u w:val="single"/>
      <w:lang w:val="en-AU"/>
    </w:rPr>
  </w:style>
  <w:style w:type="paragraph" w:styleId="Heading2">
    <w:name w:val="heading 2"/>
    <w:basedOn w:val="Normal"/>
    <w:next w:val="Normal"/>
    <w:qFormat/>
    <w:rsid w:val="00FE0F67"/>
    <w:pPr>
      <w:keepNext/>
      <w:spacing w:before="240" w:after="60"/>
      <w:outlineLvl w:val="1"/>
    </w:pPr>
    <w:rPr>
      <w:rFonts w:ascii="Arial" w:hAnsi="Arial"/>
      <w:b/>
      <w:sz w:val="24"/>
      <w:lang w:val="en-AU"/>
    </w:rPr>
  </w:style>
  <w:style w:type="paragraph" w:styleId="Heading3">
    <w:name w:val="heading 3"/>
    <w:basedOn w:val="Normal"/>
    <w:next w:val="Normal"/>
    <w:qFormat/>
    <w:rsid w:val="00FE0F67"/>
    <w:pPr>
      <w:keepNext/>
      <w:numPr>
        <w:ilvl w:val="2"/>
        <w:numId w:val="1"/>
      </w:numPr>
      <w:spacing w:before="240" w:after="60"/>
      <w:outlineLvl w:val="2"/>
    </w:pPr>
    <w:rPr>
      <w:rFonts w:ascii="Arial Narrow" w:hAnsi="Arial Narrow"/>
      <w:b/>
      <w:lang w:val="en-AU"/>
    </w:rPr>
  </w:style>
  <w:style w:type="paragraph" w:styleId="Heading4">
    <w:name w:val="heading 4"/>
    <w:basedOn w:val="Normal"/>
    <w:next w:val="Normal"/>
    <w:qFormat/>
    <w:rsid w:val="00FE0F67"/>
    <w:pPr>
      <w:keepNext/>
      <w:numPr>
        <w:ilvl w:val="3"/>
        <w:numId w:val="1"/>
      </w:numPr>
      <w:spacing w:before="240" w:after="60"/>
      <w:outlineLvl w:val="3"/>
    </w:pPr>
    <w:rPr>
      <w:rFonts w:ascii="Arial" w:hAnsi="Arial"/>
      <w:b/>
      <w:sz w:val="24"/>
      <w:lang w:val="en-AU"/>
    </w:rPr>
  </w:style>
  <w:style w:type="paragraph" w:styleId="Heading5">
    <w:name w:val="heading 5"/>
    <w:basedOn w:val="Normal"/>
    <w:next w:val="Normal"/>
    <w:qFormat/>
    <w:rsid w:val="00FE0F67"/>
    <w:pPr>
      <w:numPr>
        <w:ilvl w:val="4"/>
        <w:numId w:val="1"/>
      </w:numPr>
      <w:spacing w:before="240" w:after="60"/>
      <w:outlineLvl w:val="4"/>
    </w:pPr>
    <w:rPr>
      <w:rFonts w:ascii="Arial Narrow" w:hAnsi="Arial Narrow"/>
      <w:sz w:val="22"/>
      <w:lang w:val="en-AU"/>
    </w:rPr>
  </w:style>
  <w:style w:type="paragraph" w:styleId="Heading6">
    <w:name w:val="heading 6"/>
    <w:basedOn w:val="Normal"/>
    <w:next w:val="Normal"/>
    <w:qFormat/>
    <w:rsid w:val="00FE0F67"/>
    <w:pPr>
      <w:numPr>
        <w:ilvl w:val="5"/>
        <w:numId w:val="1"/>
      </w:numPr>
      <w:spacing w:before="240" w:after="60"/>
      <w:outlineLvl w:val="5"/>
    </w:pPr>
    <w:rPr>
      <w:i/>
      <w:sz w:val="22"/>
      <w:lang w:val="en-AU"/>
    </w:rPr>
  </w:style>
  <w:style w:type="paragraph" w:styleId="Heading7">
    <w:name w:val="heading 7"/>
    <w:basedOn w:val="Normal"/>
    <w:next w:val="Normal"/>
    <w:qFormat/>
    <w:rsid w:val="00FE0F67"/>
    <w:pPr>
      <w:numPr>
        <w:ilvl w:val="6"/>
        <w:numId w:val="1"/>
      </w:numPr>
      <w:spacing w:before="240" w:after="60"/>
      <w:outlineLvl w:val="6"/>
    </w:pPr>
    <w:rPr>
      <w:rFonts w:ascii="Arial" w:hAnsi="Arial"/>
      <w:lang w:val="en-AU"/>
    </w:rPr>
  </w:style>
  <w:style w:type="paragraph" w:styleId="Heading8">
    <w:name w:val="heading 8"/>
    <w:basedOn w:val="Normal"/>
    <w:next w:val="Normal"/>
    <w:qFormat/>
    <w:rsid w:val="00FE0F67"/>
    <w:pPr>
      <w:numPr>
        <w:ilvl w:val="7"/>
        <w:numId w:val="1"/>
      </w:numPr>
      <w:spacing w:before="240" w:after="60"/>
      <w:outlineLvl w:val="7"/>
    </w:pPr>
    <w:rPr>
      <w:rFonts w:ascii="Arial" w:hAnsi="Arial"/>
      <w:i/>
      <w:lang w:val="en-AU"/>
    </w:rPr>
  </w:style>
  <w:style w:type="paragraph" w:styleId="Heading9">
    <w:name w:val="heading 9"/>
    <w:basedOn w:val="Normal"/>
    <w:next w:val="Normal"/>
    <w:qFormat/>
    <w:rsid w:val="00FE0F67"/>
    <w:pPr>
      <w:numPr>
        <w:ilvl w:val="8"/>
        <w:numId w:val="1"/>
      </w:numPr>
      <w:spacing w:before="240" w:after="60"/>
      <w:outlineLvl w:val="8"/>
    </w:pPr>
    <w:rPr>
      <w:rFonts w:ascii="Arial"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E0F67"/>
    <w:pPr>
      <w:tabs>
        <w:tab w:val="center" w:pos="4153"/>
        <w:tab w:val="right" w:pos="8306"/>
      </w:tabs>
    </w:pPr>
  </w:style>
  <w:style w:type="paragraph" w:styleId="Footer">
    <w:name w:val="footer"/>
    <w:basedOn w:val="Normal"/>
    <w:link w:val="FooterChar"/>
    <w:uiPriority w:val="99"/>
    <w:rsid w:val="00FE0F67"/>
    <w:pPr>
      <w:tabs>
        <w:tab w:val="center" w:pos="4153"/>
        <w:tab w:val="right" w:pos="8306"/>
      </w:tabs>
    </w:pPr>
  </w:style>
  <w:style w:type="paragraph" w:styleId="BodyTextIndent">
    <w:name w:val="Body Text Indent"/>
    <w:basedOn w:val="Normal"/>
    <w:rsid w:val="00FE0F67"/>
    <w:pPr>
      <w:ind w:left="432"/>
    </w:pPr>
    <w:rPr>
      <w:rFonts w:ascii="Arial Narrow" w:hAnsi="Arial Narrow"/>
      <w:lang w:val="en-AU"/>
    </w:rPr>
  </w:style>
  <w:style w:type="paragraph" w:styleId="BodyText">
    <w:name w:val="Body Text"/>
    <w:basedOn w:val="Normal"/>
    <w:semiHidden/>
    <w:rsid w:val="00FE0F67"/>
    <w:pPr>
      <w:tabs>
        <w:tab w:val="left" w:pos="-720"/>
      </w:tabs>
      <w:suppressAutoHyphens/>
      <w:spacing w:after="120"/>
      <w:ind w:left="851"/>
      <w:jc w:val="both"/>
    </w:pPr>
    <w:rPr>
      <w:spacing w:val="-2"/>
      <w:sz w:val="24"/>
    </w:rPr>
  </w:style>
  <w:style w:type="paragraph" w:styleId="BodyText2">
    <w:name w:val="Body Text 2"/>
    <w:basedOn w:val="Normal"/>
    <w:semiHidden/>
    <w:rsid w:val="00FE0F67"/>
    <w:pPr>
      <w:jc w:val="both"/>
    </w:pPr>
    <w:rPr>
      <w:sz w:val="24"/>
    </w:rPr>
  </w:style>
  <w:style w:type="paragraph" w:styleId="BodyText3">
    <w:name w:val="Body Text 3"/>
    <w:basedOn w:val="Normal"/>
    <w:semiHidden/>
    <w:rsid w:val="00FE0F67"/>
    <w:rPr>
      <w:rFonts w:ascii="HelveticaNeueCondensed" w:hAnsi="HelveticaNeueCondensed"/>
      <w:sz w:val="24"/>
      <w:lang w:val="en-AU"/>
    </w:rPr>
  </w:style>
  <w:style w:type="character" w:styleId="CommentReference">
    <w:name w:val="annotation reference"/>
    <w:basedOn w:val="DefaultParagraphFont"/>
    <w:semiHidden/>
    <w:rsid w:val="00FE0F67"/>
    <w:rPr>
      <w:sz w:val="16"/>
    </w:rPr>
  </w:style>
  <w:style w:type="paragraph" w:styleId="CommentText">
    <w:name w:val="annotation text"/>
    <w:basedOn w:val="Normal"/>
    <w:link w:val="CommentTextChar"/>
    <w:semiHidden/>
    <w:rsid w:val="00FE0F67"/>
  </w:style>
  <w:style w:type="paragraph" w:styleId="TOC2">
    <w:name w:val="toc 2"/>
    <w:basedOn w:val="Normal"/>
    <w:next w:val="Normal"/>
    <w:autoRedefine/>
    <w:semiHidden/>
    <w:rsid w:val="00FE0F67"/>
    <w:pPr>
      <w:tabs>
        <w:tab w:val="right" w:leader="dot" w:pos="9356"/>
      </w:tabs>
      <w:ind w:left="200"/>
    </w:pPr>
    <w:rPr>
      <w:rFonts w:ascii="Arial" w:hAnsi="Arial" w:cs="Arial"/>
      <w:noProof/>
    </w:rPr>
  </w:style>
  <w:style w:type="paragraph" w:styleId="TOC1">
    <w:name w:val="toc 1"/>
    <w:basedOn w:val="Normal"/>
    <w:next w:val="Normal"/>
    <w:autoRedefine/>
    <w:semiHidden/>
    <w:rsid w:val="00FE0F67"/>
    <w:pPr>
      <w:tabs>
        <w:tab w:val="right" w:leader="dot" w:pos="9356"/>
      </w:tabs>
    </w:pPr>
    <w:rPr>
      <w:rFonts w:ascii="Arial" w:hAnsi="Arial" w:cs="Arial"/>
      <w:noProof/>
    </w:rPr>
  </w:style>
  <w:style w:type="paragraph" w:styleId="TOC3">
    <w:name w:val="toc 3"/>
    <w:basedOn w:val="Normal"/>
    <w:next w:val="Normal"/>
    <w:autoRedefine/>
    <w:semiHidden/>
    <w:rsid w:val="00FE0F67"/>
    <w:pPr>
      <w:ind w:left="400"/>
    </w:pPr>
  </w:style>
  <w:style w:type="paragraph" w:styleId="TOC4">
    <w:name w:val="toc 4"/>
    <w:basedOn w:val="Normal"/>
    <w:next w:val="Normal"/>
    <w:autoRedefine/>
    <w:semiHidden/>
    <w:rsid w:val="00FE0F67"/>
    <w:pPr>
      <w:ind w:left="600"/>
    </w:pPr>
  </w:style>
  <w:style w:type="paragraph" w:styleId="TOC5">
    <w:name w:val="toc 5"/>
    <w:basedOn w:val="Normal"/>
    <w:next w:val="Normal"/>
    <w:autoRedefine/>
    <w:semiHidden/>
    <w:rsid w:val="00FE0F67"/>
    <w:pPr>
      <w:ind w:left="800"/>
    </w:pPr>
  </w:style>
  <w:style w:type="paragraph" w:styleId="TOC6">
    <w:name w:val="toc 6"/>
    <w:basedOn w:val="Normal"/>
    <w:next w:val="Normal"/>
    <w:autoRedefine/>
    <w:semiHidden/>
    <w:rsid w:val="00FE0F67"/>
    <w:pPr>
      <w:ind w:left="1000"/>
    </w:pPr>
  </w:style>
  <w:style w:type="paragraph" w:styleId="TOC7">
    <w:name w:val="toc 7"/>
    <w:basedOn w:val="Normal"/>
    <w:next w:val="Normal"/>
    <w:autoRedefine/>
    <w:semiHidden/>
    <w:rsid w:val="00FE0F67"/>
    <w:pPr>
      <w:ind w:left="1200"/>
    </w:pPr>
  </w:style>
  <w:style w:type="paragraph" w:styleId="TOC8">
    <w:name w:val="toc 8"/>
    <w:basedOn w:val="Normal"/>
    <w:next w:val="Normal"/>
    <w:autoRedefine/>
    <w:semiHidden/>
    <w:rsid w:val="00FE0F67"/>
    <w:pPr>
      <w:ind w:left="1400"/>
    </w:pPr>
  </w:style>
  <w:style w:type="paragraph" w:styleId="TOC9">
    <w:name w:val="toc 9"/>
    <w:basedOn w:val="Normal"/>
    <w:next w:val="Normal"/>
    <w:autoRedefine/>
    <w:semiHidden/>
    <w:rsid w:val="00FE0F67"/>
    <w:pPr>
      <w:ind w:left="1600"/>
    </w:pPr>
  </w:style>
  <w:style w:type="character" w:styleId="Hyperlink">
    <w:name w:val="Hyperlink"/>
    <w:basedOn w:val="DefaultParagraphFont"/>
    <w:semiHidden/>
    <w:rsid w:val="00FE0F67"/>
    <w:rPr>
      <w:color w:val="0000FF"/>
      <w:u w:val="single"/>
    </w:rPr>
  </w:style>
  <w:style w:type="paragraph" w:styleId="NormalWeb">
    <w:name w:val="Normal (Web)"/>
    <w:basedOn w:val="Normal"/>
    <w:semiHidden/>
    <w:rsid w:val="00FE0F67"/>
    <w:pPr>
      <w:spacing w:before="240" w:after="240"/>
    </w:pPr>
    <w:rPr>
      <w:rFonts w:ascii="Verdana" w:hAnsi="Verdana"/>
      <w:color w:val="000000"/>
      <w:sz w:val="19"/>
      <w:szCs w:val="19"/>
      <w:lang w:eastAsia="en-GB"/>
    </w:rPr>
  </w:style>
  <w:style w:type="paragraph" w:styleId="BalloonText">
    <w:name w:val="Balloon Text"/>
    <w:basedOn w:val="Normal"/>
    <w:semiHidden/>
    <w:rsid w:val="00FE0F67"/>
    <w:rPr>
      <w:rFonts w:ascii="Tahoma" w:hAnsi="Tahoma" w:cs="Tahoma"/>
      <w:sz w:val="16"/>
      <w:szCs w:val="16"/>
    </w:rPr>
  </w:style>
  <w:style w:type="character" w:customStyle="1" w:styleId="FooterChar">
    <w:name w:val="Footer Char"/>
    <w:basedOn w:val="DefaultParagraphFont"/>
    <w:link w:val="Footer"/>
    <w:uiPriority w:val="99"/>
    <w:rsid w:val="0024294E"/>
    <w:rPr>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4AD"/>
    <w:pPr>
      <w:ind w:left="720"/>
      <w:contextualSpacing/>
    </w:pPr>
  </w:style>
  <w:style w:type="paragraph" w:styleId="EndnoteText">
    <w:name w:val="endnote text"/>
    <w:basedOn w:val="Normal"/>
    <w:link w:val="EndnoteTextChar"/>
    <w:uiPriority w:val="99"/>
    <w:semiHidden/>
    <w:unhideWhenUsed/>
    <w:rsid w:val="007E43A0"/>
    <w:rPr>
      <w:rFonts w:ascii="Calibri" w:eastAsia="Calibri" w:hAnsi="Calibri"/>
    </w:rPr>
  </w:style>
  <w:style w:type="character" w:customStyle="1" w:styleId="EndnoteTextChar">
    <w:name w:val="Endnote Text Char"/>
    <w:basedOn w:val="DefaultParagraphFont"/>
    <w:link w:val="EndnoteText"/>
    <w:uiPriority w:val="99"/>
    <w:semiHidden/>
    <w:rsid w:val="007E43A0"/>
    <w:rPr>
      <w:rFonts w:ascii="Calibri" w:eastAsia="Calibri" w:hAnsi="Calibri"/>
      <w:lang w:eastAsia="en-US"/>
    </w:rPr>
  </w:style>
  <w:style w:type="character" w:styleId="EndnoteReference">
    <w:name w:val="endnote reference"/>
    <w:basedOn w:val="DefaultParagraphFont"/>
    <w:uiPriority w:val="99"/>
    <w:semiHidden/>
    <w:unhideWhenUsed/>
    <w:rsid w:val="007E43A0"/>
    <w:rPr>
      <w:vertAlign w:val="superscript"/>
    </w:rPr>
  </w:style>
  <w:style w:type="character" w:customStyle="1" w:styleId="Heading1Char">
    <w:name w:val="Heading 1 Char"/>
    <w:basedOn w:val="DefaultParagraphFont"/>
    <w:link w:val="Heading1"/>
    <w:rsid w:val="007E43A0"/>
    <w:rPr>
      <w:rFonts w:ascii="Arial" w:hAnsi="Arial"/>
      <w:b/>
      <w:caps/>
      <w:kern w:val="28"/>
      <w:sz w:val="24"/>
      <w:u w:val="single"/>
      <w:lang w:val="en-AU" w:eastAsia="en-US"/>
    </w:rPr>
  </w:style>
  <w:style w:type="paragraph" w:styleId="FootnoteText">
    <w:name w:val="footnote text"/>
    <w:basedOn w:val="Normal"/>
    <w:link w:val="FootnoteTextChar"/>
    <w:uiPriority w:val="99"/>
    <w:semiHidden/>
    <w:unhideWhenUsed/>
    <w:rsid w:val="00976528"/>
  </w:style>
  <w:style w:type="character" w:customStyle="1" w:styleId="FootnoteTextChar">
    <w:name w:val="Footnote Text Char"/>
    <w:basedOn w:val="DefaultParagraphFont"/>
    <w:link w:val="FootnoteText"/>
    <w:uiPriority w:val="99"/>
    <w:semiHidden/>
    <w:rsid w:val="00976528"/>
    <w:rPr>
      <w:lang w:eastAsia="en-US"/>
    </w:rPr>
  </w:style>
  <w:style w:type="character" w:styleId="FootnoteReference">
    <w:name w:val="footnote reference"/>
    <w:basedOn w:val="DefaultParagraphFont"/>
    <w:uiPriority w:val="99"/>
    <w:semiHidden/>
    <w:unhideWhenUsed/>
    <w:rsid w:val="00976528"/>
    <w:rPr>
      <w:vertAlign w:val="superscript"/>
    </w:rPr>
  </w:style>
  <w:style w:type="paragraph" w:styleId="CommentSubject">
    <w:name w:val="annotation subject"/>
    <w:basedOn w:val="CommentText"/>
    <w:next w:val="CommentText"/>
    <w:link w:val="CommentSubjectChar"/>
    <w:uiPriority w:val="99"/>
    <w:semiHidden/>
    <w:unhideWhenUsed/>
    <w:rsid w:val="00A17E66"/>
    <w:rPr>
      <w:b/>
      <w:bCs/>
    </w:rPr>
  </w:style>
  <w:style w:type="character" w:customStyle="1" w:styleId="CommentTextChar">
    <w:name w:val="Comment Text Char"/>
    <w:basedOn w:val="DefaultParagraphFont"/>
    <w:link w:val="CommentText"/>
    <w:semiHidden/>
    <w:rsid w:val="00A17E66"/>
    <w:rPr>
      <w:lang w:eastAsia="en-US"/>
    </w:rPr>
  </w:style>
  <w:style w:type="character" w:customStyle="1" w:styleId="CommentSubjectChar">
    <w:name w:val="Comment Subject Char"/>
    <w:basedOn w:val="CommentTextChar"/>
    <w:link w:val="CommentSubject"/>
    <w:uiPriority w:val="99"/>
    <w:semiHidden/>
    <w:rsid w:val="00A17E66"/>
    <w:rPr>
      <w:b/>
      <w:bCs/>
      <w:lang w:eastAsia="en-US"/>
    </w:rPr>
  </w:style>
  <w:style w:type="character" w:styleId="UnresolvedMention">
    <w:name w:val="Unresolved Mention"/>
    <w:basedOn w:val="DefaultParagraphFont"/>
    <w:uiPriority w:val="99"/>
    <w:semiHidden/>
    <w:unhideWhenUsed/>
    <w:rsid w:val="003A1F44"/>
    <w:rPr>
      <w:color w:val="605E5C"/>
      <w:shd w:val="clear" w:color="auto" w:fill="E1DFDD"/>
    </w:rPr>
  </w:style>
  <w:style w:type="character" w:styleId="FollowedHyperlink">
    <w:name w:val="FollowedHyperlink"/>
    <w:basedOn w:val="DefaultParagraphFont"/>
    <w:uiPriority w:val="99"/>
    <w:semiHidden/>
    <w:unhideWhenUsed/>
    <w:rsid w:val="003A1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0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32496/Future_Telecoms_Infrastructure_Revie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790118/Digital_Connectivity_Portal_text_complete__March_2019_.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ional-planning-policy-framework--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2" ma:contentTypeDescription="Create a new document." ma:contentTypeScope="" ma:versionID="d302a8b5696688a608eda9970d517584">
  <xsd:schema xmlns:xsd="http://www.w3.org/2001/XMLSchema" xmlns:xs="http://www.w3.org/2001/XMLSchema" xmlns:p="http://schemas.microsoft.com/office/2006/metadata/properties" xmlns:ns2="7292f543-93aa-49ab-9c94-beff33a19dcc" targetNamespace="http://schemas.microsoft.com/office/2006/metadata/properties" ma:root="true" ma:fieldsID="31e0a56f694369eb2200cce6c1512609" ns2:_="">
    <xsd:import namespace="7292f543-93aa-49ab-9c94-beff33a19d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E6E81-F270-46A6-95BD-35BD05F721C5}">
  <ds:schemaRefs>
    <ds:schemaRef ds:uri="http://schemas.microsoft.com/office/2006/metadata/longProperties"/>
  </ds:schemaRefs>
</ds:datastoreItem>
</file>

<file path=customXml/itemProps2.xml><?xml version="1.0" encoding="utf-8"?>
<ds:datastoreItem xmlns:ds="http://schemas.openxmlformats.org/officeDocument/2006/customXml" ds:itemID="{74BA01B7-438F-4045-B6A4-49806BA9CB08}">
  <ds:schemaRefs>
    <ds:schemaRef ds:uri="http://schemas.microsoft.com/sharepoint/v3/contenttype/forms"/>
  </ds:schemaRefs>
</ds:datastoreItem>
</file>

<file path=customXml/itemProps3.xml><?xml version="1.0" encoding="utf-8"?>
<ds:datastoreItem xmlns:ds="http://schemas.openxmlformats.org/officeDocument/2006/customXml" ds:itemID="{6156ACFB-DCF7-467C-A897-00D08A43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E6E72-AE93-483C-9713-FAA249738484}">
  <ds:schemaRefs>
    <ds:schemaRef ds:uri="http://schemas.microsoft.com/office/2006/metadata/properties"/>
    <ds:schemaRef ds:uri="http://schemas.openxmlformats.org/package/2006/metadata/core-properties"/>
    <ds:schemaRef ds:uri="7292f543-93aa-49ab-9c94-beff33a19dcc"/>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434D6582-F49D-4AE0-AB75-A21A7ECF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Vodafone Ltd Lhead Colour.dot</Template>
  <TotalTime>1</TotalTime>
  <Pages>3</Pages>
  <Words>1197</Words>
  <Characters>7289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Vodafone Limited</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Gore</dc:creator>
  <cp:keywords/>
  <cp:lastModifiedBy>Megan</cp:lastModifiedBy>
  <cp:revision>5</cp:revision>
  <cp:lastPrinted>2019-09-27T11:44:00Z</cp:lastPrinted>
  <dcterms:created xsi:type="dcterms:W3CDTF">2019-10-02T09:12:00Z</dcterms:created>
  <dcterms:modified xsi:type="dcterms:W3CDTF">2020-10-12T07:49:00Z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0x0101008770F570E5FEA94DA13FC9F8347DC132</vt:lpwstr>
  </property>
  <property fmtid="{D5CDD505-2E9C-101B-9397-08002B2CF9AE}" pid="4" name="MSIP_Label_7b4e19c9-f8a8-4ad8-b8a2-de758f629b82_Enabled">
    <vt:lpwstr>True</vt:lpwstr>
  </property>
  <property fmtid="{D5CDD505-2E9C-101B-9397-08002B2CF9AE}" pid="5" name="MSIP_Label_7b4e19c9-f8a8-4ad8-b8a2-de758f629b82_SiteId">
    <vt:lpwstr>85ff012d-0598-4213-8554-2eb62b238f2f</vt:lpwstr>
  </property>
  <property fmtid="{D5CDD505-2E9C-101B-9397-08002B2CF9AE}" pid="6" name="MSIP_Label_7b4e19c9-f8a8-4ad8-b8a2-de758f629b82_Ref">
    <vt:lpwstr>https://api.informationprotection.azure.com/api/85ff012d-0598-4213-8554-2eb62b238f2f</vt:lpwstr>
  </property>
  <property fmtid="{D5CDD505-2E9C-101B-9397-08002B2CF9AE}" pid="7" name="MSIP_Label_7b4e19c9-f8a8-4ad8-b8a2-de758f629b82_Owner">
    <vt:lpwstr>eamon.hansberry@ctil.co.uk</vt:lpwstr>
  </property>
  <property fmtid="{D5CDD505-2E9C-101B-9397-08002B2CF9AE}" pid="8" name="MSIP_Label_7b4e19c9-f8a8-4ad8-b8a2-de758f629b82_SetDate">
    <vt:lpwstr>2018-09-07T15:40:46.5511530+01:00</vt:lpwstr>
  </property>
  <property fmtid="{D5CDD505-2E9C-101B-9397-08002B2CF9AE}" pid="9" name="MSIP_Label_7b4e19c9-f8a8-4ad8-b8a2-de758f629b82_Name">
    <vt:lpwstr>Green</vt:lpwstr>
  </property>
  <property fmtid="{D5CDD505-2E9C-101B-9397-08002B2CF9AE}" pid="10" name="MSIP_Label_7b4e19c9-f8a8-4ad8-b8a2-de758f629b82_Application">
    <vt:lpwstr>Microsoft Azure Information Protection</vt:lpwstr>
  </property>
  <property fmtid="{D5CDD505-2E9C-101B-9397-08002B2CF9AE}" pid="11" name="MSIP_Label_7b4e19c9-f8a8-4ad8-b8a2-de758f629b82_Extended_MSFT_Method">
    <vt:lpwstr>Manual</vt:lpwstr>
  </property>
  <property fmtid="{D5CDD505-2E9C-101B-9397-08002B2CF9AE}" pid="12" name="Sensitivity">
    <vt:lpwstr>Green</vt:lpwstr>
  </property>
</Properties>
</file>