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EBE74" w14:textId="77777777" w:rsidR="003D60FB" w:rsidRDefault="003D60FB">
      <w:r>
        <w:t xml:space="preserve">Policy TT2: Pedestrian environments </w:t>
      </w:r>
    </w:p>
    <w:p w14:paraId="5B665DA5" w14:textId="77777777" w:rsidR="003D60FB" w:rsidRDefault="003D60FB">
      <w:r>
        <w:t xml:space="preserve">6.28 Hampstead Village and South End Green offer village and neighbourhood environments which attract large and growing numbers of visitors. The commercial, </w:t>
      </w:r>
      <w:proofErr w:type="gramStart"/>
      <w:r>
        <w:t>social</w:t>
      </w:r>
      <w:proofErr w:type="gramEnd"/>
      <w:r>
        <w:t xml:space="preserve"> and environmental health of these centres is heavily dependent on footfall and the maintenance of a pleasant and welcoming experience for pedestrians. Visitors do not follow linear paths and frequently wish to browse and move from one side of the road to the other.</w:t>
      </w:r>
    </w:p>
    <w:p w14:paraId="491D25CE" w14:textId="475D2522" w:rsidR="003D60FB" w:rsidRDefault="003D60FB">
      <w:r>
        <w:t xml:space="preserve"> 6.29 However, traffic and pollution often </w:t>
      </w:r>
      <w:proofErr w:type="gramStart"/>
      <w:r>
        <w:t>makes</w:t>
      </w:r>
      <w:proofErr w:type="gramEnd"/>
      <w:r>
        <w:t xml:space="preserve"> walking unpleasant and unhealthy. The sustainability of Hampstead and South End Green centres depend on measures to maintain high levels of permeability, improve driver behaviour and avoid concentrations of pedestrians at specific crossing points, so that pedestrians and shoppers feel able to cross the streets freely and safely.</w:t>
      </w:r>
    </w:p>
    <w:sectPr w:rsidR="003D60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0FB"/>
    <w:rsid w:val="003D6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666D"/>
  <w15:chartTrackingRefBased/>
  <w15:docId w15:val="{1101C122-D32E-45A2-9BD6-208B221D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R. Froment</dc:creator>
  <cp:keywords/>
  <dc:description/>
  <cp:lastModifiedBy>Oliver R. Froment</cp:lastModifiedBy>
  <cp:revision>1</cp:revision>
  <dcterms:created xsi:type="dcterms:W3CDTF">2020-08-18T09:26:00Z</dcterms:created>
  <dcterms:modified xsi:type="dcterms:W3CDTF">2020-08-18T09:28:00Z</dcterms:modified>
</cp:coreProperties>
</file>