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7D" w:rsidRDefault="00864C7D" w:rsidP="00060F19">
      <w:pPr>
        <w:pStyle w:val="PlainText"/>
        <w:rPr>
          <w:b/>
        </w:rPr>
      </w:pPr>
    </w:p>
    <w:p w:rsidR="00864C7D" w:rsidRDefault="00864C7D" w:rsidP="00060F19">
      <w:pPr>
        <w:pStyle w:val="PlainText"/>
        <w:rPr>
          <w:b/>
        </w:rPr>
      </w:pPr>
      <w:r w:rsidRPr="000E1B96">
        <w:rPr>
          <w:b/>
        </w:rPr>
        <w:t xml:space="preserve">Lead Local Flood Authority </w:t>
      </w:r>
      <w:r>
        <w:rPr>
          <w:b/>
        </w:rPr>
        <w:t>comments</w:t>
      </w:r>
    </w:p>
    <w:p w:rsidR="00864C7D" w:rsidRDefault="00864C7D" w:rsidP="00060F19">
      <w:pPr>
        <w:pStyle w:val="PlainText"/>
        <w:rPr>
          <w:b/>
        </w:rPr>
      </w:pPr>
    </w:p>
    <w:p w:rsidR="00864C7D" w:rsidRDefault="00864C7D" w:rsidP="00864C7D">
      <w:pPr>
        <w:rPr>
          <w:rFonts w:ascii="Arial" w:hAnsi="Arial" w:cs="Arial"/>
          <w:b/>
        </w:rPr>
      </w:pPr>
    </w:p>
    <w:tbl>
      <w:tblPr>
        <w:tblStyle w:val="TableGrid"/>
        <w:tblpPr w:leftFromText="180" w:rightFromText="180" w:vertAnchor="page" w:horzAnchor="margin" w:tblpY="2545"/>
        <w:tblW w:w="0" w:type="auto"/>
        <w:tblLook w:val="04A0" w:firstRow="1" w:lastRow="0" w:firstColumn="1" w:lastColumn="0" w:noHBand="0" w:noVBand="1"/>
      </w:tblPr>
      <w:tblGrid>
        <w:gridCol w:w="3979"/>
        <w:gridCol w:w="5037"/>
      </w:tblGrid>
      <w:tr w:rsidR="00864C7D" w:rsidRPr="00864C7D" w:rsidTr="00864C7D">
        <w:tc>
          <w:tcPr>
            <w:tcW w:w="4077" w:type="dxa"/>
          </w:tcPr>
          <w:p w:rsidR="00864C7D" w:rsidRPr="00864C7D" w:rsidRDefault="00864C7D" w:rsidP="00864C7D">
            <w:pPr>
              <w:rPr>
                <w:rFonts w:ascii="Arial" w:hAnsi="Arial" w:cs="Arial"/>
              </w:rPr>
            </w:pPr>
            <w:r w:rsidRPr="00864C7D">
              <w:rPr>
                <w:rFonts w:ascii="Arial" w:hAnsi="Arial" w:cs="Arial"/>
              </w:rPr>
              <w:t>Scheme Address</w:t>
            </w:r>
          </w:p>
        </w:tc>
        <w:tc>
          <w:tcPr>
            <w:tcW w:w="5165" w:type="dxa"/>
          </w:tcPr>
          <w:p w:rsidR="00864C7D" w:rsidRPr="00864C7D" w:rsidRDefault="008F2830" w:rsidP="00864C7D">
            <w:pPr>
              <w:rPr>
                <w:rFonts w:ascii="Arial" w:hAnsi="Arial" w:cs="Arial"/>
              </w:rPr>
            </w:pPr>
            <w:r>
              <w:rPr>
                <w:rFonts w:ascii="Arial" w:hAnsi="Arial" w:cs="Arial"/>
              </w:rPr>
              <w:t>69 Avenue Road</w:t>
            </w:r>
          </w:p>
        </w:tc>
      </w:tr>
      <w:tr w:rsidR="00864C7D" w:rsidRPr="00864C7D" w:rsidTr="00864C7D">
        <w:tc>
          <w:tcPr>
            <w:tcW w:w="4077" w:type="dxa"/>
          </w:tcPr>
          <w:p w:rsidR="00864C7D" w:rsidRPr="00864C7D" w:rsidRDefault="00864C7D" w:rsidP="00864C7D">
            <w:pPr>
              <w:rPr>
                <w:rFonts w:ascii="Arial" w:hAnsi="Arial" w:cs="Arial"/>
              </w:rPr>
            </w:pPr>
            <w:r w:rsidRPr="00864C7D">
              <w:rPr>
                <w:rFonts w:ascii="Arial" w:hAnsi="Arial" w:cs="Arial"/>
              </w:rPr>
              <w:t>Planning Reference</w:t>
            </w:r>
          </w:p>
        </w:tc>
        <w:tc>
          <w:tcPr>
            <w:tcW w:w="5165" w:type="dxa"/>
          </w:tcPr>
          <w:p w:rsidR="00864C7D" w:rsidRPr="00864C7D" w:rsidRDefault="008F2830" w:rsidP="00864C7D">
            <w:pPr>
              <w:rPr>
                <w:rFonts w:ascii="Arial" w:hAnsi="Arial" w:cs="Arial"/>
              </w:rPr>
            </w:pPr>
            <w:r>
              <w:rPr>
                <w:rFonts w:ascii="Arial" w:hAnsi="Arial" w:cs="Arial"/>
              </w:rPr>
              <w:t>2020/2330/P</w:t>
            </w:r>
          </w:p>
        </w:tc>
      </w:tr>
      <w:tr w:rsidR="00864C7D" w:rsidRPr="00864C7D" w:rsidTr="00864C7D">
        <w:tc>
          <w:tcPr>
            <w:tcW w:w="4077" w:type="dxa"/>
          </w:tcPr>
          <w:p w:rsidR="00864C7D" w:rsidRPr="00864C7D" w:rsidRDefault="00864C7D" w:rsidP="00864C7D">
            <w:pPr>
              <w:rPr>
                <w:rFonts w:ascii="Arial" w:hAnsi="Arial" w:cs="Arial"/>
              </w:rPr>
            </w:pPr>
            <w:r w:rsidRPr="00864C7D">
              <w:rPr>
                <w:rFonts w:ascii="Arial" w:hAnsi="Arial" w:cs="Arial"/>
              </w:rPr>
              <w:t>Date</w:t>
            </w:r>
          </w:p>
        </w:tc>
        <w:tc>
          <w:tcPr>
            <w:tcW w:w="5165" w:type="dxa"/>
          </w:tcPr>
          <w:p w:rsidR="00864C7D" w:rsidRPr="00864C7D" w:rsidRDefault="008F2830" w:rsidP="00864C7D">
            <w:pPr>
              <w:rPr>
                <w:rFonts w:ascii="Arial" w:hAnsi="Arial" w:cs="Arial"/>
              </w:rPr>
            </w:pPr>
            <w:r>
              <w:rPr>
                <w:rFonts w:ascii="Arial" w:hAnsi="Arial" w:cs="Arial"/>
              </w:rPr>
              <w:t>12/8/20</w:t>
            </w:r>
          </w:p>
        </w:tc>
      </w:tr>
    </w:tbl>
    <w:p w:rsidR="00864C7D" w:rsidRPr="00864C7D" w:rsidRDefault="00864C7D" w:rsidP="00864C7D">
      <w:pPr>
        <w:rPr>
          <w:rFonts w:ascii="Arial" w:hAnsi="Arial" w:cs="Arial"/>
          <w:b/>
          <w:noProof/>
          <w:lang w:eastAsia="en-GB"/>
        </w:rPr>
      </w:pPr>
      <w:r>
        <w:rPr>
          <w:rFonts w:ascii="Arial" w:hAnsi="Arial" w:cs="Arial"/>
          <w:b/>
          <w:noProof/>
          <w:lang w:eastAsia="en-GB"/>
        </w:rPr>
        <w:t xml:space="preserve"> </w:t>
      </w:r>
      <w:r>
        <w:rPr>
          <w:rFonts w:ascii="Arial" w:hAnsi="Arial" w:cs="Arial"/>
          <w:b/>
          <w:noProof/>
          <w:lang w:eastAsia="en-GB"/>
        </w:rPr>
        <w:drawing>
          <wp:anchor distT="0" distB="0" distL="114300" distR="114300" simplePos="0" relativeHeight="251659264" behindDoc="0" locked="0" layoutInCell="1" allowOverlap="1" wp14:anchorId="52404857" wp14:editId="07240A66">
            <wp:simplePos x="914400" y="1098550"/>
            <wp:positionH relativeFrom="margin">
              <wp:align>right</wp:align>
            </wp:positionH>
            <wp:positionV relativeFrom="margin">
              <wp:align>top</wp:align>
            </wp:positionV>
            <wp:extent cx="1593850" cy="320040"/>
            <wp:effectExtent l="0" t="0" r="635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logo-n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153" cy="320613"/>
                    </a:xfrm>
                    <a:prstGeom prst="rect">
                      <a:avLst/>
                    </a:prstGeom>
                  </pic:spPr>
                </pic:pic>
              </a:graphicData>
            </a:graphic>
            <wp14:sizeRelH relativeFrom="margin">
              <wp14:pctWidth>0</wp14:pctWidth>
            </wp14:sizeRelH>
            <wp14:sizeRelV relativeFrom="margin">
              <wp14:pctHeight>0</wp14:pctHeight>
            </wp14:sizeRelV>
          </wp:anchor>
        </w:drawing>
      </w:r>
    </w:p>
    <w:p w:rsidR="008F2830" w:rsidRDefault="008F2830" w:rsidP="006A0FCF">
      <w:pPr>
        <w:pStyle w:val="PlainText"/>
      </w:pPr>
    </w:p>
    <w:p w:rsidR="00E04F18" w:rsidRDefault="00E04F18" w:rsidP="00E04F18">
      <w:pPr>
        <w:pStyle w:val="PlainText"/>
      </w:pPr>
      <w:r>
        <w:t>The site is on a previously flooded street (2002 major flood incident) and therefore is designated locally as an area of higher flood risk u</w:t>
      </w:r>
      <w:r w:rsidR="00F148C8">
        <w:t>n</w:t>
      </w:r>
      <w:r>
        <w:t>der the Local Plan (policy CC3). See extract below from</w:t>
      </w:r>
      <w:r w:rsidRPr="006A0FCF">
        <w:t xml:space="preserve"> Camden’s Strategic Flood Risk Assessment.</w:t>
      </w:r>
    </w:p>
    <w:p w:rsidR="00077933" w:rsidRDefault="00077933" w:rsidP="006A0FCF">
      <w:pPr>
        <w:pStyle w:val="PlainText"/>
      </w:pPr>
    </w:p>
    <w:p w:rsidR="006A0FCF" w:rsidRDefault="008F2830" w:rsidP="006A0FCF">
      <w:pPr>
        <w:pStyle w:val="PlainText"/>
      </w:pPr>
      <w:r>
        <w:rPr>
          <w:noProof/>
          <w:lang w:eastAsia="en-GB"/>
        </w:rPr>
        <w:drawing>
          <wp:inline distT="0" distB="0" distL="0" distR="0">
            <wp:extent cx="4267200" cy="292526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762" cy="2951704"/>
                    </a:xfrm>
                    <a:prstGeom prst="rect">
                      <a:avLst/>
                    </a:prstGeom>
                    <a:noFill/>
                    <a:ln>
                      <a:noFill/>
                    </a:ln>
                  </pic:spPr>
                </pic:pic>
              </a:graphicData>
            </a:graphic>
          </wp:inline>
        </w:drawing>
      </w:r>
      <w:r w:rsidR="002A250A" w:rsidRPr="002A250A">
        <w:rPr>
          <w:noProof/>
          <w:lang w:eastAsia="en-GB"/>
        </w:rPr>
        <w:t xml:space="preserve"> </w:t>
      </w:r>
      <w:r w:rsidR="002A250A">
        <w:rPr>
          <w:noProof/>
          <w:lang w:eastAsia="en-GB"/>
        </w:rPr>
        <w:drawing>
          <wp:inline distT="0" distB="0" distL="0" distR="0" wp14:anchorId="1F33724C" wp14:editId="100DCC0E">
            <wp:extent cx="140970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9700" cy="2038350"/>
                    </a:xfrm>
                    <a:prstGeom prst="rect">
                      <a:avLst/>
                    </a:prstGeom>
                  </pic:spPr>
                </pic:pic>
              </a:graphicData>
            </a:graphic>
          </wp:inline>
        </w:drawing>
      </w:r>
    </w:p>
    <w:p w:rsidR="0010272F" w:rsidRDefault="0010272F" w:rsidP="002A250A">
      <w:pPr>
        <w:autoSpaceDE w:val="0"/>
        <w:autoSpaceDN w:val="0"/>
        <w:adjustRightInd w:val="0"/>
        <w:rPr>
          <w:rFonts w:ascii="Arial" w:hAnsi="Arial" w:cs="Arial"/>
          <w:color w:val="4F81BD" w:themeColor="accent1"/>
          <w:sz w:val="24"/>
          <w:szCs w:val="24"/>
        </w:rPr>
      </w:pPr>
    </w:p>
    <w:p w:rsidR="00307689" w:rsidRDefault="00307689" w:rsidP="002A250A">
      <w:pPr>
        <w:autoSpaceDE w:val="0"/>
        <w:autoSpaceDN w:val="0"/>
        <w:adjustRightInd w:val="0"/>
        <w:rPr>
          <w:rFonts w:ascii="Arial" w:hAnsi="Arial" w:cs="Arial"/>
          <w:color w:val="4F81BD" w:themeColor="accent1"/>
          <w:sz w:val="24"/>
          <w:szCs w:val="24"/>
        </w:rPr>
      </w:pPr>
    </w:p>
    <w:p w:rsidR="00307689" w:rsidRDefault="00307689" w:rsidP="002A250A">
      <w:pPr>
        <w:autoSpaceDE w:val="0"/>
        <w:autoSpaceDN w:val="0"/>
        <w:adjustRightInd w:val="0"/>
        <w:rPr>
          <w:rFonts w:ascii="Arial" w:hAnsi="Arial" w:cs="Arial"/>
          <w:color w:val="4F81BD" w:themeColor="accent1"/>
          <w:sz w:val="24"/>
          <w:szCs w:val="24"/>
        </w:rPr>
      </w:pPr>
      <w:r>
        <w:rPr>
          <w:noProof/>
          <w:lang w:eastAsia="en-GB"/>
        </w:rPr>
        <w:drawing>
          <wp:inline distT="0" distB="0" distL="0" distR="0" wp14:anchorId="50EF6530" wp14:editId="2644666A">
            <wp:extent cx="3695700" cy="32066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01968" cy="3212105"/>
                    </a:xfrm>
                    <a:prstGeom prst="rect">
                      <a:avLst/>
                    </a:prstGeom>
                  </pic:spPr>
                </pic:pic>
              </a:graphicData>
            </a:graphic>
          </wp:inline>
        </w:drawing>
      </w:r>
    </w:p>
    <w:p w:rsidR="00307689" w:rsidRDefault="00307689" w:rsidP="002A250A">
      <w:pPr>
        <w:autoSpaceDE w:val="0"/>
        <w:autoSpaceDN w:val="0"/>
        <w:adjustRightInd w:val="0"/>
        <w:rPr>
          <w:rFonts w:ascii="Arial" w:hAnsi="Arial" w:cs="Arial"/>
          <w:color w:val="4F81BD" w:themeColor="accent1"/>
          <w:sz w:val="24"/>
          <w:szCs w:val="24"/>
        </w:rPr>
      </w:pPr>
      <w:r>
        <w:rPr>
          <w:rFonts w:ascii="Arial" w:hAnsi="Arial" w:cs="Arial"/>
          <w:color w:val="4F81BD" w:themeColor="accent1"/>
          <w:sz w:val="24"/>
          <w:szCs w:val="24"/>
        </w:rPr>
        <w:t xml:space="preserve">Figure 5 from the report </w:t>
      </w:r>
      <w:r w:rsidR="00E04F18">
        <w:rPr>
          <w:rFonts w:ascii="Arial" w:hAnsi="Arial" w:cs="Arial"/>
          <w:color w:val="4F81BD" w:themeColor="accent1"/>
          <w:sz w:val="24"/>
          <w:szCs w:val="24"/>
        </w:rPr>
        <w:t xml:space="preserve">gives an approximate indication of </w:t>
      </w:r>
      <w:r>
        <w:rPr>
          <w:rFonts w:ascii="Arial" w:hAnsi="Arial" w:cs="Arial"/>
          <w:color w:val="4F81BD" w:themeColor="accent1"/>
          <w:sz w:val="24"/>
          <w:szCs w:val="24"/>
        </w:rPr>
        <w:t xml:space="preserve">the </w:t>
      </w:r>
      <w:r w:rsidR="00E04F18">
        <w:rPr>
          <w:rFonts w:ascii="Arial" w:hAnsi="Arial" w:cs="Arial"/>
          <w:color w:val="4F81BD" w:themeColor="accent1"/>
          <w:sz w:val="24"/>
          <w:szCs w:val="24"/>
        </w:rPr>
        <w:t xml:space="preserve">modelled extents and locations </w:t>
      </w:r>
      <w:r>
        <w:rPr>
          <w:rFonts w:ascii="Arial" w:hAnsi="Arial" w:cs="Arial"/>
          <w:color w:val="4F81BD" w:themeColor="accent1"/>
          <w:sz w:val="24"/>
          <w:szCs w:val="24"/>
        </w:rPr>
        <w:t xml:space="preserve">of </w:t>
      </w:r>
      <w:r w:rsidR="00E04F18">
        <w:rPr>
          <w:rFonts w:ascii="Arial" w:hAnsi="Arial" w:cs="Arial"/>
          <w:color w:val="4F81BD" w:themeColor="accent1"/>
          <w:sz w:val="24"/>
          <w:szCs w:val="24"/>
        </w:rPr>
        <w:t xml:space="preserve">surface water </w:t>
      </w:r>
      <w:r>
        <w:rPr>
          <w:rFonts w:ascii="Arial" w:hAnsi="Arial" w:cs="Arial"/>
          <w:color w:val="4F81BD" w:themeColor="accent1"/>
          <w:sz w:val="24"/>
          <w:szCs w:val="24"/>
        </w:rPr>
        <w:t xml:space="preserve">flooding at </w:t>
      </w:r>
      <w:r w:rsidR="00E04F18">
        <w:rPr>
          <w:rFonts w:ascii="Arial" w:hAnsi="Arial" w:cs="Arial"/>
          <w:color w:val="4F81BD" w:themeColor="accent1"/>
          <w:sz w:val="24"/>
          <w:szCs w:val="24"/>
        </w:rPr>
        <w:t xml:space="preserve">or around </w:t>
      </w:r>
      <w:r>
        <w:rPr>
          <w:rFonts w:ascii="Arial" w:hAnsi="Arial" w:cs="Arial"/>
          <w:color w:val="4F81BD" w:themeColor="accent1"/>
          <w:sz w:val="24"/>
          <w:szCs w:val="24"/>
        </w:rPr>
        <w:t>the site.</w:t>
      </w:r>
    </w:p>
    <w:p w:rsidR="00307689" w:rsidRDefault="00307689" w:rsidP="002A250A">
      <w:pPr>
        <w:autoSpaceDE w:val="0"/>
        <w:autoSpaceDN w:val="0"/>
        <w:adjustRightInd w:val="0"/>
        <w:rPr>
          <w:rFonts w:ascii="Arial" w:hAnsi="Arial" w:cs="Arial"/>
          <w:color w:val="4F81BD" w:themeColor="accent1"/>
          <w:sz w:val="24"/>
          <w:szCs w:val="24"/>
        </w:rPr>
      </w:pPr>
    </w:p>
    <w:p w:rsidR="0010272F" w:rsidRDefault="0010272F" w:rsidP="002A250A">
      <w:pPr>
        <w:autoSpaceDE w:val="0"/>
        <w:autoSpaceDN w:val="0"/>
        <w:adjustRightInd w:val="0"/>
        <w:rPr>
          <w:rFonts w:ascii="Arial" w:hAnsi="Arial" w:cs="Arial"/>
          <w:color w:val="4F81BD" w:themeColor="accent1"/>
          <w:sz w:val="24"/>
          <w:szCs w:val="24"/>
        </w:rPr>
      </w:pPr>
      <w:r>
        <w:rPr>
          <w:rFonts w:ascii="Arial" w:hAnsi="Arial" w:cs="Arial"/>
          <w:color w:val="4F81BD" w:themeColor="accent1"/>
          <w:sz w:val="24"/>
          <w:szCs w:val="24"/>
        </w:rPr>
        <w:t xml:space="preserve">In addition section 5.22 of the Surface Water Flow and Flood Risk Assessment identifies that the site </w:t>
      </w:r>
      <w:r w:rsidR="00E04F18">
        <w:rPr>
          <w:rFonts w:ascii="Arial" w:hAnsi="Arial" w:cs="Arial"/>
          <w:color w:val="4F81BD" w:themeColor="accent1"/>
          <w:sz w:val="24"/>
          <w:szCs w:val="24"/>
        </w:rPr>
        <w:t xml:space="preserve">as </w:t>
      </w:r>
      <w:r>
        <w:rPr>
          <w:rFonts w:ascii="Arial" w:hAnsi="Arial" w:cs="Arial"/>
          <w:color w:val="4F81BD" w:themeColor="accent1"/>
          <w:sz w:val="24"/>
          <w:szCs w:val="24"/>
        </w:rPr>
        <w:t>be</w:t>
      </w:r>
      <w:r w:rsidR="00E04F18">
        <w:rPr>
          <w:rFonts w:ascii="Arial" w:hAnsi="Arial" w:cs="Arial"/>
          <w:color w:val="4F81BD" w:themeColor="accent1"/>
          <w:sz w:val="24"/>
          <w:szCs w:val="24"/>
        </w:rPr>
        <w:t>ing</w:t>
      </w:r>
      <w:r>
        <w:rPr>
          <w:rFonts w:ascii="Arial" w:hAnsi="Arial" w:cs="Arial"/>
          <w:color w:val="4F81BD" w:themeColor="accent1"/>
          <w:sz w:val="24"/>
          <w:szCs w:val="24"/>
        </w:rPr>
        <w:t xml:space="preserve"> located within close proximity to the original route of a tributary of the River Tyburn and that overland flow may still be following the original course</w:t>
      </w:r>
      <w:r w:rsidR="00127F81">
        <w:rPr>
          <w:rFonts w:ascii="Arial" w:hAnsi="Arial" w:cs="Arial"/>
          <w:color w:val="4F81BD" w:themeColor="accent1"/>
          <w:sz w:val="24"/>
          <w:szCs w:val="24"/>
        </w:rPr>
        <w:t>. O</w:t>
      </w:r>
      <w:r>
        <w:rPr>
          <w:rFonts w:ascii="Arial" w:hAnsi="Arial" w:cs="Arial"/>
          <w:color w:val="4F81BD" w:themeColor="accent1"/>
          <w:sz w:val="24"/>
          <w:szCs w:val="24"/>
        </w:rPr>
        <w:t>verland flow is shown to drain along Avenue Road.</w:t>
      </w:r>
    </w:p>
    <w:p w:rsidR="0010272F" w:rsidRDefault="0010272F" w:rsidP="002A250A">
      <w:pPr>
        <w:autoSpaceDE w:val="0"/>
        <w:autoSpaceDN w:val="0"/>
        <w:adjustRightInd w:val="0"/>
        <w:rPr>
          <w:rFonts w:ascii="Arial" w:hAnsi="Arial" w:cs="Arial"/>
          <w:color w:val="4F81BD" w:themeColor="accent1"/>
          <w:sz w:val="24"/>
          <w:szCs w:val="24"/>
        </w:rPr>
      </w:pPr>
    </w:p>
    <w:p w:rsidR="0010272F" w:rsidRDefault="0010272F" w:rsidP="002A250A">
      <w:pPr>
        <w:autoSpaceDE w:val="0"/>
        <w:autoSpaceDN w:val="0"/>
        <w:adjustRightInd w:val="0"/>
        <w:rPr>
          <w:rFonts w:ascii="Arial" w:hAnsi="Arial" w:cs="Arial"/>
          <w:color w:val="4F81BD" w:themeColor="accent1"/>
          <w:sz w:val="24"/>
          <w:szCs w:val="24"/>
        </w:rPr>
      </w:pPr>
    </w:p>
    <w:p w:rsidR="002A250A" w:rsidRPr="006A0FCF" w:rsidRDefault="002A250A" w:rsidP="002A250A">
      <w:pPr>
        <w:autoSpaceDE w:val="0"/>
        <w:autoSpaceDN w:val="0"/>
        <w:adjustRightInd w:val="0"/>
        <w:rPr>
          <w:rFonts w:ascii="Arial" w:hAnsi="Arial" w:cs="Arial"/>
          <w:color w:val="4F81BD" w:themeColor="accent1"/>
          <w:sz w:val="24"/>
          <w:szCs w:val="24"/>
        </w:rPr>
      </w:pPr>
      <w:r>
        <w:rPr>
          <w:rFonts w:ascii="Arial" w:hAnsi="Arial" w:cs="Arial"/>
          <w:color w:val="4F81BD" w:themeColor="accent1"/>
          <w:sz w:val="24"/>
          <w:szCs w:val="24"/>
        </w:rPr>
        <w:t>Local Plan policy CC3</w:t>
      </w:r>
      <w:r w:rsidRPr="00886739">
        <w:rPr>
          <w:rFonts w:ascii="Arial" w:hAnsi="Arial" w:cs="Arial"/>
          <w:color w:val="4F81BD" w:themeColor="accent1"/>
          <w:sz w:val="24"/>
          <w:szCs w:val="24"/>
        </w:rPr>
        <w:t xml:space="preserve"> </w:t>
      </w:r>
      <w:r w:rsidRPr="006A0FCF">
        <w:rPr>
          <w:rFonts w:ascii="Arial" w:hAnsi="Arial" w:cs="Arial"/>
          <w:color w:val="4F81BD" w:themeColor="accent1"/>
          <w:sz w:val="24"/>
          <w:szCs w:val="24"/>
        </w:rPr>
        <w:t xml:space="preserve">requires developments to reduce </w:t>
      </w:r>
      <w:r w:rsidRPr="00190E14">
        <w:rPr>
          <w:rFonts w:ascii="Arial" w:hAnsi="Arial" w:cs="Arial"/>
          <w:color w:val="4F81BD" w:themeColor="accent1"/>
          <w:sz w:val="24"/>
          <w:szCs w:val="24"/>
        </w:rPr>
        <w:t>their water consumption</w:t>
      </w:r>
      <w:r w:rsidRPr="006A0FCF">
        <w:rPr>
          <w:rFonts w:ascii="Arial" w:hAnsi="Arial" w:cs="Arial"/>
          <w:color w:val="4F81BD" w:themeColor="accent1"/>
          <w:sz w:val="24"/>
          <w:szCs w:val="24"/>
        </w:rPr>
        <w:t xml:space="preserve">, </w:t>
      </w:r>
      <w:r w:rsidR="00E04F18">
        <w:rPr>
          <w:rFonts w:ascii="Arial" w:hAnsi="Arial" w:cs="Arial"/>
          <w:color w:val="4F81BD" w:themeColor="accent1"/>
          <w:sz w:val="24"/>
          <w:szCs w:val="24"/>
        </w:rPr>
        <w:t>reduce</w:t>
      </w:r>
      <w:r w:rsidR="00E04F18" w:rsidRPr="006A0FCF">
        <w:rPr>
          <w:rFonts w:ascii="Arial" w:hAnsi="Arial" w:cs="Arial"/>
          <w:color w:val="4F81BD" w:themeColor="accent1"/>
          <w:sz w:val="24"/>
          <w:szCs w:val="24"/>
        </w:rPr>
        <w:t xml:space="preserve"> </w:t>
      </w:r>
      <w:r w:rsidRPr="006A0FCF">
        <w:rPr>
          <w:rFonts w:ascii="Arial" w:hAnsi="Arial" w:cs="Arial"/>
          <w:color w:val="4F81BD" w:themeColor="accent1"/>
          <w:sz w:val="24"/>
          <w:szCs w:val="24"/>
        </w:rPr>
        <w:t xml:space="preserve">pressure on the combined sewer network and </w:t>
      </w:r>
      <w:r>
        <w:rPr>
          <w:rFonts w:ascii="Arial" w:hAnsi="Arial" w:cs="Arial"/>
          <w:color w:val="4F81BD" w:themeColor="accent1"/>
          <w:sz w:val="24"/>
          <w:szCs w:val="24"/>
        </w:rPr>
        <w:t xml:space="preserve">mitigate </w:t>
      </w:r>
      <w:r w:rsidRPr="006A0FCF">
        <w:rPr>
          <w:rFonts w:ascii="Arial" w:hAnsi="Arial" w:cs="Arial"/>
          <w:color w:val="4F81BD" w:themeColor="accent1"/>
          <w:sz w:val="24"/>
          <w:szCs w:val="24"/>
        </w:rPr>
        <w:t xml:space="preserve">the risk of flooding </w:t>
      </w:r>
      <w:r>
        <w:rPr>
          <w:rFonts w:ascii="Arial" w:hAnsi="Arial" w:cs="Arial"/>
          <w:color w:val="4F81BD" w:themeColor="accent1"/>
          <w:sz w:val="24"/>
          <w:szCs w:val="24"/>
        </w:rPr>
        <w:t>as per following extracts for areas of elevated flood risk</w:t>
      </w:r>
      <w:r w:rsidRPr="006A0FCF">
        <w:rPr>
          <w:rFonts w:ascii="Arial" w:hAnsi="Arial" w:cs="Arial"/>
          <w:color w:val="4F81BD" w:themeColor="accent1"/>
          <w:sz w:val="24"/>
          <w:szCs w:val="24"/>
        </w:rPr>
        <w:t>:</w:t>
      </w:r>
    </w:p>
    <w:p w:rsidR="002A250A" w:rsidRDefault="002A250A" w:rsidP="002A250A">
      <w:pPr>
        <w:autoSpaceDE w:val="0"/>
        <w:autoSpaceDN w:val="0"/>
        <w:rPr>
          <w:rFonts w:ascii="Arial" w:hAnsi="Arial" w:cs="Arial"/>
          <w:color w:val="4F81BD" w:themeColor="accent1"/>
          <w:sz w:val="24"/>
          <w:szCs w:val="24"/>
        </w:rPr>
      </w:pPr>
    </w:p>
    <w:p w:rsidR="002A250A" w:rsidRPr="002A250A" w:rsidRDefault="002A250A" w:rsidP="002A250A">
      <w:pPr>
        <w:pStyle w:val="ListParagraph"/>
        <w:numPr>
          <w:ilvl w:val="1"/>
          <w:numId w:val="8"/>
        </w:numPr>
        <w:autoSpaceDE w:val="0"/>
        <w:autoSpaceDN w:val="0"/>
        <w:adjustRightInd w:val="0"/>
        <w:ind w:left="360"/>
        <w:rPr>
          <w:rFonts w:ascii="Arial" w:hAnsi="Arial" w:cs="Arial"/>
          <w:sz w:val="24"/>
          <w:szCs w:val="24"/>
        </w:rPr>
      </w:pPr>
      <w:r w:rsidRPr="002A250A">
        <w:rPr>
          <w:rFonts w:ascii="Arial" w:hAnsi="Arial" w:cs="Arial"/>
          <w:sz w:val="24"/>
          <w:szCs w:val="24"/>
        </w:rPr>
        <w:t>Developments must be designed to be water efficient. This can be achieved through the installation of water efficient fittings and appliances (which can help reduce energy consumption as well as water consumption) and by capturing and re-using rain water and grey water on-site. Residential developments will be expected to meet the requirement of 110 litres per person per day (including 5 litres for external water use)</w:t>
      </w:r>
    </w:p>
    <w:p w:rsidR="002A250A" w:rsidRPr="002A250A" w:rsidRDefault="002A250A" w:rsidP="002A250A">
      <w:pPr>
        <w:autoSpaceDE w:val="0"/>
        <w:autoSpaceDN w:val="0"/>
        <w:adjustRightInd w:val="0"/>
        <w:rPr>
          <w:rFonts w:ascii="Arial" w:hAnsi="Arial" w:cs="Arial"/>
          <w:sz w:val="24"/>
          <w:szCs w:val="24"/>
        </w:rPr>
      </w:pPr>
    </w:p>
    <w:p w:rsidR="002A250A" w:rsidRPr="002A250A" w:rsidRDefault="002A250A" w:rsidP="002A250A">
      <w:pPr>
        <w:pStyle w:val="ListParagraph"/>
        <w:numPr>
          <w:ilvl w:val="1"/>
          <w:numId w:val="8"/>
        </w:numPr>
        <w:autoSpaceDE w:val="0"/>
        <w:autoSpaceDN w:val="0"/>
        <w:adjustRightInd w:val="0"/>
        <w:ind w:left="360"/>
        <w:rPr>
          <w:rFonts w:ascii="Arial" w:hAnsi="Arial" w:cs="Arial"/>
          <w:sz w:val="24"/>
          <w:szCs w:val="24"/>
        </w:rPr>
      </w:pPr>
      <w:r w:rsidRPr="002A250A">
        <w:rPr>
          <w:rFonts w:ascii="Arial" w:hAnsi="Arial" w:cs="Arial"/>
          <w:sz w:val="24"/>
          <w:szCs w:val="24"/>
        </w:rPr>
        <w:t>A Flood Risk Assessment should identify how a development will be designed to cope with flooding and how the risk will be mitigated without increasing the risk elsewhere. Recommendations in the FRA will be secured by planning condition.</w:t>
      </w:r>
    </w:p>
    <w:p w:rsidR="002A250A" w:rsidRPr="002A250A" w:rsidRDefault="002A250A" w:rsidP="002A250A">
      <w:pPr>
        <w:autoSpaceDE w:val="0"/>
        <w:autoSpaceDN w:val="0"/>
        <w:rPr>
          <w:rFonts w:ascii="Arial" w:hAnsi="Arial" w:cs="Arial"/>
          <w:sz w:val="24"/>
          <w:szCs w:val="24"/>
        </w:rPr>
      </w:pPr>
    </w:p>
    <w:p w:rsidR="002A250A" w:rsidRPr="002A250A" w:rsidRDefault="002A250A" w:rsidP="002A250A">
      <w:pPr>
        <w:pStyle w:val="ListParagraph"/>
        <w:numPr>
          <w:ilvl w:val="1"/>
          <w:numId w:val="8"/>
        </w:numPr>
        <w:autoSpaceDE w:val="0"/>
        <w:autoSpaceDN w:val="0"/>
        <w:ind w:left="360"/>
        <w:rPr>
          <w:rFonts w:ascii="Arial" w:hAnsi="Arial" w:cs="Arial"/>
          <w:sz w:val="24"/>
          <w:szCs w:val="24"/>
        </w:rPr>
      </w:pPr>
      <w:r w:rsidRPr="002A250A">
        <w:rPr>
          <w:rFonts w:ascii="Arial" w:hAnsi="Arial" w:cs="Arial"/>
          <w:sz w:val="24"/>
          <w:szCs w:val="24"/>
        </w:rPr>
        <w:t>Development located within areas at risk of flooding should not place additional pressure on the existing drainage infrastructure.</w:t>
      </w:r>
    </w:p>
    <w:p w:rsidR="002A250A" w:rsidRPr="002A250A" w:rsidRDefault="002A250A" w:rsidP="002A250A">
      <w:pPr>
        <w:autoSpaceDE w:val="0"/>
        <w:autoSpaceDN w:val="0"/>
        <w:rPr>
          <w:rFonts w:ascii="Arial" w:hAnsi="Arial" w:cs="Arial"/>
          <w:sz w:val="24"/>
          <w:szCs w:val="24"/>
        </w:rPr>
      </w:pPr>
    </w:p>
    <w:p w:rsidR="002A250A" w:rsidRPr="002A250A" w:rsidRDefault="002A250A" w:rsidP="002A250A">
      <w:pPr>
        <w:pStyle w:val="ListParagraph"/>
        <w:numPr>
          <w:ilvl w:val="1"/>
          <w:numId w:val="8"/>
        </w:numPr>
        <w:autoSpaceDE w:val="0"/>
        <w:autoSpaceDN w:val="0"/>
        <w:adjustRightInd w:val="0"/>
        <w:ind w:left="360"/>
        <w:rPr>
          <w:rFonts w:ascii="Arial" w:hAnsi="Arial" w:cs="Arial"/>
          <w:sz w:val="24"/>
          <w:szCs w:val="24"/>
        </w:rPr>
      </w:pPr>
      <w:r w:rsidRPr="002A250A">
        <w:rPr>
          <w:rFonts w:ascii="Arial" w:hAnsi="Arial" w:cs="Arial"/>
          <w:sz w:val="24"/>
          <w:szCs w:val="24"/>
        </w:rPr>
        <w:t>The Council will require developments to utilise Sustainable Drainage Systems (SuDS), to achieve greenfield run-off rates, unless demonstrated that this is not Feasible. Surface water should be managed as close to its source as possible, in line with the drainage hierarchy in the London Plan.</w:t>
      </w:r>
    </w:p>
    <w:p w:rsidR="002A250A" w:rsidRPr="002A250A" w:rsidRDefault="002A250A" w:rsidP="002A250A">
      <w:pPr>
        <w:autoSpaceDE w:val="0"/>
        <w:autoSpaceDN w:val="0"/>
        <w:adjustRightInd w:val="0"/>
        <w:rPr>
          <w:rFonts w:ascii="Arial" w:hAnsi="Arial" w:cs="Arial"/>
          <w:sz w:val="24"/>
          <w:szCs w:val="24"/>
        </w:rPr>
      </w:pPr>
    </w:p>
    <w:p w:rsidR="002A250A" w:rsidRPr="002A250A" w:rsidRDefault="002A250A" w:rsidP="002A250A">
      <w:pPr>
        <w:pStyle w:val="ListParagraph"/>
        <w:numPr>
          <w:ilvl w:val="1"/>
          <w:numId w:val="8"/>
        </w:numPr>
        <w:autoSpaceDE w:val="0"/>
        <w:autoSpaceDN w:val="0"/>
        <w:adjustRightInd w:val="0"/>
        <w:ind w:left="360"/>
        <w:rPr>
          <w:rFonts w:ascii="Arial" w:hAnsi="Arial" w:cs="Arial"/>
          <w:sz w:val="24"/>
          <w:szCs w:val="24"/>
        </w:rPr>
      </w:pPr>
      <w:r w:rsidRPr="002A250A">
        <w:rPr>
          <w:rFonts w:ascii="Arial" w:hAnsi="Arial" w:cs="Arial"/>
          <w:sz w:val="24"/>
          <w:szCs w:val="24"/>
        </w:rPr>
        <w:t>Development should also demonstrate how it will mitigate the potential flooding of other properties. When determining the suitability of SuDS, vulnerability and the importance of local ecological resources, such as water quality and biodiversity should be considered</w:t>
      </w:r>
    </w:p>
    <w:p w:rsidR="002A250A" w:rsidRPr="002A250A" w:rsidRDefault="002A250A" w:rsidP="002A250A">
      <w:pPr>
        <w:autoSpaceDE w:val="0"/>
        <w:autoSpaceDN w:val="0"/>
        <w:adjustRightInd w:val="0"/>
        <w:rPr>
          <w:rFonts w:ascii="Arial" w:hAnsi="Arial" w:cs="Arial"/>
          <w:sz w:val="24"/>
          <w:szCs w:val="24"/>
        </w:rPr>
      </w:pPr>
    </w:p>
    <w:p w:rsidR="002A250A" w:rsidRPr="002A250A" w:rsidRDefault="002A250A" w:rsidP="002A250A">
      <w:pPr>
        <w:pStyle w:val="ListParagraph"/>
        <w:numPr>
          <w:ilvl w:val="1"/>
          <w:numId w:val="8"/>
        </w:numPr>
        <w:autoSpaceDE w:val="0"/>
        <w:autoSpaceDN w:val="0"/>
        <w:adjustRightInd w:val="0"/>
        <w:ind w:left="360"/>
        <w:rPr>
          <w:rFonts w:ascii="Arial" w:hAnsi="Arial" w:cs="Arial"/>
          <w:sz w:val="24"/>
          <w:szCs w:val="24"/>
        </w:rPr>
      </w:pPr>
      <w:r w:rsidRPr="002A250A">
        <w:rPr>
          <w:rFonts w:ascii="Arial" w:hAnsi="Arial" w:cs="Arial"/>
          <w:sz w:val="24"/>
          <w:szCs w:val="24"/>
        </w:rPr>
        <w:t>A drainage report should be submitted with all major applications, basement developments and other vulnerable development in areas identified at risk of flooding. This should include:</w:t>
      </w:r>
    </w:p>
    <w:p w:rsidR="002A250A" w:rsidRPr="002A250A" w:rsidRDefault="002A250A" w:rsidP="002A250A">
      <w:pPr>
        <w:pStyle w:val="ListParagraph"/>
        <w:numPr>
          <w:ilvl w:val="2"/>
          <w:numId w:val="8"/>
        </w:numPr>
        <w:autoSpaceDE w:val="0"/>
        <w:autoSpaceDN w:val="0"/>
        <w:adjustRightInd w:val="0"/>
        <w:ind w:left="1080"/>
        <w:rPr>
          <w:rFonts w:ascii="Arial" w:hAnsi="Arial" w:cs="Arial"/>
          <w:sz w:val="24"/>
          <w:szCs w:val="24"/>
        </w:rPr>
      </w:pPr>
      <w:r w:rsidRPr="002A250A">
        <w:rPr>
          <w:rFonts w:ascii="Arial" w:hAnsi="Arial" w:cs="Arial"/>
          <w:sz w:val="24"/>
          <w:szCs w:val="24"/>
        </w:rPr>
        <w:t>identification of flood risk;</w:t>
      </w:r>
    </w:p>
    <w:p w:rsidR="002A250A" w:rsidRPr="002A250A" w:rsidRDefault="002A250A" w:rsidP="002A250A">
      <w:pPr>
        <w:pStyle w:val="ListParagraph"/>
        <w:numPr>
          <w:ilvl w:val="2"/>
          <w:numId w:val="8"/>
        </w:numPr>
        <w:autoSpaceDE w:val="0"/>
        <w:autoSpaceDN w:val="0"/>
        <w:adjustRightInd w:val="0"/>
        <w:ind w:left="1080"/>
        <w:rPr>
          <w:rFonts w:ascii="Arial" w:hAnsi="Arial" w:cs="Arial"/>
          <w:sz w:val="24"/>
          <w:szCs w:val="24"/>
        </w:rPr>
      </w:pPr>
      <w:r w:rsidRPr="002A250A">
        <w:rPr>
          <w:rFonts w:ascii="Arial" w:hAnsi="Arial" w:cs="Arial"/>
          <w:sz w:val="24"/>
          <w:szCs w:val="24"/>
        </w:rPr>
        <w:t>assessment of existing run-off rates;</w:t>
      </w:r>
    </w:p>
    <w:p w:rsidR="002A250A" w:rsidRPr="002A250A" w:rsidRDefault="002A250A" w:rsidP="002A250A">
      <w:pPr>
        <w:pStyle w:val="ListParagraph"/>
        <w:numPr>
          <w:ilvl w:val="2"/>
          <w:numId w:val="8"/>
        </w:numPr>
        <w:autoSpaceDE w:val="0"/>
        <w:autoSpaceDN w:val="0"/>
        <w:adjustRightInd w:val="0"/>
        <w:ind w:left="1080"/>
        <w:rPr>
          <w:rFonts w:ascii="Arial" w:hAnsi="Arial" w:cs="Arial"/>
          <w:sz w:val="24"/>
          <w:szCs w:val="24"/>
        </w:rPr>
      </w:pPr>
      <w:r w:rsidRPr="002A250A">
        <w:rPr>
          <w:rFonts w:ascii="Arial" w:hAnsi="Arial" w:cs="Arial"/>
          <w:sz w:val="24"/>
          <w:szCs w:val="24"/>
        </w:rPr>
        <w:t>calculation of greenfield run-off rates;</w:t>
      </w:r>
    </w:p>
    <w:p w:rsidR="002A250A" w:rsidRPr="002A250A" w:rsidRDefault="002A250A" w:rsidP="002A250A">
      <w:pPr>
        <w:pStyle w:val="ListParagraph"/>
        <w:numPr>
          <w:ilvl w:val="2"/>
          <w:numId w:val="8"/>
        </w:numPr>
        <w:autoSpaceDE w:val="0"/>
        <w:autoSpaceDN w:val="0"/>
        <w:adjustRightInd w:val="0"/>
        <w:ind w:left="1080"/>
        <w:rPr>
          <w:rFonts w:ascii="Arial" w:hAnsi="Arial" w:cs="Arial"/>
          <w:sz w:val="24"/>
          <w:szCs w:val="24"/>
        </w:rPr>
      </w:pPr>
      <w:r w:rsidRPr="002A250A">
        <w:rPr>
          <w:rFonts w:ascii="Arial" w:hAnsi="Arial" w:cs="Arial"/>
          <w:sz w:val="24"/>
          <w:szCs w:val="24"/>
        </w:rPr>
        <w:t>identification of measures, in line with the drainage hierarchy, to reduce runoff</w:t>
      </w:r>
    </w:p>
    <w:p w:rsidR="002A250A" w:rsidRPr="002A250A" w:rsidRDefault="002A250A" w:rsidP="002A250A">
      <w:pPr>
        <w:pStyle w:val="ListParagraph"/>
        <w:numPr>
          <w:ilvl w:val="2"/>
          <w:numId w:val="8"/>
        </w:numPr>
        <w:autoSpaceDE w:val="0"/>
        <w:autoSpaceDN w:val="0"/>
        <w:adjustRightInd w:val="0"/>
        <w:ind w:left="1080"/>
        <w:rPr>
          <w:rFonts w:ascii="Arial" w:hAnsi="Arial" w:cs="Arial"/>
          <w:sz w:val="24"/>
          <w:szCs w:val="24"/>
        </w:rPr>
      </w:pPr>
      <w:r w:rsidRPr="002A250A">
        <w:rPr>
          <w:rFonts w:ascii="Arial" w:hAnsi="Arial" w:cs="Arial"/>
          <w:sz w:val="24"/>
          <w:szCs w:val="24"/>
        </w:rPr>
        <w:t>rates; and</w:t>
      </w:r>
    </w:p>
    <w:p w:rsidR="002A250A" w:rsidRPr="002A250A" w:rsidRDefault="002A250A" w:rsidP="002A250A">
      <w:pPr>
        <w:pStyle w:val="ListParagraph"/>
        <w:numPr>
          <w:ilvl w:val="2"/>
          <w:numId w:val="8"/>
        </w:numPr>
        <w:autoSpaceDE w:val="0"/>
        <w:autoSpaceDN w:val="0"/>
        <w:ind w:left="1080"/>
        <w:rPr>
          <w:rFonts w:ascii="Arial" w:hAnsi="Arial" w:cs="Arial"/>
          <w:sz w:val="24"/>
          <w:szCs w:val="24"/>
        </w:rPr>
      </w:pPr>
      <w:r w:rsidRPr="002A250A">
        <w:rPr>
          <w:rFonts w:ascii="Arial" w:hAnsi="Arial" w:cs="Arial"/>
          <w:sz w:val="24"/>
          <w:szCs w:val="24"/>
        </w:rPr>
        <w:t>calculation of proposed run-off rates.</w:t>
      </w:r>
    </w:p>
    <w:p w:rsidR="002A250A" w:rsidRPr="002A250A" w:rsidRDefault="002A250A" w:rsidP="002A250A">
      <w:pPr>
        <w:autoSpaceDE w:val="0"/>
        <w:autoSpaceDN w:val="0"/>
        <w:rPr>
          <w:rFonts w:ascii="Arial" w:hAnsi="Arial" w:cs="Arial"/>
          <w:sz w:val="24"/>
          <w:szCs w:val="24"/>
        </w:rPr>
      </w:pPr>
    </w:p>
    <w:p w:rsidR="002A250A" w:rsidRPr="002A250A" w:rsidRDefault="002A250A" w:rsidP="002A250A">
      <w:pPr>
        <w:pStyle w:val="ListParagraph"/>
        <w:numPr>
          <w:ilvl w:val="1"/>
          <w:numId w:val="8"/>
        </w:numPr>
        <w:autoSpaceDE w:val="0"/>
        <w:autoSpaceDN w:val="0"/>
        <w:ind w:left="360"/>
        <w:rPr>
          <w:rFonts w:ascii="Arial" w:hAnsi="Arial" w:cs="Arial"/>
          <w:sz w:val="24"/>
          <w:szCs w:val="24"/>
        </w:rPr>
      </w:pPr>
      <w:r w:rsidRPr="002A250A">
        <w:rPr>
          <w:rFonts w:ascii="Arial" w:hAnsi="Arial" w:cs="Arial"/>
          <w:sz w:val="24"/>
          <w:szCs w:val="24"/>
        </w:rPr>
        <w:t>The Council will not permit basement schemes which include habitable rooms and other sensitive uses for self-contained basement flats and other underground structures in areas prone to flooding (“Policy A5 Basements”).</w:t>
      </w:r>
    </w:p>
    <w:p w:rsidR="002A250A" w:rsidRPr="002A250A" w:rsidRDefault="002A250A" w:rsidP="002A250A">
      <w:pPr>
        <w:autoSpaceDE w:val="0"/>
        <w:autoSpaceDN w:val="0"/>
        <w:rPr>
          <w:rFonts w:ascii="Arial" w:hAnsi="Arial" w:cs="Arial"/>
          <w:color w:val="4F81BD" w:themeColor="accent1"/>
          <w:sz w:val="24"/>
          <w:szCs w:val="24"/>
        </w:rPr>
      </w:pPr>
    </w:p>
    <w:p w:rsidR="002A250A" w:rsidRPr="006A0FCF" w:rsidRDefault="002A250A" w:rsidP="002A250A">
      <w:pPr>
        <w:autoSpaceDE w:val="0"/>
        <w:autoSpaceDN w:val="0"/>
        <w:rPr>
          <w:rFonts w:ascii="Arial" w:hAnsi="Arial" w:cs="Arial"/>
          <w:color w:val="4F81BD" w:themeColor="accent1"/>
          <w:sz w:val="24"/>
          <w:szCs w:val="24"/>
        </w:rPr>
      </w:pPr>
      <w:r>
        <w:rPr>
          <w:rFonts w:ascii="Arial" w:hAnsi="Arial" w:cs="Arial"/>
          <w:color w:val="4F81BD" w:themeColor="accent1"/>
          <w:sz w:val="24"/>
          <w:szCs w:val="24"/>
        </w:rPr>
        <w:t>The following comments and required actions are noted:</w:t>
      </w:r>
    </w:p>
    <w:p w:rsidR="002A250A" w:rsidRDefault="002A250A" w:rsidP="002A250A">
      <w:pPr>
        <w:rPr>
          <w:rFonts w:ascii="Arial" w:hAnsi="Arial" w:cs="Arial"/>
          <w:sz w:val="24"/>
          <w:szCs w:val="24"/>
        </w:rPr>
      </w:pPr>
    </w:p>
    <w:tbl>
      <w:tblPr>
        <w:tblStyle w:val="TableGrid"/>
        <w:tblW w:w="0" w:type="auto"/>
        <w:tblLook w:val="04A0" w:firstRow="1" w:lastRow="0" w:firstColumn="1" w:lastColumn="0" w:noHBand="0" w:noVBand="1"/>
      </w:tblPr>
      <w:tblGrid>
        <w:gridCol w:w="2122"/>
        <w:gridCol w:w="3888"/>
        <w:gridCol w:w="3006"/>
      </w:tblGrid>
      <w:tr w:rsidR="002A250A" w:rsidTr="00AF529C">
        <w:tc>
          <w:tcPr>
            <w:tcW w:w="2122" w:type="dxa"/>
          </w:tcPr>
          <w:p w:rsidR="002A250A" w:rsidRPr="00BA13B9" w:rsidRDefault="002A250A" w:rsidP="00AF529C">
            <w:pPr>
              <w:rPr>
                <w:rFonts w:ascii="ArialMT" w:hAnsi="ArialMT" w:cs="ArialMT"/>
                <w:b/>
                <w:i/>
                <w:sz w:val="20"/>
                <w:szCs w:val="20"/>
              </w:rPr>
            </w:pPr>
            <w:r w:rsidRPr="00BA13B9">
              <w:rPr>
                <w:rFonts w:ascii="ArialMT" w:hAnsi="ArialMT" w:cs="ArialMT"/>
                <w:b/>
                <w:i/>
                <w:sz w:val="20"/>
                <w:szCs w:val="20"/>
              </w:rPr>
              <w:t>Policy requirement</w:t>
            </w:r>
          </w:p>
        </w:tc>
        <w:tc>
          <w:tcPr>
            <w:tcW w:w="3888" w:type="dxa"/>
          </w:tcPr>
          <w:p w:rsidR="002A250A" w:rsidRPr="00BA13B9" w:rsidRDefault="002A250A" w:rsidP="00AF529C">
            <w:pPr>
              <w:rPr>
                <w:rFonts w:ascii="Arial" w:hAnsi="Arial" w:cs="Arial"/>
                <w:b/>
                <w:i/>
                <w:sz w:val="20"/>
                <w:szCs w:val="20"/>
              </w:rPr>
            </w:pPr>
            <w:r w:rsidRPr="00BA13B9">
              <w:rPr>
                <w:rFonts w:ascii="Arial" w:hAnsi="Arial" w:cs="Arial"/>
                <w:b/>
                <w:i/>
                <w:sz w:val="20"/>
                <w:szCs w:val="20"/>
              </w:rPr>
              <w:t>Comments</w:t>
            </w:r>
          </w:p>
        </w:tc>
        <w:tc>
          <w:tcPr>
            <w:tcW w:w="3006" w:type="dxa"/>
          </w:tcPr>
          <w:p w:rsidR="002A250A" w:rsidRPr="00BA13B9" w:rsidRDefault="002A250A" w:rsidP="00AF529C">
            <w:pPr>
              <w:rPr>
                <w:rFonts w:ascii="Arial" w:hAnsi="Arial" w:cs="Arial"/>
                <w:b/>
                <w:i/>
                <w:sz w:val="20"/>
                <w:szCs w:val="20"/>
              </w:rPr>
            </w:pPr>
            <w:r w:rsidRPr="00BA13B9">
              <w:rPr>
                <w:rFonts w:ascii="Arial" w:hAnsi="Arial" w:cs="Arial"/>
                <w:b/>
                <w:i/>
                <w:sz w:val="20"/>
                <w:szCs w:val="20"/>
              </w:rPr>
              <w:t>Action</w:t>
            </w:r>
            <w:r>
              <w:rPr>
                <w:rFonts w:ascii="Arial" w:hAnsi="Arial" w:cs="Arial"/>
                <w:b/>
                <w:i/>
                <w:sz w:val="20"/>
                <w:szCs w:val="20"/>
              </w:rPr>
              <w:t>s</w:t>
            </w:r>
            <w:r w:rsidRPr="00BA13B9">
              <w:rPr>
                <w:rFonts w:ascii="Arial" w:hAnsi="Arial" w:cs="Arial"/>
                <w:b/>
                <w:i/>
                <w:sz w:val="20"/>
                <w:szCs w:val="20"/>
              </w:rPr>
              <w:t xml:space="preserve"> required</w:t>
            </w:r>
          </w:p>
        </w:tc>
      </w:tr>
      <w:tr w:rsidR="002A250A" w:rsidTr="00AF529C">
        <w:tc>
          <w:tcPr>
            <w:tcW w:w="2122" w:type="dxa"/>
          </w:tcPr>
          <w:p w:rsidR="002A250A" w:rsidRPr="00925128" w:rsidRDefault="002A250A" w:rsidP="00AF529C">
            <w:pPr>
              <w:rPr>
                <w:rFonts w:ascii="Arial" w:hAnsi="Arial" w:cs="Arial"/>
                <w:sz w:val="20"/>
                <w:szCs w:val="20"/>
              </w:rPr>
            </w:pPr>
            <w:r w:rsidRPr="00925128">
              <w:rPr>
                <w:rFonts w:ascii="ArialMT" w:hAnsi="ArialMT" w:cs="ArialMT"/>
                <w:sz w:val="20"/>
                <w:szCs w:val="20"/>
              </w:rPr>
              <w:t>Water efficiency</w:t>
            </w:r>
          </w:p>
        </w:tc>
        <w:tc>
          <w:tcPr>
            <w:tcW w:w="3888" w:type="dxa"/>
          </w:tcPr>
          <w:p w:rsidR="002A250A" w:rsidRDefault="00406C32" w:rsidP="00AF529C">
            <w:pPr>
              <w:rPr>
                <w:rFonts w:ascii="Arial" w:hAnsi="Arial" w:cs="Arial"/>
                <w:sz w:val="20"/>
                <w:szCs w:val="20"/>
              </w:rPr>
            </w:pPr>
            <w:r>
              <w:rPr>
                <w:rFonts w:ascii="Arial" w:hAnsi="Arial" w:cs="Arial"/>
                <w:sz w:val="20"/>
                <w:szCs w:val="20"/>
              </w:rPr>
              <w:t>Energy and Sustainability Statement Page 19 states the development aim to reduce water consumption to below 105 litres per person per day.</w:t>
            </w:r>
          </w:p>
          <w:p w:rsidR="002A250A" w:rsidRPr="00925128" w:rsidRDefault="002A250A" w:rsidP="00AF529C">
            <w:pPr>
              <w:rPr>
                <w:rFonts w:ascii="Arial" w:hAnsi="Arial" w:cs="Arial"/>
                <w:sz w:val="20"/>
                <w:szCs w:val="20"/>
              </w:rPr>
            </w:pPr>
          </w:p>
        </w:tc>
        <w:tc>
          <w:tcPr>
            <w:tcW w:w="3006" w:type="dxa"/>
          </w:tcPr>
          <w:p w:rsidR="002A250A" w:rsidRPr="00925128" w:rsidRDefault="004369ED" w:rsidP="00AF529C">
            <w:pPr>
              <w:rPr>
                <w:rFonts w:ascii="Arial" w:hAnsi="Arial" w:cs="Arial"/>
                <w:sz w:val="20"/>
                <w:szCs w:val="20"/>
              </w:rPr>
            </w:pPr>
            <w:r>
              <w:rPr>
                <w:rFonts w:ascii="Arial" w:hAnsi="Arial" w:cs="Arial"/>
                <w:sz w:val="20"/>
                <w:szCs w:val="20"/>
              </w:rPr>
              <w:t>To be secured through s106</w:t>
            </w:r>
          </w:p>
        </w:tc>
      </w:tr>
      <w:tr w:rsidR="002A250A" w:rsidTr="00AF529C">
        <w:tc>
          <w:tcPr>
            <w:tcW w:w="2122" w:type="dxa"/>
          </w:tcPr>
          <w:p w:rsidR="002A250A" w:rsidRPr="00925128" w:rsidRDefault="00127F81" w:rsidP="00127F81">
            <w:pPr>
              <w:rPr>
                <w:rFonts w:ascii="Arial" w:hAnsi="Arial" w:cs="Arial"/>
                <w:sz w:val="20"/>
                <w:szCs w:val="20"/>
              </w:rPr>
            </w:pPr>
            <w:r>
              <w:rPr>
                <w:rFonts w:ascii="Arial" w:hAnsi="Arial" w:cs="Arial"/>
                <w:sz w:val="20"/>
                <w:szCs w:val="20"/>
              </w:rPr>
              <w:t xml:space="preserve">FRA </w:t>
            </w:r>
          </w:p>
        </w:tc>
        <w:tc>
          <w:tcPr>
            <w:tcW w:w="3888" w:type="dxa"/>
          </w:tcPr>
          <w:p w:rsidR="002A250A" w:rsidRDefault="002A250A" w:rsidP="00AF529C">
            <w:pPr>
              <w:rPr>
                <w:rFonts w:ascii="Arial" w:hAnsi="Arial" w:cs="Arial"/>
                <w:sz w:val="20"/>
                <w:szCs w:val="20"/>
              </w:rPr>
            </w:pPr>
            <w:r>
              <w:rPr>
                <w:rFonts w:ascii="Arial" w:hAnsi="Arial" w:cs="Arial"/>
                <w:sz w:val="20"/>
                <w:szCs w:val="20"/>
              </w:rPr>
              <w:t>A FRA is submitted</w:t>
            </w:r>
            <w:r w:rsidR="00406C32">
              <w:rPr>
                <w:rFonts w:ascii="Arial" w:hAnsi="Arial" w:cs="Arial"/>
                <w:sz w:val="20"/>
                <w:szCs w:val="20"/>
              </w:rPr>
              <w:t>.</w:t>
            </w:r>
            <w:r>
              <w:rPr>
                <w:rFonts w:ascii="Arial" w:hAnsi="Arial" w:cs="Arial"/>
                <w:sz w:val="20"/>
                <w:szCs w:val="20"/>
              </w:rPr>
              <w:t xml:space="preserve"> </w:t>
            </w:r>
          </w:p>
          <w:p w:rsidR="00127F81" w:rsidRDefault="00127F81" w:rsidP="00AF529C">
            <w:pPr>
              <w:rPr>
                <w:rFonts w:ascii="Arial" w:hAnsi="Arial" w:cs="Arial"/>
                <w:sz w:val="20"/>
                <w:szCs w:val="20"/>
              </w:rPr>
            </w:pPr>
          </w:p>
          <w:p w:rsidR="00127F81" w:rsidRDefault="00127F81" w:rsidP="00AF529C">
            <w:pPr>
              <w:rPr>
                <w:rFonts w:ascii="Arial" w:hAnsi="Arial" w:cs="Arial"/>
                <w:sz w:val="20"/>
                <w:szCs w:val="20"/>
              </w:rPr>
            </w:pPr>
            <w:r>
              <w:rPr>
                <w:rFonts w:ascii="Arial" w:hAnsi="Arial" w:cs="Arial"/>
                <w:sz w:val="20"/>
                <w:szCs w:val="20"/>
              </w:rPr>
              <w:t>The FRA section 5.3 notes that “Avenue Road is recorded of being flooded in the 2002 event.  There is no record of the site being affected by this flooding event.”</w:t>
            </w:r>
          </w:p>
          <w:p w:rsidR="002A250A" w:rsidRDefault="002A250A" w:rsidP="00AF529C">
            <w:pPr>
              <w:rPr>
                <w:rFonts w:ascii="Arial" w:hAnsi="Arial" w:cs="Arial"/>
                <w:sz w:val="20"/>
                <w:szCs w:val="20"/>
              </w:rPr>
            </w:pPr>
          </w:p>
          <w:p w:rsidR="002A250A" w:rsidRDefault="00127F81" w:rsidP="00AF529C">
            <w:pPr>
              <w:rPr>
                <w:rFonts w:ascii="Arial" w:hAnsi="Arial" w:cs="Arial"/>
                <w:sz w:val="20"/>
                <w:szCs w:val="20"/>
              </w:rPr>
            </w:pPr>
            <w:r>
              <w:rPr>
                <w:rFonts w:ascii="Arial" w:hAnsi="Arial" w:cs="Arial"/>
                <w:sz w:val="20"/>
                <w:szCs w:val="20"/>
              </w:rPr>
              <w:t>Proposed m</w:t>
            </w:r>
            <w:r w:rsidR="002A250A">
              <w:rPr>
                <w:rFonts w:ascii="Arial" w:hAnsi="Arial" w:cs="Arial"/>
                <w:sz w:val="20"/>
                <w:szCs w:val="20"/>
              </w:rPr>
              <w:t xml:space="preserve">itigation </w:t>
            </w:r>
            <w:r w:rsidR="00DB6F04">
              <w:rPr>
                <w:rFonts w:ascii="Arial" w:hAnsi="Arial" w:cs="Arial"/>
                <w:sz w:val="20"/>
                <w:szCs w:val="20"/>
              </w:rPr>
              <w:t xml:space="preserve">includes </w:t>
            </w:r>
            <w:r w:rsidR="002A250A">
              <w:rPr>
                <w:rFonts w:ascii="Arial" w:hAnsi="Arial" w:cs="Arial"/>
                <w:sz w:val="20"/>
                <w:szCs w:val="20"/>
              </w:rPr>
              <w:t>the following:</w:t>
            </w:r>
          </w:p>
          <w:p w:rsidR="00406C32" w:rsidRDefault="00406C32" w:rsidP="00406C32">
            <w:pPr>
              <w:pStyle w:val="ListParagraph"/>
              <w:numPr>
                <w:ilvl w:val="0"/>
                <w:numId w:val="9"/>
              </w:numPr>
              <w:rPr>
                <w:rFonts w:ascii="Arial" w:hAnsi="Arial" w:cs="Arial"/>
                <w:sz w:val="20"/>
                <w:szCs w:val="20"/>
              </w:rPr>
            </w:pPr>
            <w:r w:rsidRPr="00406C32">
              <w:rPr>
                <w:rFonts w:ascii="Arial" w:hAnsi="Arial" w:cs="Arial"/>
                <w:sz w:val="20"/>
                <w:szCs w:val="20"/>
              </w:rPr>
              <w:t>the basement extension includes an appropriate tanked system</w:t>
            </w:r>
            <w:r>
              <w:rPr>
                <w:rFonts w:ascii="Arial" w:hAnsi="Arial" w:cs="Arial"/>
                <w:sz w:val="20"/>
                <w:szCs w:val="20"/>
              </w:rPr>
              <w:t xml:space="preserve"> </w:t>
            </w:r>
            <w:r w:rsidRPr="00406C32">
              <w:rPr>
                <w:rFonts w:ascii="Arial" w:hAnsi="Arial" w:cs="Arial"/>
                <w:sz w:val="20"/>
                <w:szCs w:val="20"/>
              </w:rPr>
              <w:t>or equivalent to prevent groundwater ingress into the basement.</w:t>
            </w:r>
          </w:p>
          <w:p w:rsidR="00C31DE6" w:rsidRDefault="00C31DE6" w:rsidP="00C31DE6">
            <w:pPr>
              <w:pStyle w:val="ListParagraph"/>
              <w:numPr>
                <w:ilvl w:val="0"/>
                <w:numId w:val="9"/>
              </w:numPr>
              <w:rPr>
                <w:rFonts w:ascii="Arial" w:hAnsi="Arial" w:cs="Arial"/>
                <w:sz w:val="20"/>
                <w:szCs w:val="20"/>
              </w:rPr>
            </w:pPr>
            <w:r w:rsidRPr="00C31DE6">
              <w:rPr>
                <w:rFonts w:ascii="Arial" w:hAnsi="Arial" w:cs="Arial"/>
                <w:sz w:val="20"/>
                <w:szCs w:val="20"/>
              </w:rPr>
              <w:t>F</w:t>
            </w:r>
            <w:r w:rsidR="00F61988">
              <w:rPr>
                <w:rFonts w:ascii="Arial" w:hAnsi="Arial" w:cs="Arial"/>
                <w:sz w:val="20"/>
                <w:szCs w:val="20"/>
              </w:rPr>
              <w:t xml:space="preserve">inished </w:t>
            </w:r>
            <w:r w:rsidRPr="00C31DE6">
              <w:rPr>
                <w:rFonts w:ascii="Arial" w:hAnsi="Arial" w:cs="Arial"/>
                <w:sz w:val="20"/>
                <w:szCs w:val="20"/>
              </w:rPr>
              <w:t>F</w:t>
            </w:r>
            <w:r w:rsidR="00F61988">
              <w:rPr>
                <w:rFonts w:ascii="Arial" w:hAnsi="Arial" w:cs="Arial"/>
                <w:sz w:val="20"/>
                <w:szCs w:val="20"/>
              </w:rPr>
              <w:t xml:space="preserve">loor </w:t>
            </w:r>
            <w:r w:rsidRPr="00C31DE6">
              <w:rPr>
                <w:rFonts w:ascii="Arial" w:hAnsi="Arial" w:cs="Arial"/>
                <w:sz w:val="20"/>
                <w:szCs w:val="20"/>
              </w:rPr>
              <w:t>L</w:t>
            </w:r>
            <w:r w:rsidR="00F61988">
              <w:rPr>
                <w:rFonts w:ascii="Arial" w:hAnsi="Arial" w:cs="Arial"/>
                <w:sz w:val="20"/>
                <w:szCs w:val="20"/>
              </w:rPr>
              <w:t>evels</w:t>
            </w:r>
            <w:r w:rsidRPr="00C31DE6">
              <w:rPr>
                <w:rFonts w:ascii="Arial" w:hAnsi="Arial" w:cs="Arial"/>
                <w:sz w:val="20"/>
                <w:szCs w:val="20"/>
              </w:rPr>
              <w:t xml:space="preserve"> being set above the design flood water level.</w:t>
            </w:r>
            <w:r w:rsidR="00F61988">
              <w:rPr>
                <w:rFonts w:ascii="Arial" w:hAnsi="Arial" w:cs="Arial"/>
                <w:sz w:val="20"/>
                <w:szCs w:val="20"/>
              </w:rPr>
              <w:t xml:space="preserve"> (150mm above the surrounding ground levels</w:t>
            </w:r>
            <w:r w:rsidR="00307689">
              <w:rPr>
                <w:rFonts w:ascii="Arial" w:hAnsi="Arial" w:cs="Arial"/>
                <w:sz w:val="20"/>
                <w:szCs w:val="20"/>
              </w:rPr>
              <w:t xml:space="preserve"> – 5.32</w:t>
            </w:r>
            <w:r w:rsidR="00F61988">
              <w:rPr>
                <w:rFonts w:ascii="Arial" w:hAnsi="Arial" w:cs="Arial"/>
                <w:sz w:val="20"/>
                <w:szCs w:val="20"/>
              </w:rPr>
              <w:t>).</w:t>
            </w:r>
            <w:r w:rsidRPr="00C31DE6">
              <w:rPr>
                <w:rFonts w:ascii="Arial" w:hAnsi="Arial" w:cs="Arial"/>
                <w:sz w:val="20"/>
                <w:szCs w:val="20"/>
              </w:rPr>
              <w:t xml:space="preserve"> With the mitigation</w:t>
            </w:r>
            <w:r w:rsidR="0010272F">
              <w:rPr>
                <w:rFonts w:ascii="Arial" w:hAnsi="Arial" w:cs="Arial"/>
                <w:sz w:val="20"/>
                <w:szCs w:val="20"/>
              </w:rPr>
              <w:t xml:space="preserve"> </w:t>
            </w:r>
            <w:r w:rsidRPr="00C31DE6">
              <w:rPr>
                <w:rFonts w:ascii="Arial" w:hAnsi="Arial" w:cs="Arial"/>
                <w:sz w:val="20"/>
                <w:szCs w:val="20"/>
              </w:rPr>
              <w:t>measure of retaining walls for t</w:t>
            </w:r>
            <w:r>
              <w:rPr>
                <w:rFonts w:ascii="Arial" w:hAnsi="Arial" w:cs="Arial"/>
                <w:sz w:val="20"/>
                <w:szCs w:val="20"/>
              </w:rPr>
              <w:t>he proposed lightwell in place</w:t>
            </w:r>
            <w:r w:rsidR="00F61988">
              <w:rPr>
                <w:rFonts w:ascii="Arial" w:hAnsi="Arial" w:cs="Arial"/>
                <w:sz w:val="20"/>
                <w:szCs w:val="20"/>
              </w:rPr>
              <w:t>.</w:t>
            </w:r>
          </w:p>
          <w:p w:rsidR="00127F81" w:rsidRPr="00127F81" w:rsidRDefault="00127F81" w:rsidP="00127F81">
            <w:pPr>
              <w:pStyle w:val="ListParagraph"/>
              <w:numPr>
                <w:ilvl w:val="0"/>
                <w:numId w:val="9"/>
              </w:numPr>
              <w:rPr>
                <w:rFonts w:ascii="Arial" w:hAnsi="Arial" w:cs="Arial"/>
                <w:sz w:val="20"/>
                <w:szCs w:val="20"/>
              </w:rPr>
            </w:pPr>
            <w:r w:rsidRPr="00127F81">
              <w:rPr>
                <w:rFonts w:ascii="Arial" w:hAnsi="Arial" w:cs="Arial"/>
                <w:sz w:val="20"/>
                <w:szCs w:val="20"/>
              </w:rPr>
              <w:t>It is recommended that non-return</w:t>
            </w:r>
          </w:p>
          <w:p w:rsidR="00127F81" w:rsidRPr="00127F81" w:rsidRDefault="00127F81" w:rsidP="00127F81">
            <w:pPr>
              <w:pStyle w:val="ListParagraph"/>
              <w:ind w:left="360"/>
              <w:rPr>
                <w:rFonts w:ascii="Arial" w:hAnsi="Arial" w:cs="Arial"/>
                <w:sz w:val="20"/>
                <w:szCs w:val="20"/>
              </w:rPr>
            </w:pPr>
            <w:r w:rsidRPr="00127F81">
              <w:rPr>
                <w:rFonts w:ascii="Arial" w:hAnsi="Arial" w:cs="Arial"/>
                <w:sz w:val="20"/>
                <w:szCs w:val="20"/>
              </w:rPr>
              <w:t>valves or a positive pumped system are implemented within the proposed basement to</w:t>
            </w:r>
            <w:r>
              <w:rPr>
                <w:rFonts w:ascii="Arial" w:hAnsi="Arial" w:cs="Arial"/>
                <w:sz w:val="20"/>
                <w:szCs w:val="20"/>
              </w:rPr>
              <w:t xml:space="preserve"> </w:t>
            </w:r>
            <w:r w:rsidRPr="00127F81">
              <w:rPr>
                <w:rFonts w:ascii="Arial" w:hAnsi="Arial" w:cs="Arial"/>
                <w:sz w:val="20"/>
                <w:szCs w:val="20"/>
              </w:rPr>
              <w:t>reduce the risk of sewers surcharging into the property.</w:t>
            </w:r>
            <w:r>
              <w:rPr>
                <w:rFonts w:ascii="Arial" w:hAnsi="Arial" w:cs="Arial"/>
                <w:sz w:val="20"/>
                <w:szCs w:val="20"/>
              </w:rPr>
              <w:t xml:space="preserve"> (5.31)</w:t>
            </w:r>
          </w:p>
          <w:p w:rsidR="00F61988" w:rsidRDefault="00F61988" w:rsidP="00C31DE6">
            <w:pPr>
              <w:pStyle w:val="ListParagraph"/>
              <w:numPr>
                <w:ilvl w:val="0"/>
                <w:numId w:val="9"/>
              </w:numPr>
              <w:rPr>
                <w:rFonts w:ascii="Arial" w:hAnsi="Arial" w:cs="Arial"/>
                <w:sz w:val="20"/>
                <w:szCs w:val="20"/>
              </w:rPr>
            </w:pPr>
            <w:r>
              <w:rPr>
                <w:rFonts w:ascii="Arial" w:hAnsi="Arial" w:cs="Arial"/>
                <w:sz w:val="20"/>
                <w:szCs w:val="20"/>
              </w:rPr>
              <w:t>Levels on the site are higher than Avenue Road carriageway (5.31)</w:t>
            </w:r>
          </w:p>
          <w:p w:rsidR="00406C32" w:rsidRPr="00C31DE6" w:rsidRDefault="00307689" w:rsidP="00C31DE6">
            <w:pPr>
              <w:pStyle w:val="ListParagraph"/>
              <w:numPr>
                <w:ilvl w:val="0"/>
                <w:numId w:val="9"/>
              </w:numPr>
              <w:rPr>
                <w:rFonts w:ascii="Arial" w:hAnsi="Arial" w:cs="Arial"/>
                <w:sz w:val="20"/>
                <w:szCs w:val="20"/>
              </w:rPr>
            </w:pPr>
            <w:r>
              <w:rPr>
                <w:rFonts w:ascii="Arial" w:hAnsi="Arial" w:cs="Arial"/>
                <w:sz w:val="20"/>
                <w:szCs w:val="20"/>
              </w:rPr>
              <w:t>P</w:t>
            </w:r>
            <w:r w:rsidR="00406C32" w:rsidRPr="00406C32">
              <w:rPr>
                <w:rFonts w:ascii="Arial" w:hAnsi="Arial" w:cs="Arial"/>
                <w:sz w:val="20"/>
                <w:szCs w:val="20"/>
              </w:rPr>
              <w:t>roposed to implement a green roof with 10-15cm subbase which is underlain with a blue</w:t>
            </w:r>
            <w:r w:rsidR="00C31DE6">
              <w:rPr>
                <w:rFonts w:ascii="Arial" w:hAnsi="Arial" w:cs="Arial"/>
                <w:sz w:val="20"/>
                <w:szCs w:val="20"/>
              </w:rPr>
              <w:t xml:space="preserve"> </w:t>
            </w:r>
            <w:r w:rsidR="00406C32" w:rsidRPr="00C31DE6">
              <w:rPr>
                <w:rFonts w:ascii="Arial" w:hAnsi="Arial" w:cs="Arial"/>
                <w:sz w:val="20"/>
                <w:szCs w:val="20"/>
              </w:rPr>
              <w:t>roof.</w:t>
            </w:r>
          </w:p>
          <w:p w:rsidR="002A250A" w:rsidRPr="00925128" w:rsidRDefault="002A250A" w:rsidP="00F61988">
            <w:pPr>
              <w:rPr>
                <w:rFonts w:ascii="Arial" w:hAnsi="Arial" w:cs="Arial"/>
                <w:sz w:val="20"/>
                <w:szCs w:val="20"/>
              </w:rPr>
            </w:pPr>
          </w:p>
        </w:tc>
        <w:tc>
          <w:tcPr>
            <w:tcW w:w="3006" w:type="dxa"/>
          </w:tcPr>
          <w:p w:rsidR="00307689" w:rsidRDefault="00127F81" w:rsidP="00AF529C">
            <w:pPr>
              <w:rPr>
                <w:rFonts w:ascii="Arial" w:hAnsi="Arial" w:cs="Arial"/>
                <w:sz w:val="20"/>
                <w:szCs w:val="20"/>
              </w:rPr>
            </w:pPr>
            <w:r>
              <w:rPr>
                <w:rFonts w:ascii="Arial" w:hAnsi="Arial" w:cs="Arial"/>
                <w:sz w:val="20"/>
                <w:szCs w:val="20"/>
              </w:rPr>
              <w:t xml:space="preserve">The road was previously flooded (2002) and therefore is considered locally designated as an area of higher flood risk.  </w:t>
            </w:r>
          </w:p>
          <w:p w:rsidR="00127F81" w:rsidRDefault="00127F81" w:rsidP="00AF529C">
            <w:pPr>
              <w:rPr>
                <w:rFonts w:ascii="Arial" w:hAnsi="Arial" w:cs="Arial"/>
                <w:sz w:val="20"/>
                <w:szCs w:val="20"/>
              </w:rPr>
            </w:pPr>
            <w:r>
              <w:rPr>
                <w:rFonts w:ascii="Arial" w:hAnsi="Arial" w:cs="Arial"/>
                <w:sz w:val="20"/>
                <w:szCs w:val="20"/>
              </w:rPr>
              <w:t xml:space="preserve">In addition the site is in close proximity </w:t>
            </w:r>
            <w:r w:rsidRPr="00127F81">
              <w:rPr>
                <w:rFonts w:ascii="Arial" w:hAnsi="Arial" w:cs="Arial"/>
                <w:sz w:val="20"/>
                <w:szCs w:val="20"/>
              </w:rPr>
              <w:t>to the original route of a tributary of the River Tyburn and overland flow may still be following the original course.</w:t>
            </w:r>
          </w:p>
          <w:p w:rsidR="00127F81" w:rsidRDefault="00127F81" w:rsidP="00AF529C">
            <w:pPr>
              <w:rPr>
                <w:rFonts w:ascii="Arial" w:hAnsi="Arial" w:cs="Arial"/>
                <w:sz w:val="20"/>
                <w:szCs w:val="20"/>
              </w:rPr>
            </w:pPr>
          </w:p>
          <w:p w:rsidR="00127F81" w:rsidRDefault="003E1836" w:rsidP="00AF529C">
            <w:pPr>
              <w:rPr>
                <w:rFonts w:ascii="Arial" w:hAnsi="Arial" w:cs="Arial"/>
                <w:sz w:val="20"/>
                <w:szCs w:val="20"/>
              </w:rPr>
            </w:pPr>
            <w:r>
              <w:rPr>
                <w:rFonts w:ascii="Arial" w:hAnsi="Arial" w:cs="Arial"/>
                <w:sz w:val="20"/>
                <w:szCs w:val="20"/>
              </w:rPr>
              <w:t>See “No habitable basements”</w:t>
            </w:r>
            <w:r w:rsidR="00E04F18">
              <w:rPr>
                <w:rFonts w:ascii="Arial" w:hAnsi="Arial" w:cs="Arial"/>
                <w:sz w:val="20"/>
                <w:szCs w:val="20"/>
              </w:rPr>
              <w:t xml:space="preserve"> below</w:t>
            </w:r>
          </w:p>
          <w:p w:rsidR="00127F81" w:rsidRDefault="00127F81" w:rsidP="00AF529C">
            <w:pPr>
              <w:rPr>
                <w:rFonts w:ascii="Arial" w:hAnsi="Arial" w:cs="Arial"/>
                <w:sz w:val="20"/>
                <w:szCs w:val="20"/>
              </w:rPr>
            </w:pPr>
          </w:p>
          <w:p w:rsidR="00307689" w:rsidRPr="00925128" w:rsidRDefault="00307689" w:rsidP="004369ED">
            <w:pPr>
              <w:rPr>
                <w:rFonts w:ascii="Arial" w:hAnsi="Arial" w:cs="Arial"/>
                <w:sz w:val="20"/>
                <w:szCs w:val="20"/>
              </w:rPr>
            </w:pPr>
          </w:p>
        </w:tc>
      </w:tr>
      <w:tr w:rsidR="002A250A" w:rsidTr="00AF529C">
        <w:tc>
          <w:tcPr>
            <w:tcW w:w="2122" w:type="dxa"/>
          </w:tcPr>
          <w:p w:rsidR="002A250A" w:rsidRPr="00925128" w:rsidRDefault="002A250A" w:rsidP="00AF529C">
            <w:pPr>
              <w:rPr>
                <w:rFonts w:ascii="Arial" w:hAnsi="Arial" w:cs="Arial"/>
                <w:sz w:val="20"/>
                <w:szCs w:val="20"/>
              </w:rPr>
            </w:pPr>
            <w:r w:rsidRPr="00925128">
              <w:rPr>
                <w:rFonts w:ascii="Arial" w:hAnsi="Arial" w:cs="Arial"/>
                <w:sz w:val="20"/>
                <w:szCs w:val="20"/>
              </w:rPr>
              <w:t xml:space="preserve">No </w:t>
            </w:r>
            <w:r>
              <w:rPr>
                <w:rFonts w:ascii="Arial" w:hAnsi="Arial" w:cs="Arial"/>
                <w:sz w:val="20"/>
                <w:szCs w:val="20"/>
              </w:rPr>
              <w:t>e</w:t>
            </w:r>
            <w:r w:rsidRPr="00925128">
              <w:rPr>
                <w:rFonts w:ascii="Arial" w:hAnsi="Arial" w:cs="Arial"/>
                <w:sz w:val="20"/>
                <w:szCs w:val="20"/>
              </w:rPr>
              <w:t>x</w:t>
            </w:r>
            <w:r>
              <w:rPr>
                <w:rFonts w:ascii="Arial" w:hAnsi="Arial" w:cs="Arial"/>
                <w:sz w:val="20"/>
                <w:szCs w:val="20"/>
              </w:rPr>
              <w:t>tra pressure on sewers</w:t>
            </w:r>
          </w:p>
        </w:tc>
        <w:tc>
          <w:tcPr>
            <w:tcW w:w="3888" w:type="dxa"/>
          </w:tcPr>
          <w:p w:rsidR="002A250A" w:rsidRDefault="00BB126D" w:rsidP="00BB126D">
            <w:pPr>
              <w:rPr>
                <w:rFonts w:ascii="Arial" w:hAnsi="Arial" w:cs="Arial"/>
                <w:sz w:val="20"/>
                <w:szCs w:val="20"/>
              </w:rPr>
            </w:pPr>
            <w:r>
              <w:rPr>
                <w:rFonts w:ascii="Arial" w:hAnsi="Arial" w:cs="Arial"/>
                <w:sz w:val="20"/>
                <w:szCs w:val="20"/>
              </w:rPr>
              <w:t xml:space="preserve">5.30 </w:t>
            </w:r>
            <w:r w:rsidRPr="00BB126D">
              <w:rPr>
                <w:rFonts w:ascii="Arial" w:hAnsi="Arial" w:cs="Arial"/>
                <w:sz w:val="20"/>
                <w:szCs w:val="20"/>
              </w:rPr>
              <w:t>Flows off the site without any mitigation will incr</w:t>
            </w:r>
            <w:r>
              <w:rPr>
                <w:rFonts w:ascii="Arial" w:hAnsi="Arial" w:cs="Arial"/>
                <w:sz w:val="20"/>
                <w:szCs w:val="20"/>
              </w:rPr>
              <w:t xml:space="preserve">ease post development (ignoring </w:t>
            </w:r>
            <w:r w:rsidRPr="00BB126D">
              <w:rPr>
                <w:rFonts w:ascii="Arial" w:hAnsi="Arial" w:cs="Arial"/>
                <w:sz w:val="20"/>
                <w:szCs w:val="20"/>
              </w:rPr>
              <w:t>climate change), as there is an increase in hard standing on the s</w:t>
            </w:r>
            <w:r>
              <w:rPr>
                <w:rFonts w:ascii="Arial" w:hAnsi="Arial" w:cs="Arial"/>
                <w:sz w:val="20"/>
                <w:szCs w:val="20"/>
              </w:rPr>
              <w:t xml:space="preserve">ite. The site will be </w:t>
            </w:r>
            <w:r w:rsidRPr="00BB126D">
              <w:rPr>
                <w:rFonts w:ascii="Arial" w:hAnsi="Arial" w:cs="Arial"/>
                <w:sz w:val="20"/>
                <w:szCs w:val="20"/>
              </w:rPr>
              <w:t>implementing mitigation measures to reduce surfac</w:t>
            </w:r>
            <w:r>
              <w:rPr>
                <w:rFonts w:ascii="Arial" w:hAnsi="Arial" w:cs="Arial"/>
                <w:sz w:val="20"/>
                <w:szCs w:val="20"/>
              </w:rPr>
              <w:t xml:space="preserve">e water flows off the site post </w:t>
            </w:r>
            <w:r w:rsidRPr="00BB126D">
              <w:rPr>
                <w:rFonts w:ascii="Arial" w:hAnsi="Arial" w:cs="Arial"/>
                <w:sz w:val="20"/>
                <w:szCs w:val="20"/>
              </w:rPr>
              <w:t>development. These mitigation measures should not c</w:t>
            </w:r>
            <w:r>
              <w:rPr>
                <w:rFonts w:ascii="Arial" w:hAnsi="Arial" w:cs="Arial"/>
                <w:sz w:val="20"/>
                <w:szCs w:val="20"/>
              </w:rPr>
              <w:t xml:space="preserve">hange the risk of flooding from </w:t>
            </w:r>
            <w:r w:rsidRPr="00BB126D">
              <w:rPr>
                <w:rFonts w:ascii="Arial" w:hAnsi="Arial" w:cs="Arial"/>
                <w:sz w:val="20"/>
                <w:szCs w:val="20"/>
              </w:rPr>
              <w:t>sewers.</w:t>
            </w:r>
          </w:p>
          <w:p w:rsidR="00BB126D" w:rsidRPr="00925128" w:rsidRDefault="00BB126D" w:rsidP="00BB126D">
            <w:pPr>
              <w:rPr>
                <w:rFonts w:ascii="Arial" w:hAnsi="Arial" w:cs="Arial"/>
                <w:sz w:val="20"/>
                <w:szCs w:val="20"/>
              </w:rPr>
            </w:pPr>
          </w:p>
        </w:tc>
        <w:tc>
          <w:tcPr>
            <w:tcW w:w="3006" w:type="dxa"/>
          </w:tcPr>
          <w:p w:rsidR="002A250A" w:rsidRPr="00925128" w:rsidRDefault="00F234E1" w:rsidP="00AF529C">
            <w:pPr>
              <w:rPr>
                <w:rFonts w:ascii="Arial" w:hAnsi="Arial" w:cs="Arial"/>
                <w:sz w:val="20"/>
                <w:szCs w:val="20"/>
              </w:rPr>
            </w:pPr>
            <w:r>
              <w:rPr>
                <w:rFonts w:ascii="Arial" w:hAnsi="Arial" w:cs="Arial"/>
                <w:sz w:val="20"/>
                <w:szCs w:val="20"/>
              </w:rPr>
              <w:t>Further details required.</w:t>
            </w:r>
          </w:p>
        </w:tc>
      </w:tr>
      <w:tr w:rsidR="002A250A" w:rsidTr="00AF529C">
        <w:tc>
          <w:tcPr>
            <w:tcW w:w="2122" w:type="dxa"/>
          </w:tcPr>
          <w:p w:rsidR="002A250A" w:rsidRPr="00925128" w:rsidRDefault="002A250A" w:rsidP="00AF529C">
            <w:pPr>
              <w:rPr>
                <w:rFonts w:ascii="Arial" w:hAnsi="Arial" w:cs="Arial"/>
                <w:sz w:val="20"/>
                <w:szCs w:val="20"/>
              </w:rPr>
            </w:pPr>
            <w:r>
              <w:rPr>
                <w:rFonts w:ascii="Arial" w:hAnsi="Arial" w:cs="Arial"/>
                <w:sz w:val="20"/>
                <w:szCs w:val="20"/>
              </w:rPr>
              <w:t>SuDS and drainage hierarchy</w:t>
            </w:r>
          </w:p>
        </w:tc>
        <w:tc>
          <w:tcPr>
            <w:tcW w:w="3888" w:type="dxa"/>
          </w:tcPr>
          <w:p w:rsidR="00BB126D" w:rsidRPr="00925128" w:rsidRDefault="002A250A" w:rsidP="00BB126D">
            <w:pPr>
              <w:rPr>
                <w:rFonts w:ascii="Arial" w:hAnsi="Arial" w:cs="Arial"/>
                <w:sz w:val="20"/>
                <w:szCs w:val="20"/>
              </w:rPr>
            </w:pPr>
            <w:r>
              <w:rPr>
                <w:rFonts w:ascii="Arial" w:hAnsi="Arial" w:cs="Arial"/>
                <w:sz w:val="20"/>
                <w:szCs w:val="20"/>
              </w:rPr>
              <w:t xml:space="preserve">Green </w:t>
            </w:r>
            <w:r w:rsidR="00BB126D">
              <w:rPr>
                <w:rFonts w:ascii="Arial" w:hAnsi="Arial" w:cs="Arial"/>
                <w:sz w:val="20"/>
                <w:szCs w:val="20"/>
              </w:rPr>
              <w:t xml:space="preserve">–blue roof proposed </w:t>
            </w:r>
            <w:r>
              <w:rPr>
                <w:rFonts w:ascii="Arial" w:hAnsi="Arial" w:cs="Arial"/>
                <w:sz w:val="20"/>
                <w:szCs w:val="20"/>
              </w:rPr>
              <w:t>roof</w:t>
            </w:r>
            <w:r w:rsidR="00BB126D">
              <w:t xml:space="preserve"> </w:t>
            </w:r>
            <w:r w:rsidR="00BB126D">
              <w:rPr>
                <w:rFonts w:ascii="Arial" w:hAnsi="Arial" w:cs="Arial"/>
                <w:sz w:val="20"/>
                <w:szCs w:val="20"/>
              </w:rPr>
              <w:t xml:space="preserve">to ensure a 50% decrease in </w:t>
            </w:r>
            <w:r w:rsidR="00BB126D" w:rsidRPr="00BB126D">
              <w:rPr>
                <w:rFonts w:ascii="Arial" w:hAnsi="Arial" w:cs="Arial"/>
                <w:sz w:val="20"/>
                <w:szCs w:val="20"/>
              </w:rPr>
              <w:t>surface water runoff rates.</w:t>
            </w:r>
            <w:r>
              <w:rPr>
                <w:rFonts w:ascii="Arial" w:hAnsi="Arial" w:cs="Arial"/>
                <w:sz w:val="20"/>
                <w:szCs w:val="20"/>
              </w:rPr>
              <w:t xml:space="preserve"> </w:t>
            </w:r>
          </w:p>
          <w:p w:rsidR="002A250A" w:rsidRPr="00925128" w:rsidRDefault="002A250A" w:rsidP="00AF529C">
            <w:pPr>
              <w:rPr>
                <w:rFonts w:ascii="Arial" w:hAnsi="Arial" w:cs="Arial"/>
                <w:sz w:val="20"/>
                <w:szCs w:val="20"/>
              </w:rPr>
            </w:pPr>
          </w:p>
        </w:tc>
        <w:tc>
          <w:tcPr>
            <w:tcW w:w="3006" w:type="dxa"/>
          </w:tcPr>
          <w:p w:rsidR="002A250A" w:rsidRPr="00925128" w:rsidRDefault="002A250A" w:rsidP="00BB126D">
            <w:pPr>
              <w:rPr>
                <w:rFonts w:ascii="Arial" w:hAnsi="Arial" w:cs="Arial"/>
                <w:sz w:val="20"/>
                <w:szCs w:val="20"/>
              </w:rPr>
            </w:pPr>
            <w:r>
              <w:rPr>
                <w:rFonts w:ascii="Arial" w:hAnsi="Arial" w:cs="Arial"/>
                <w:sz w:val="20"/>
                <w:szCs w:val="20"/>
              </w:rPr>
              <w:t>Blue-green</w:t>
            </w:r>
            <w:r w:rsidR="00BB126D">
              <w:rPr>
                <w:rFonts w:ascii="Arial" w:hAnsi="Arial" w:cs="Arial"/>
                <w:sz w:val="20"/>
                <w:szCs w:val="20"/>
              </w:rPr>
              <w:t xml:space="preserve"> combination roof is encouraged.  Details required.</w:t>
            </w:r>
          </w:p>
        </w:tc>
      </w:tr>
      <w:tr w:rsidR="002A250A" w:rsidTr="00AF529C">
        <w:tc>
          <w:tcPr>
            <w:tcW w:w="2122" w:type="dxa"/>
          </w:tcPr>
          <w:p w:rsidR="002A250A" w:rsidRPr="00925128" w:rsidRDefault="002A250A" w:rsidP="00AF529C">
            <w:pPr>
              <w:rPr>
                <w:rFonts w:ascii="Arial" w:hAnsi="Arial" w:cs="Arial"/>
                <w:sz w:val="20"/>
                <w:szCs w:val="20"/>
              </w:rPr>
            </w:pPr>
            <w:r>
              <w:rPr>
                <w:rFonts w:ascii="Arial" w:hAnsi="Arial" w:cs="Arial"/>
                <w:sz w:val="20"/>
                <w:szCs w:val="20"/>
              </w:rPr>
              <w:t>Drainage report</w:t>
            </w:r>
          </w:p>
        </w:tc>
        <w:tc>
          <w:tcPr>
            <w:tcW w:w="3888" w:type="dxa"/>
          </w:tcPr>
          <w:p w:rsidR="002A250A" w:rsidRDefault="00BB126D" w:rsidP="00BB126D">
            <w:pPr>
              <w:rPr>
                <w:rFonts w:ascii="Arial" w:hAnsi="Arial" w:cs="Arial"/>
                <w:sz w:val="20"/>
                <w:szCs w:val="20"/>
              </w:rPr>
            </w:pPr>
            <w:r>
              <w:rPr>
                <w:rFonts w:ascii="Arial" w:hAnsi="Arial" w:cs="Arial"/>
                <w:sz w:val="20"/>
                <w:szCs w:val="20"/>
              </w:rPr>
              <w:t xml:space="preserve">5.65 </w:t>
            </w:r>
            <w:r w:rsidRPr="00BB126D">
              <w:rPr>
                <w:rFonts w:ascii="Arial" w:hAnsi="Arial" w:cs="Arial"/>
                <w:sz w:val="20"/>
                <w:szCs w:val="20"/>
              </w:rPr>
              <w:t>The detailed surface water system should be designed in accorda</w:t>
            </w:r>
            <w:r>
              <w:rPr>
                <w:rFonts w:ascii="Arial" w:hAnsi="Arial" w:cs="Arial"/>
                <w:sz w:val="20"/>
                <w:szCs w:val="20"/>
              </w:rPr>
              <w:t xml:space="preserve">nce with local </w:t>
            </w:r>
            <w:r w:rsidRPr="00BB126D">
              <w:rPr>
                <w:rFonts w:ascii="Arial" w:hAnsi="Arial" w:cs="Arial"/>
                <w:sz w:val="20"/>
                <w:szCs w:val="20"/>
              </w:rPr>
              <w:t>planning policy and will be designed such that runoff</w:t>
            </w:r>
            <w:r>
              <w:rPr>
                <w:rFonts w:ascii="Arial" w:hAnsi="Arial" w:cs="Arial"/>
                <w:sz w:val="20"/>
                <w:szCs w:val="20"/>
              </w:rPr>
              <w:t xml:space="preserve"> from the 1% AEP rainfall event </w:t>
            </w:r>
            <w:r w:rsidRPr="00BB126D">
              <w:rPr>
                <w:rFonts w:ascii="Arial" w:hAnsi="Arial" w:cs="Arial"/>
                <w:sz w:val="20"/>
                <w:szCs w:val="20"/>
              </w:rPr>
              <w:t>plus climate change allowance is fully retained on</w:t>
            </w:r>
            <w:r>
              <w:rPr>
                <w:rFonts w:ascii="Arial" w:hAnsi="Arial" w:cs="Arial"/>
                <w:sz w:val="20"/>
                <w:szCs w:val="20"/>
              </w:rPr>
              <w:t xml:space="preserve"> the site and discharged at the </w:t>
            </w:r>
            <w:r w:rsidRPr="00BB126D">
              <w:rPr>
                <w:rFonts w:ascii="Arial" w:hAnsi="Arial" w:cs="Arial"/>
                <w:sz w:val="20"/>
                <w:szCs w:val="20"/>
              </w:rPr>
              <w:t>controlled rate. Full drainage design will be undertaken at the detailed design stage</w:t>
            </w:r>
            <w:r>
              <w:rPr>
                <w:rFonts w:ascii="Arial" w:hAnsi="Arial" w:cs="Arial"/>
                <w:sz w:val="20"/>
                <w:szCs w:val="20"/>
              </w:rPr>
              <w:t xml:space="preserve"> </w:t>
            </w:r>
          </w:p>
          <w:p w:rsidR="002A250A" w:rsidRDefault="002A250A" w:rsidP="00BB126D">
            <w:pPr>
              <w:rPr>
                <w:rFonts w:ascii="Arial" w:hAnsi="Arial" w:cs="Arial"/>
                <w:sz w:val="20"/>
                <w:szCs w:val="20"/>
              </w:rPr>
            </w:pPr>
          </w:p>
          <w:p w:rsidR="004369ED" w:rsidRDefault="004369ED" w:rsidP="00BB126D">
            <w:pPr>
              <w:rPr>
                <w:rFonts w:ascii="Arial" w:hAnsi="Arial" w:cs="Arial"/>
                <w:sz w:val="20"/>
                <w:szCs w:val="20"/>
              </w:rPr>
            </w:pPr>
            <w:r>
              <w:rPr>
                <w:noProof/>
                <w:lang w:eastAsia="en-GB"/>
              </w:rPr>
              <w:drawing>
                <wp:inline distT="0" distB="0" distL="0" distR="0" wp14:anchorId="04CB20E1" wp14:editId="7D15FD06">
                  <wp:extent cx="1771650" cy="1362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71650" cy="1362075"/>
                          </a:xfrm>
                          <a:prstGeom prst="rect">
                            <a:avLst/>
                          </a:prstGeom>
                        </pic:spPr>
                      </pic:pic>
                    </a:graphicData>
                  </a:graphic>
                </wp:inline>
              </w:drawing>
            </w:r>
          </w:p>
          <w:p w:rsidR="004369ED" w:rsidRPr="00925128" w:rsidRDefault="004369ED" w:rsidP="00BB126D">
            <w:pPr>
              <w:rPr>
                <w:rFonts w:ascii="Arial" w:hAnsi="Arial" w:cs="Arial"/>
                <w:sz w:val="20"/>
                <w:szCs w:val="20"/>
              </w:rPr>
            </w:pPr>
          </w:p>
        </w:tc>
        <w:tc>
          <w:tcPr>
            <w:tcW w:w="3006" w:type="dxa"/>
          </w:tcPr>
          <w:p w:rsidR="002A250A" w:rsidRPr="00925128" w:rsidRDefault="004369ED" w:rsidP="004369ED">
            <w:pPr>
              <w:rPr>
                <w:rFonts w:ascii="Arial" w:hAnsi="Arial" w:cs="Arial"/>
                <w:sz w:val="20"/>
                <w:szCs w:val="20"/>
              </w:rPr>
            </w:pPr>
            <w:r w:rsidRPr="00F234E1">
              <w:rPr>
                <w:rFonts w:ascii="Arial" w:hAnsi="Arial" w:cs="Arial"/>
                <w:sz w:val="20"/>
                <w:szCs w:val="20"/>
              </w:rPr>
              <w:t xml:space="preserve">Drainage should include climate change +40% and include a </w:t>
            </w:r>
            <w:r w:rsidR="002A250A" w:rsidRPr="00F234E1">
              <w:rPr>
                <w:rFonts w:ascii="Arial" w:hAnsi="Arial" w:cs="Arial"/>
                <w:sz w:val="20"/>
                <w:szCs w:val="20"/>
              </w:rPr>
              <w:t>maintenance plan.</w:t>
            </w:r>
            <w:r w:rsidR="002A250A">
              <w:rPr>
                <w:rFonts w:ascii="Arial" w:hAnsi="Arial" w:cs="Arial"/>
                <w:sz w:val="20"/>
                <w:szCs w:val="20"/>
              </w:rPr>
              <w:t xml:space="preserve"> </w:t>
            </w:r>
          </w:p>
        </w:tc>
      </w:tr>
      <w:tr w:rsidR="002A250A" w:rsidTr="00AF529C">
        <w:tc>
          <w:tcPr>
            <w:tcW w:w="2122" w:type="dxa"/>
          </w:tcPr>
          <w:p w:rsidR="002A250A" w:rsidRDefault="002A250A" w:rsidP="00AF529C">
            <w:pPr>
              <w:rPr>
                <w:rFonts w:ascii="Arial" w:hAnsi="Arial" w:cs="Arial"/>
                <w:sz w:val="20"/>
                <w:szCs w:val="20"/>
              </w:rPr>
            </w:pPr>
            <w:r>
              <w:rPr>
                <w:rFonts w:ascii="Arial" w:hAnsi="Arial" w:cs="Arial"/>
                <w:sz w:val="20"/>
                <w:szCs w:val="20"/>
              </w:rPr>
              <w:t>No habitable basements</w:t>
            </w:r>
          </w:p>
        </w:tc>
        <w:tc>
          <w:tcPr>
            <w:tcW w:w="3888" w:type="dxa"/>
          </w:tcPr>
          <w:p w:rsidR="002A250A" w:rsidRPr="00925128" w:rsidRDefault="00BB126D" w:rsidP="00AF529C">
            <w:pPr>
              <w:rPr>
                <w:rFonts w:ascii="Arial" w:hAnsi="Arial" w:cs="Arial"/>
                <w:sz w:val="20"/>
                <w:szCs w:val="20"/>
              </w:rPr>
            </w:pPr>
            <w:r>
              <w:rPr>
                <w:rFonts w:ascii="Arial" w:hAnsi="Arial" w:cs="Arial"/>
                <w:sz w:val="20"/>
                <w:szCs w:val="20"/>
              </w:rPr>
              <w:t>Basement includes habitable rooms and sensitive uses such as plant rooms</w:t>
            </w:r>
            <w:r w:rsidR="004369ED">
              <w:rPr>
                <w:rFonts w:ascii="Arial" w:hAnsi="Arial" w:cs="Arial"/>
                <w:sz w:val="20"/>
                <w:szCs w:val="20"/>
              </w:rPr>
              <w:t>.</w:t>
            </w:r>
          </w:p>
        </w:tc>
        <w:tc>
          <w:tcPr>
            <w:tcW w:w="3006" w:type="dxa"/>
          </w:tcPr>
          <w:p w:rsidR="004369ED" w:rsidRDefault="004369ED" w:rsidP="004369ED">
            <w:pPr>
              <w:rPr>
                <w:rFonts w:ascii="Arial" w:hAnsi="Arial" w:cs="Arial"/>
                <w:sz w:val="20"/>
                <w:szCs w:val="20"/>
              </w:rPr>
            </w:pPr>
            <w:r>
              <w:rPr>
                <w:rFonts w:ascii="Arial" w:hAnsi="Arial" w:cs="Arial"/>
                <w:sz w:val="20"/>
                <w:szCs w:val="20"/>
              </w:rPr>
              <w:t>The Local Plan is clear in policy A5 that the Council will not permit basement schemes which include habitable room and other sensitive uses in areas prone to flooding.</w:t>
            </w:r>
          </w:p>
          <w:p w:rsidR="004369ED" w:rsidRDefault="004369ED" w:rsidP="004369ED">
            <w:pPr>
              <w:rPr>
                <w:rFonts w:ascii="Arial" w:hAnsi="Arial" w:cs="Arial"/>
                <w:sz w:val="20"/>
                <w:szCs w:val="20"/>
              </w:rPr>
            </w:pPr>
          </w:p>
          <w:p w:rsidR="004369ED" w:rsidRDefault="004369ED" w:rsidP="004369ED">
            <w:pPr>
              <w:rPr>
                <w:rFonts w:ascii="Arial" w:hAnsi="Arial" w:cs="Arial"/>
                <w:sz w:val="20"/>
                <w:szCs w:val="20"/>
              </w:rPr>
            </w:pPr>
            <w:r w:rsidRPr="004369ED">
              <w:rPr>
                <w:rFonts w:ascii="Arial" w:hAnsi="Arial" w:cs="Arial"/>
                <w:sz w:val="20"/>
                <w:szCs w:val="20"/>
              </w:rPr>
              <w:t>The plans propose a number of habitable rooms and also plant rooms which could create risks to health and safety if flooded</w:t>
            </w:r>
            <w:r>
              <w:rPr>
                <w:rFonts w:ascii="Arial" w:hAnsi="Arial" w:cs="Arial"/>
                <w:sz w:val="20"/>
                <w:szCs w:val="20"/>
              </w:rPr>
              <w:t>.</w:t>
            </w:r>
          </w:p>
          <w:p w:rsidR="004369ED" w:rsidRDefault="004369ED" w:rsidP="004369ED">
            <w:pPr>
              <w:rPr>
                <w:rFonts w:ascii="Arial" w:hAnsi="Arial" w:cs="Arial"/>
                <w:sz w:val="20"/>
                <w:szCs w:val="20"/>
              </w:rPr>
            </w:pPr>
          </w:p>
          <w:p w:rsidR="004369ED" w:rsidRDefault="004369ED" w:rsidP="004369ED">
            <w:pPr>
              <w:rPr>
                <w:rFonts w:ascii="Arial" w:hAnsi="Arial" w:cs="Arial"/>
                <w:sz w:val="20"/>
                <w:szCs w:val="20"/>
              </w:rPr>
            </w:pPr>
            <w:r w:rsidRPr="004369ED">
              <w:rPr>
                <w:rFonts w:ascii="Arial" w:hAnsi="Arial" w:cs="Arial"/>
                <w:sz w:val="20"/>
                <w:szCs w:val="20"/>
              </w:rPr>
              <w:t>Proposed use of the basement should not include habitable rooms or sensitive uses.  If the proposals are not amended then refusal is recommended.</w:t>
            </w:r>
          </w:p>
          <w:p w:rsidR="004369ED" w:rsidRDefault="004369ED" w:rsidP="004369ED">
            <w:pPr>
              <w:rPr>
                <w:rFonts w:ascii="Arial" w:hAnsi="Arial" w:cs="Arial"/>
                <w:sz w:val="20"/>
                <w:szCs w:val="20"/>
              </w:rPr>
            </w:pPr>
          </w:p>
          <w:p w:rsidR="002A250A" w:rsidRPr="00925128" w:rsidRDefault="002A250A" w:rsidP="00AF529C">
            <w:pPr>
              <w:rPr>
                <w:rFonts w:ascii="Arial" w:hAnsi="Arial" w:cs="Arial"/>
                <w:sz w:val="20"/>
                <w:szCs w:val="20"/>
              </w:rPr>
            </w:pPr>
          </w:p>
        </w:tc>
      </w:tr>
    </w:tbl>
    <w:p w:rsidR="00A14416" w:rsidRDefault="00A14416" w:rsidP="00A14416">
      <w:pPr>
        <w:rPr>
          <w:rFonts w:ascii="Arial" w:hAnsi="Arial" w:cs="Arial"/>
          <w:i/>
          <w:sz w:val="24"/>
          <w:szCs w:val="24"/>
        </w:rPr>
      </w:pPr>
    </w:p>
    <w:p w:rsidR="009703F8" w:rsidRDefault="009703F8" w:rsidP="00060F19">
      <w:pPr>
        <w:rPr>
          <w:rFonts w:ascii="Arial" w:hAnsi="Arial" w:cs="Arial"/>
          <w:i/>
          <w:sz w:val="24"/>
          <w:szCs w:val="24"/>
        </w:rPr>
      </w:pPr>
    </w:p>
    <w:p w:rsidR="009703F8" w:rsidRPr="006A0FCF" w:rsidRDefault="009703F8" w:rsidP="00060F19">
      <w:pPr>
        <w:rPr>
          <w:rFonts w:ascii="Arial" w:hAnsi="Arial" w:cs="Arial"/>
          <w:i/>
          <w:sz w:val="24"/>
          <w:szCs w:val="24"/>
        </w:rPr>
      </w:pPr>
    </w:p>
    <w:p w:rsidR="003E1836" w:rsidRPr="003E1836" w:rsidRDefault="003E1836" w:rsidP="003E1836">
      <w:pPr>
        <w:rPr>
          <w:rFonts w:ascii="Arial" w:hAnsi="Arial" w:cs="Arial"/>
          <w:sz w:val="24"/>
          <w:szCs w:val="24"/>
        </w:rPr>
      </w:pPr>
      <w:r w:rsidRPr="003E1836">
        <w:rPr>
          <w:rFonts w:ascii="Arial" w:hAnsi="Arial" w:cs="Arial"/>
          <w:b/>
          <w:i/>
          <w:sz w:val="24"/>
          <w:szCs w:val="24"/>
        </w:rPr>
        <w:t>Further action for applicant:</w:t>
      </w:r>
      <w:r w:rsidRPr="003E1836">
        <w:rPr>
          <w:rFonts w:ascii="Arial" w:hAnsi="Arial" w:cs="Arial"/>
          <w:sz w:val="24"/>
          <w:szCs w:val="24"/>
        </w:rPr>
        <w:t xml:space="preserve"> Please see list above.</w:t>
      </w:r>
    </w:p>
    <w:p w:rsidR="003E1836" w:rsidRPr="003E1836" w:rsidRDefault="003E1836" w:rsidP="003E1836">
      <w:pPr>
        <w:rPr>
          <w:rFonts w:ascii="Arial" w:hAnsi="Arial" w:cs="Arial"/>
          <w:sz w:val="24"/>
          <w:szCs w:val="24"/>
        </w:rPr>
      </w:pPr>
    </w:p>
    <w:p w:rsidR="003E1836" w:rsidRPr="003E1836" w:rsidRDefault="003E1836" w:rsidP="003E1836">
      <w:pPr>
        <w:rPr>
          <w:rFonts w:ascii="Arial" w:hAnsi="Arial" w:cs="Arial"/>
          <w:sz w:val="24"/>
          <w:szCs w:val="24"/>
        </w:rPr>
      </w:pPr>
      <w:r>
        <w:rPr>
          <w:rFonts w:ascii="Arial" w:hAnsi="Arial" w:cs="Arial"/>
          <w:sz w:val="24"/>
          <w:szCs w:val="24"/>
        </w:rPr>
        <w:t xml:space="preserve">The proposal is in an area considered locally designated as an area of higher flood risk and therefore the basement should not include habitable rooms or other sensitive uses (such as plant rooms) and refusal is recommended if this is not amended.  In addition the drainage plan does not account for climate change and does not set out </w:t>
      </w:r>
      <w:r w:rsidR="00E04F18">
        <w:rPr>
          <w:rFonts w:ascii="Arial" w:hAnsi="Arial" w:cs="Arial"/>
          <w:sz w:val="24"/>
          <w:szCs w:val="24"/>
        </w:rPr>
        <w:t xml:space="preserve">the </w:t>
      </w:r>
      <w:r>
        <w:rPr>
          <w:rFonts w:ascii="Arial" w:hAnsi="Arial" w:cs="Arial"/>
          <w:sz w:val="24"/>
          <w:szCs w:val="24"/>
        </w:rPr>
        <w:t>required storage</w:t>
      </w:r>
      <w:r w:rsidR="00E04F18">
        <w:rPr>
          <w:rFonts w:ascii="Arial" w:hAnsi="Arial" w:cs="Arial"/>
          <w:sz w:val="24"/>
          <w:szCs w:val="24"/>
        </w:rPr>
        <w:t xml:space="preserve"> volumes</w:t>
      </w:r>
      <w:r>
        <w:rPr>
          <w:rFonts w:ascii="Arial" w:hAnsi="Arial" w:cs="Arial"/>
          <w:sz w:val="24"/>
          <w:szCs w:val="24"/>
        </w:rPr>
        <w:t>.</w:t>
      </w:r>
    </w:p>
    <w:p w:rsidR="003E1836" w:rsidRPr="003E1836" w:rsidRDefault="003E1836" w:rsidP="003E1836">
      <w:pPr>
        <w:rPr>
          <w:rFonts w:ascii="Arial" w:hAnsi="Arial" w:cs="Arial"/>
          <w:sz w:val="24"/>
          <w:szCs w:val="24"/>
        </w:rPr>
      </w:pPr>
    </w:p>
    <w:p w:rsidR="006A0FCF" w:rsidRDefault="003E1836" w:rsidP="003E1836">
      <w:pPr>
        <w:rPr>
          <w:rFonts w:ascii="Arial" w:hAnsi="Arial" w:cs="Arial"/>
          <w:sz w:val="24"/>
          <w:szCs w:val="24"/>
        </w:rPr>
      </w:pPr>
      <w:r w:rsidRPr="003E1836">
        <w:rPr>
          <w:rFonts w:ascii="Arial" w:hAnsi="Arial" w:cs="Arial"/>
          <w:b/>
          <w:sz w:val="24"/>
          <w:szCs w:val="24"/>
        </w:rPr>
        <w:t>Recommendation:</w:t>
      </w:r>
      <w:r w:rsidRPr="003E1836">
        <w:rPr>
          <w:rFonts w:ascii="Arial" w:hAnsi="Arial" w:cs="Arial"/>
          <w:sz w:val="24"/>
          <w:szCs w:val="24"/>
        </w:rPr>
        <w:t xml:space="preserve"> </w:t>
      </w:r>
      <w:r w:rsidRPr="00F148C8">
        <w:rPr>
          <w:rFonts w:ascii="Arial" w:hAnsi="Arial" w:cs="Arial"/>
          <w:b/>
          <w:color w:val="FF0000"/>
          <w:sz w:val="24"/>
          <w:szCs w:val="24"/>
        </w:rPr>
        <w:t>Further information required.  Refusal recommended</w:t>
      </w:r>
      <w:bookmarkStart w:id="0" w:name="_GoBack"/>
      <w:r w:rsidRPr="00F148C8">
        <w:rPr>
          <w:rFonts w:ascii="Arial" w:hAnsi="Arial" w:cs="Arial"/>
          <w:color w:val="FF0000"/>
          <w:sz w:val="24"/>
          <w:szCs w:val="24"/>
        </w:rPr>
        <w:t xml:space="preserve"> </w:t>
      </w:r>
      <w:bookmarkEnd w:id="0"/>
      <w:r>
        <w:rPr>
          <w:rFonts w:ascii="Arial" w:hAnsi="Arial" w:cs="Arial"/>
          <w:sz w:val="24"/>
          <w:szCs w:val="24"/>
        </w:rPr>
        <w:t>if the basement includes habitable rooms and sensitive uses.</w:t>
      </w:r>
    </w:p>
    <w:p w:rsidR="006A0FCF" w:rsidRPr="006A0FCF" w:rsidRDefault="006A0FCF" w:rsidP="00060F19">
      <w:pPr>
        <w:rPr>
          <w:rFonts w:ascii="Arial" w:hAnsi="Arial" w:cs="Arial"/>
          <w:sz w:val="24"/>
          <w:szCs w:val="24"/>
        </w:rPr>
      </w:pPr>
    </w:p>
    <w:sectPr w:rsidR="006A0FCF" w:rsidRPr="006A0F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BFE" w:rsidRDefault="00367BFE" w:rsidP="00367BFE">
      <w:r>
        <w:separator/>
      </w:r>
    </w:p>
  </w:endnote>
  <w:endnote w:type="continuationSeparator" w:id="0">
    <w:p w:rsidR="00367BFE" w:rsidRDefault="00367BFE" w:rsidP="0036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BFE" w:rsidRDefault="00367BFE" w:rsidP="00367BFE">
      <w:r>
        <w:separator/>
      </w:r>
    </w:p>
  </w:footnote>
  <w:footnote w:type="continuationSeparator" w:id="0">
    <w:p w:rsidR="00367BFE" w:rsidRDefault="00367BFE" w:rsidP="00367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2176"/>
    <w:multiLevelType w:val="hybridMultilevel"/>
    <w:tmpl w:val="E4B0E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4805F8"/>
    <w:multiLevelType w:val="hybridMultilevel"/>
    <w:tmpl w:val="D55CC9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85D38"/>
    <w:multiLevelType w:val="hybridMultilevel"/>
    <w:tmpl w:val="D35866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DDC1279"/>
    <w:multiLevelType w:val="hybridMultilevel"/>
    <w:tmpl w:val="EFF08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BF8F5D0">
      <w:numFmt w:val="bullet"/>
      <w:lvlText w:val="•"/>
      <w:lvlJc w:val="left"/>
      <w:pPr>
        <w:ind w:left="2160" w:hanging="360"/>
      </w:pPr>
      <w:rPr>
        <w:rFonts w:ascii="ArialMT" w:eastAsiaTheme="minorHAnsi" w:hAnsi="ArialMT" w:cs="ArialM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B36AC"/>
    <w:multiLevelType w:val="hybridMultilevel"/>
    <w:tmpl w:val="D35866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FED74DD"/>
    <w:multiLevelType w:val="hybridMultilevel"/>
    <w:tmpl w:val="2A5A3C28"/>
    <w:lvl w:ilvl="0" w:tplc="6914993E">
      <w:start w:val="1"/>
      <w:numFmt w:val="bullet"/>
      <w:lvlText w:val="-"/>
      <w:lvlJc w:val="left"/>
      <w:pPr>
        <w:tabs>
          <w:tab w:val="num" w:pos="720"/>
        </w:tabs>
        <w:ind w:left="720" w:hanging="360"/>
      </w:pPr>
      <w:rPr>
        <w:rFonts w:ascii="Times New Roman" w:hAnsi="Times New Roman" w:hint="default"/>
      </w:rPr>
    </w:lvl>
    <w:lvl w:ilvl="1" w:tplc="5FD834F2">
      <w:start w:val="1"/>
      <w:numFmt w:val="bullet"/>
      <w:lvlText w:val="-"/>
      <w:lvlJc w:val="left"/>
      <w:pPr>
        <w:tabs>
          <w:tab w:val="num" w:pos="1440"/>
        </w:tabs>
        <w:ind w:left="1440" w:hanging="360"/>
      </w:pPr>
      <w:rPr>
        <w:rFonts w:ascii="Times New Roman" w:hAnsi="Times New Roman" w:hint="default"/>
      </w:rPr>
    </w:lvl>
    <w:lvl w:ilvl="2" w:tplc="A0DE0396" w:tentative="1">
      <w:start w:val="1"/>
      <w:numFmt w:val="bullet"/>
      <w:lvlText w:val="-"/>
      <w:lvlJc w:val="left"/>
      <w:pPr>
        <w:tabs>
          <w:tab w:val="num" w:pos="2160"/>
        </w:tabs>
        <w:ind w:left="2160" w:hanging="360"/>
      </w:pPr>
      <w:rPr>
        <w:rFonts w:ascii="Times New Roman" w:hAnsi="Times New Roman" w:hint="default"/>
      </w:rPr>
    </w:lvl>
    <w:lvl w:ilvl="3" w:tplc="F0D48F28" w:tentative="1">
      <w:start w:val="1"/>
      <w:numFmt w:val="bullet"/>
      <w:lvlText w:val="-"/>
      <w:lvlJc w:val="left"/>
      <w:pPr>
        <w:tabs>
          <w:tab w:val="num" w:pos="2880"/>
        </w:tabs>
        <w:ind w:left="2880" w:hanging="360"/>
      </w:pPr>
      <w:rPr>
        <w:rFonts w:ascii="Times New Roman" w:hAnsi="Times New Roman" w:hint="default"/>
      </w:rPr>
    </w:lvl>
    <w:lvl w:ilvl="4" w:tplc="6F4AFDA0" w:tentative="1">
      <w:start w:val="1"/>
      <w:numFmt w:val="bullet"/>
      <w:lvlText w:val="-"/>
      <w:lvlJc w:val="left"/>
      <w:pPr>
        <w:tabs>
          <w:tab w:val="num" w:pos="3600"/>
        </w:tabs>
        <w:ind w:left="3600" w:hanging="360"/>
      </w:pPr>
      <w:rPr>
        <w:rFonts w:ascii="Times New Roman" w:hAnsi="Times New Roman" w:hint="default"/>
      </w:rPr>
    </w:lvl>
    <w:lvl w:ilvl="5" w:tplc="86B8B016" w:tentative="1">
      <w:start w:val="1"/>
      <w:numFmt w:val="bullet"/>
      <w:lvlText w:val="-"/>
      <w:lvlJc w:val="left"/>
      <w:pPr>
        <w:tabs>
          <w:tab w:val="num" w:pos="4320"/>
        </w:tabs>
        <w:ind w:left="4320" w:hanging="360"/>
      </w:pPr>
      <w:rPr>
        <w:rFonts w:ascii="Times New Roman" w:hAnsi="Times New Roman" w:hint="default"/>
      </w:rPr>
    </w:lvl>
    <w:lvl w:ilvl="6" w:tplc="BF1047EA" w:tentative="1">
      <w:start w:val="1"/>
      <w:numFmt w:val="bullet"/>
      <w:lvlText w:val="-"/>
      <w:lvlJc w:val="left"/>
      <w:pPr>
        <w:tabs>
          <w:tab w:val="num" w:pos="5040"/>
        </w:tabs>
        <w:ind w:left="5040" w:hanging="360"/>
      </w:pPr>
      <w:rPr>
        <w:rFonts w:ascii="Times New Roman" w:hAnsi="Times New Roman" w:hint="default"/>
      </w:rPr>
    </w:lvl>
    <w:lvl w:ilvl="7" w:tplc="65B66934" w:tentative="1">
      <w:start w:val="1"/>
      <w:numFmt w:val="bullet"/>
      <w:lvlText w:val="-"/>
      <w:lvlJc w:val="left"/>
      <w:pPr>
        <w:tabs>
          <w:tab w:val="num" w:pos="5760"/>
        </w:tabs>
        <w:ind w:left="5760" w:hanging="360"/>
      </w:pPr>
      <w:rPr>
        <w:rFonts w:ascii="Times New Roman" w:hAnsi="Times New Roman" w:hint="default"/>
      </w:rPr>
    </w:lvl>
    <w:lvl w:ilvl="8" w:tplc="607E264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9E029A"/>
    <w:multiLevelType w:val="hybridMultilevel"/>
    <w:tmpl w:val="0ADCE3A2"/>
    <w:lvl w:ilvl="0" w:tplc="6914993E">
      <w:start w:val="1"/>
      <w:numFmt w:val="bullet"/>
      <w:lvlText w:val="-"/>
      <w:lvlJc w:val="left"/>
      <w:pPr>
        <w:tabs>
          <w:tab w:val="num" w:pos="720"/>
        </w:tabs>
        <w:ind w:left="720" w:hanging="360"/>
      </w:pPr>
      <w:rPr>
        <w:rFonts w:ascii="Times New Roman" w:hAnsi="Times New Roman" w:hint="default"/>
      </w:rPr>
    </w:lvl>
    <w:lvl w:ilvl="1" w:tplc="5FD834F2">
      <w:start w:val="1"/>
      <w:numFmt w:val="bullet"/>
      <w:lvlText w:val="-"/>
      <w:lvlJc w:val="left"/>
      <w:pPr>
        <w:tabs>
          <w:tab w:val="num" w:pos="1440"/>
        </w:tabs>
        <w:ind w:left="1440" w:hanging="360"/>
      </w:pPr>
      <w:rPr>
        <w:rFonts w:ascii="Times New Roman" w:hAnsi="Times New Roman" w:hint="default"/>
      </w:rPr>
    </w:lvl>
    <w:lvl w:ilvl="2" w:tplc="A0DE0396" w:tentative="1">
      <w:start w:val="1"/>
      <w:numFmt w:val="bullet"/>
      <w:lvlText w:val="-"/>
      <w:lvlJc w:val="left"/>
      <w:pPr>
        <w:tabs>
          <w:tab w:val="num" w:pos="2160"/>
        </w:tabs>
        <w:ind w:left="2160" w:hanging="360"/>
      </w:pPr>
      <w:rPr>
        <w:rFonts w:ascii="Times New Roman" w:hAnsi="Times New Roman" w:hint="default"/>
      </w:rPr>
    </w:lvl>
    <w:lvl w:ilvl="3" w:tplc="F0D48F28" w:tentative="1">
      <w:start w:val="1"/>
      <w:numFmt w:val="bullet"/>
      <w:lvlText w:val="-"/>
      <w:lvlJc w:val="left"/>
      <w:pPr>
        <w:tabs>
          <w:tab w:val="num" w:pos="2880"/>
        </w:tabs>
        <w:ind w:left="2880" w:hanging="360"/>
      </w:pPr>
      <w:rPr>
        <w:rFonts w:ascii="Times New Roman" w:hAnsi="Times New Roman" w:hint="default"/>
      </w:rPr>
    </w:lvl>
    <w:lvl w:ilvl="4" w:tplc="6F4AFDA0" w:tentative="1">
      <w:start w:val="1"/>
      <w:numFmt w:val="bullet"/>
      <w:lvlText w:val="-"/>
      <w:lvlJc w:val="left"/>
      <w:pPr>
        <w:tabs>
          <w:tab w:val="num" w:pos="3600"/>
        </w:tabs>
        <w:ind w:left="3600" w:hanging="360"/>
      </w:pPr>
      <w:rPr>
        <w:rFonts w:ascii="Times New Roman" w:hAnsi="Times New Roman" w:hint="default"/>
      </w:rPr>
    </w:lvl>
    <w:lvl w:ilvl="5" w:tplc="86B8B016" w:tentative="1">
      <w:start w:val="1"/>
      <w:numFmt w:val="bullet"/>
      <w:lvlText w:val="-"/>
      <w:lvlJc w:val="left"/>
      <w:pPr>
        <w:tabs>
          <w:tab w:val="num" w:pos="4320"/>
        </w:tabs>
        <w:ind w:left="4320" w:hanging="360"/>
      </w:pPr>
      <w:rPr>
        <w:rFonts w:ascii="Times New Roman" w:hAnsi="Times New Roman" w:hint="default"/>
      </w:rPr>
    </w:lvl>
    <w:lvl w:ilvl="6" w:tplc="BF1047EA" w:tentative="1">
      <w:start w:val="1"/>
      <w:numFmt w:val="bullet"/>
      <w:lvlText w:val="-"/>
      <w:lvlJc w:val="left"/>
      <w:pPr>
        <w:tabs>
          <w:tab w:val="num" w:pos="5040"/>
        </w:tabs>
        <w:ind w:left="5040" w:hanging="360"/>
      </w:pPr>
      <w:rPr>
        <w:rFonts w:ascii="Times New Roman" w:hAnsi="Times New Roman" w:hint="default"/>
      </w:rPr>
    </w:lvl>
    <w:lvl w:ilvl="7" w:tplc="65B66934" w:tentative="1">
      <w:start w:val="1"/>
      <w:numFmt w:val="bullet"/>
      <w:lvlText w:val="-"/>
      <w:lvlJc w:val="left"/>
      <w:pPr>
        <w:tabs>
          <w:tab w:val="num" w:pos="5760"/>
        </w:tabs>
        <w:ind w:left="5760" w:hanging="360"/>
      </w:pPr>
      <w:rPr>
        <w:rFonts w:ascii="Times New Roman" w:hAnsi="Times New Roman" w:hint="default"/>
      </w:rPr>
    </w:lvl>
    <w:lvl w:ilvl="8" w:tplc="607E264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44E1DFA"/>
    <w:multiLevelType w:val="hybridMultilevel"/>
    <w:tmpl w:val="D35866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6"/>
  </w:num>
  <w:num w:numId="6">
    <w:abstractNumId w:val="5"/>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19"/>
    <w:rsid w:val="00060F19"/>
    <w:rsid w:val="00077933"/>
    <w:rsid w:val="0010272F"/>
    <w:rsid w:val="001224C3"/>
    <w:rsid w:val="00127F81"/>
    <w:rsid w:val="001429C9"/>
    <w:rsid w:val="00190E14"/>
    <w:rsid w:val="002026A1"/>
    <w:rsid w:val="00284D26"/>
    <w:rsid w:val="002A250A"/>
    <w:rsid w:val="00307689"/>
    <w:rsid w:val="00367BFE"/>
    <w:rsid w:val="003E1836"/>
    <w:rsid w:val="004066CD"/>
    <w:rsid w:val="00406C32"/>
    <w:rsid w:val="004369ED"/>
    <w:rsid w:val="006A0FCF"/>
    <w:rsid w:val="00864C7D"/>
    <w:rsid w:val="00886739"/>
    <w:rsid w:val="008C12F9"/>
    <w:rsid w:val="008F2830"/>
    <w:rsid w:val="009703F8"/>
    <w:rsid w:val="00A14416"/>
    <w:rsid w:val="00AA3972"/>
    <w:rsid w:val="00AD0222"/>
    <w:rsid w:val="00AF084C"/>
    <w:rsid w:val="00BB126D"/>
    <w:rsid w:val="00BE6F5A"/>
    <w:rsid w:val="00C31DE6"/>
    <w:rsid w:val="00CA488C"/>
    <w:rsid w:val="00CF7C23"/>
    <w:rsid w:val="00D21B42"/>
    <w:rsid w:val="00DB484F"/>
    <w:rsid w:val="00DB6F04"/>
    <w:rsid w:val="00E04115"/>
    <w:rsid w:val="00E04F18"/>
    <w:rsid w:val="00F148C8"/>
    <w:rsid w:val="00F20EEB"/>
    <w:rsid w:val="00F234E1"/>
    <w:rsid w:val="00F61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C62BDF"/>
  <w15:docId w15:val="{AC0046EE-5F33-495E-B775-4556CECC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1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60F19"/>
    <w:rPr>
      <w:rFonts w:ascii="Arial" w:hAnsi="Arial" w:cs="Arial"/>
      <w:sz w:val="24"/>
      <w:szCs w:val="24"/>
    </w:rPr>
  </w:style>
  <w:style w:type="character" w:customStyle="1" w:styleId="PlainTextChar">
    <w:name w:val="Plain Text Char"/>
    <w:basedOn w:val="DefaultParagraphFont"/>
    <w:link w:val="PlainText"/>
    <w:uiPriority w:val="99"/>
    <w:semiHidden/>
    <w:rsid w:val="00060F19"/>
    <w:rPr>
      <w:rFonts w:ascii="Arial" w:hAnsi="Arial" w:cs="Arial"/>
      <w:sz w:val="24"/>
      <w:szCs w:val="24"/>
    </w:rPr>
  </w:style>
  <w:style w:type="paragraph" w:styleId="BalloonText">
    <w:name w:val="Balloon Text"/>
    <w:basedOn w:val="Normal"/>
    <w:link w:val="BalloonTextChar"/>
    <w:uiPriority w:val="99"/>
    <w:semiHidden/>
    <w:unhideWhenUsed/>
    <w:rsid w:val="00060F19"/>
    <w:rPr>
      <w:rFonts w:ascii="Tahoma" w:hAnsi="Tahoma" w:cs="Tahoma"/>
      <w:sz w:val="16"/>
      <w:szCs w:val="16"/>
    </w:rPr>
  </w:style>
  <w:style w:type="character" w:customStyle="1" w:styleId="BalloonTextChar">
    <w:name w:val="Balloon Text Char"/>
    <w:basedOn w:val="DefaultParagraphFont"/>
    <w:link w:val="BalloonText"/>
    <w:uiPriority w:val="99"/>
    <w:semiHidden/>
    <w:rsid w:val="00060F19"/>
    <w:rPr>
      <w:rFonts w:ascii="Tahoma" w:hAnsi="Tahoma" w:cs="Tahoma"/>
      <w:sz w:val="16"/>
      <w:szCs w:val="16"/>
    </w:rPr>
  </w:style>
  <w:style w:type="character" w:styleId="Hyperlink">
    <w:name w:val="Hyperlink"/>
    <w:basedOn w:val="DefaultParagraphFont"/>
    <w:uiPriority w:val="99"/>
    <w:unhideWhenUsed/>
    <w:rsid w:val="006A0FCF"/>
    <w:rPr>
      <w:color w:val="0000FF" w:themeColor="hyperlink"/>
      <w:u w:val="single"/>
    </w:rPr>
  </w:style>
  <w:style w:type="paragraph" w:styleId="ListParagraph">
    <w:name w:val="List Paragraph"/>
    <w:basedOn w:val="Normal"/>
    <w:uiPriority w:val="34"/>
    <w:qFormat/>
    <w:rsid w:val="006A0FCF"/>
    <w:pPr>
      <w:ind w:left="720"/>
      <w:contextualSpacing/>
    </w:pPr>
  </w:style>
  <w:style w:type="table" w:styleId="TableGrid">
    <w:name w:val="Table Grid"/>
    <w:basedOn w:val="TableNormal"/>
    <w:uiPriority w:val="59"/>
    <w:rsid w:val="00864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80767">
      <w:bodyDiv w:val="1"/>
      <w:marLeft w:val="0"/>
      <w:marRight w:val="0"/>
      <w:marTop w:val="0"/>
      <w:marBottom w:val="0"/>
      <w:divBdr>
        <w:top w:val="none" w:sz="0" w:space="0" w:color="auto"/>
        <w:left w:val="none" w:sz="0" w:space="0" w:color="auto"/>
        <w:bottom w:val="none" w:sz="0" w:space="0" w:color="auto"/>
        <w:right w:val="none" w:sz="0" w:space="0" w:color="auto"/>
      </w:divBdr>
    </w:div>
    <w:div w:id="619067104">
      <w:bodyDiv w:val="1"/>
      <w:marLeft w:val="0"/>
      <w:marRight w:val="0"/>
      <w:marTop w:val="0"/>
      <w:marBottom w:val="0"/>
      <w:divBdr>
        <w:top w:val="none" w:sz="0" w:space="0" w:color="auto"/>
        <w:left w:val="none" w:sz="0" w:space="0" w:color="auto"/>
        <w:bottom w:val="none" w:sz="0" w:space="0" w:color="auto"/>
        <w:right w:val="none" w:sz="0" w:space="0" w:color="auto"/>
      </w:divBdr>
    </w:div>
    <w:div w:id="1296446959">
      <w:bodyDiv w:val="1"/>
      <w:marLeft w:val="0"/>
      <w:marRight w:val="0"/>
      <w:marTop w:val="0"/>
      <w:marBottom w:val="0"/>
      <w:divBdr>
        <w:top w:val="none" w:sz="0" w:space="0" w:color="auto"/>
        <w:left w:val="none" w:sz="0" w:space="0" w:color="auto"/>
        <w:bottom w:val="none" w:sz="0" w:space="0" w:color="auto"/>
        <w:right w:val="none" w:sz="0" w:space="0" w:color="auto"/>
      </w:divBdr>
    </w:div>
    <w:div w:id="2145393598">
      <w:bodyDiv w:val="1"/>
      <w:marLeft w:val="0"/>
      <w:marRight w:val="0"/>
      <w:marTop w:val="0"/>
      <w:marBottom w:val="0"/>
      <w:divBdr>
        <w:top w:val="none" w:sz="0" w:space="0" w:color="auto"/>
        <w:left w:val="none" w:sz="0" w:space="0" w:color="auto"/>
        <w:bottom w:val="none" w:sz="0" w:space="0" w:color="auto"/>
        <w:right w:val="none" w:sz="0" w:space="0" w:color="auto"/>
      </w:divBdr>
      <w:divsChild>
        <w:div w:id="417286494">
          <w:marLeft w:val="1627"/>
          <w:marRight w:val="0"/>
          <w:marTop w:val="77"/>
          <w:marBottom w:val="0"/>
          <w:divBdr>
            <w:top w:val="none" w:sz="0" w:space="0" w:color="auto"/>
            <w:left w:val="none" w:sz="0" w:space="0" w:color="auto"/>
            <w:bottom w:val="none" w:sz="0" w:space="0" w:color="auto"/>
            <w:right w:val="none" w:sz="0" w:space="0" w:color="auto"/>
          </w:divBdr>
        </w:div>
        <w:div w:id="707871353">
          <w:marLeft w:val="1627"/>
          <w:marRight w:val="0"/>
          <w:marTop w:val="77"/>
          <w:marBottom w:val="0"/>
          <w:divBdr>
            <w:top w:val="none" w:sz="0" w:space="0" w:color="auto"/>
            <w:left w:val="none" w:sz="0" w:space="0" w:color="auto"/>
            <w:bottom w:val="none" w:sz="0" w:space="0" w:color="auto"/>
            <w:right w:val="none" w:sz="0" w:space="0" w:color="auto"/>
          </w:divBdr>
        </w:div>
        <w:div w:id="879514625">
          <w:marLeft w:val="1627"/>
          <w:marRight w:val="0"/>
          <w:marTop w:val="77"/>
          <w:marBottom w:val="0"/>
          <w:divBdr>
            <w:top w:val="none" w:sz="0" w:space="0" w:color="auto"/>
            <w:left w:val="none" w:sz="0" w:space="0" w:color="auto"/>
            <w:bottom w:val="none" w:sz="0" w:space="0" w:color="auto"/>
            <w:right w:val="none" w:sz="0" w:space="0" w:color="auto"/>
          </w:divBdr>
        </w:div>
        <w:div w:id="1826781436">
          <w:marLeft w:val="1627"/>
          <w:marRight w:val="0"/>
          <w:marTop w:val="77"/>
          <w:marBottom w:val="0"/>
          <w:divBdr>
            <w:top w:val="none" w:sz="0" w:space="0" w:color="auto"/>
            <w:left w:val="none" w:sz="0" w:space="0" w:color="auto"/>
            <w:bottom w:val="none" w:sz="0" w:space="0" w:color="auto"/>
            <w:right w:val="none" w:sz="0" w:space="0" w:color="auto"/>
          </w:divBdr>
        </w:div>
        <w:div w:id="1292053750">
          <w:marLeft w:val="1627"/>
          <w:marRight w:val="0"/>
          <w:marTop w:val="77"/>
          <w:marBottom w:val="0"/>
          <w:divBdr>
            <w:top w:val="none" w:sz="0" w:space="0" w:color="auto"/>
            <w:left w:val="none" w:sz="0" w:space="0" w:color="auto"/>
            <w:bottom w:val="none" w:sz="0" w:space="0" w:color="auto"/>
            <w:right w:val="none" w:sz="0" w:space="0" w:color="auto"/>
          </w:divBdr>
        </w:div>
        <w:div w:id="1962420511">
          <w:marLeft w:val="446"/>
          <w:marRight w:val="0"/>
          <w:marTop w:val="77"/>
          <w:marBottom w:val="0"/>
          <w:divBdr>
            <w:top w:val="none" w:sz="0" w:space="0" w:color="auto"/>
            <w:left w:val="none" w:sz="0" w:space="0" w:color="auto"/>
            <w:bottom w:val="none" w:sz="0" w:space="0" w:color="auto"/>
            <w:right w:val="none" w:sz="0" w:space="0" w:color="auto"/>
          </w:divBdr>
        </w:div>
        <w:div w:id="345719606">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Farthing, Amy</dc:creator>
  <cp:lastModifiedBy>Frost, Katherine</cp:lastModifiedBy>
  <cp:revision>2</cp:revision>
  <dcterms:created xsi:type="dcterms:W3CDTF">2020-08-13T13:14:00Z</dcterms:created>
  <dcterms:modified xsi:type="dcterms:W3CDTF">2020-08-13T13:14:00Z</dcterms:modified>
</cp:coreProperties>
</file>