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bookmarkStart w:id="0" w:name="_GoBack"/>
      <w:bookmarkEnd w:id="0"/>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64789A" w:rsidRPr="0064789A" w:rsidRDefault="0064789A" w:rsidP="0064789A">
            <w:pPr>
              <w:rPr>
                <w:rFonts w:cs="Arial"/>
                <w:spacing w:val="-5"/>
              </w:rPr>
            </w:pPr>
            <w:r w:rsidRPr="0064789A">
              <w:rPr>
                <w:rFonts w:cs="Arial"/>
                <w:spacing w:val="-5"/>
              </w:rPr>
              <w:t>50A Dennington Park Road</w:t>
            </w:r>
          </w:p>
          <w:p w:rsidR="0064789A" w:rsidRPr="0064789A" w:rsidRDefault="0064789A" w:rsidP="0064789A">
            <w:pPr>
              <w:rPr>
                <w:rFonts w:cs="Arial"/>
                <w:spacing w:val="-5"/>
              </w:rPr>
            </w:pPr>
            <w:r w:rsidRPr="0064789A">
              <w:rPr>
                <w:rFonts w:cs="Arial"/>
                <w:spacing w:val="-5"/>
              </w:rPr>
              <w:t>London</w:t>
            </w:r>
          </w:p>
          <w:p w:rsidR="00A1009C" w:rsidRPr="00A1009C" w:rsidRDefault="0064789A" w:rsidP="0064789A">
            <w:pPr>
              <w:rPr>
                <w:rFonts w:cs="Arial"/>
                <w:spacing w:val="-5"/>
              </w:rPr>
            </w:pPr>
            <w:r w:rsidRPr="0064789A">
              <w:rPr>
                <w:rFonts w:cs="Arial"/>
                <w:spacing w:val="-5"/>
              </w:rPr>
              <w:t>NW6 1BD</w:t>
            </w:r>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A1009C" w:rsidRPr="00A1009C" w:rsidRDefault="0064789A" w:rsidP="00A1009C">
            <w:pPr>
              <w:rPr>
                <w:rFonts w:cs="Arial"/>
                <w:spacing w:val="-5"/>
              </w:rPr>
            </w:pPr>
            <w:r w:rsidRPr="0064789A">
              <w:rPr>
                <w:rFonts w:cs="Arial"/>
                <w:spacing w:val="-5"/>
              </w:rPr>
              <w:t>Erection of a replacement dormer and one rooflight at rear, in connection with the 2nd floor attic flat (Class C3)</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64789A" w:rsidRDefault="0064789A" w:rsidP="00A1009C">
            <w:pPr>
              <w:rPr>
                <w:rFonts w:cs="Arial"/>
                <w:spacing w:val="-5"/>
              </w:rPr>
            </w:pPr>
            <w:r w:rsidRPr="0064789A">
              <w:rPr>
                <w:rFonts w:cs="Arial"/>
                <w:bCs/>
              </w:rPr>
              <w:t>2019/6120/P</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64789A" w:rsidP="00A1009C">
            <w:pPr>
              <w:rPr>
                <w:rFonts w:cs="Arial"/>
                <w:spacing w:val="-5"/>
              </w:rPr>
            </w:pPr>
            <w:r w:rsidRPr="0064789A">
              <w:rPr>
                <w:rFonts w:cs="Arial"/>
                <w:spacing w:val="-5"/>
              </w:rPr>
              <w:t>Mr Oliver Bruh</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64789A" w:rsidP="00A1009C">
            <w:pPr>
              <w:rPr>
                <w:rFonts w:cs="Arial"/>
                <w:spacing w:val="-5"/>
              </w:rPr>
            </w:pPr>
            <w:r w:rsidRPr="0064789A">
              <w:rPr>
                <w:rFonts w:cs="Arial"/>
                <w:spacing w:val="-5"/>
              </w:rPr>
              <w:t>APP/X5210/W/20/3250270</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64789A" w:rsidP="00A1009C">
            <w:pPr>
              <w:rPr>
                <w:rFonts w:cs="Arial"/>
                <w:spacing w:val="-5"/>
              </w:rPr>
            </w:pPr>
            <w:r w:rsidRPr="0064789A">
              <w:rPr>
                <w:rFonts w:cs="Arial"/>
                <w:spacing w:val="-5"/>
              </w:rPr>
              <w:t>17 July 2020</w:t>
            </w:r>
          </w:p>
        </w:tc>
      </w:tr>
    </w:tbl>
    <w:p w:rsidR="00A1009C" w:rsidRPr="00A1009C" w:rsidRDefault="00A1009C" w:rsidP="00A1009C">
      <w:pPr>
        <w:rPr>
          <w:rFonts w:cs="Arial"/>
          <w:spacing w:val="-5"/>
        </w:rPr>
      </w:pPr>
    </w:p>
    <w:p w:rsidR="00A1009C" w:rsidRPr="00A1009C" w:rsidRDefault="00A1009C" w:rsidP="00A1009C">
      <w:pPr>
        <w:rPr>
          <w:rFonts w:cs="Arial"/>
          <w:lang w:eastAsia="en-GB"/>
        </w:rPr>
      </w:pPr>
      <w:r w:rsidRPr="00A1009C">
        <w:rPr>
          <w:rFonts w:cs="Arial"/>
          <w:lang w:eastAsia="en-GB"/>
        </w:rPr>
        <w:t>I refer to the above details.  An appeal has been made to the Secretary of State again</w:t>
      </w:r>
      <w:r w:rsidR="00F37FEF">
        <w:rPr>
          <w:rFonts w:cs="Arial"/>
          <w:lang w:eastAsia="en-GB"/>
        </w:rPr>
        <w:t>st the London Borough of Camden.</w:t>
      </w:r>
      <w:r w:rsidRPr="00A1009C">
        <w:rPr>
          <w:rFonts w:cs="Arial"/>
          <w:lang w:eastAsia="en-GB"/>
        </w:rPr>
        <w:t xml:space="preserve"> </w:t>
      </w:r>
      <w:bookmarkStart w:id="1" w:name="ReasonforAppeal"/>
      <w:r w:rsidRPr="00A1009C">
        <w:rPr>
          <w:rFonts w:cs="Arial"/>
          <w:lang w:eastAsia="en-GB"/>
        </w:rPr>
        <w:t>Reason</w:t>
      </w:r>
      <w:r w:rsidR="00F37FEF">
        <w:rPr>
          <w:rFonts w:cs="Arial"/>
          <w:lang w:eastAsia="en-GB"/>
        </w:rPr>
        <w:t xml:space="preserve"> </w:t>
      </w:r>
      <w:r w:rsidRPr="00A1009C">
        <w:rPr>
          <w:rFonts w:cs="Arial"/>
          <w:lang w:eastAsia="en-GB"/>
        </w:rPr>
        <w:t>for</w:t>
      </w:r>
      <w:r w:rsidR="00F37FEF">
        <w:rPr>
          <w:rFonts w:cs="Arial"/>
          <w:lang w:eastAsia="en-GB"/>
        </w:rPr>
        <w:t xml:space="preserve"> </w:t>
      </w:r>
      <w:r w:rsidRPr="00A1009C">
        <w:rPr>
          <w:rFonts w:cs="Arial"/>
          <w:lang w:eastAsia="en-GB"/>
        </w:rPr>
        <w:t>Appeal</w:t>
      </w:r>
      <w:bookmarkEnd w:id="1"/>
      <w:r w:rsidR="00F37FEF">
        <w:rPr>
          <w:rFonts w:cs="Arial"/>
          <w:lang w:eastAsia="en-GB"/>
        </w:rPr>
        <w:t xml:space="preserve">: </w:t>
      </w:r>
      <w:r w:rsidR="00F37FEF" w:rsidRPr="00F37FEF">
        <w:rPr>
          <w:rFonts w:cs="Arial"/>
          <w:lang w:eastAsia="en-GB"/>
        </w:rPr>
        <w:t>Refused planning permission for the development.</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2" w:name="AppealLegislation"/>
      <w:r w:rsidRPr="00A1009C">
        <w:rPr>
          <w:rFonts w:cs="Arial"/>
          <w:lang w:eastAsia="en-GB"/>
        </w:rPr>
        <w:t>AppealLegislation</w:t>
      </w:r>
      <w:bookmarkEnd w:id="2"/>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lastRenderedPageBreak/>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t xml:space="preserve">Bristol </w:t>
      </w:r>
    </w:p>
    <w:p w:rsidR="00A1009C" w:rsidRPr="00A1009C" w:rsidRDefault="00A1009C" w:rsidP="00A1009C">
      <w:pPr>
        <w:rPr>
          <w:rFonts w:cs="Arial"/>
          <w:lang w:eastAsia="en-GB"/>
        </w:rPr>
      </w:pPr>
      <w:r w:rsidRPr="00A1009C">
        <w:rPr>
          <w:rFonts w:cs="Arial"/>
          <w:lang w:eastAsia="en-GB"/>
        </w:rPr>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 xml:space="preserve">All representations must be received by </w:t>
      </w:r>
      <w:r w:rsidR="0064789A">
        <w:rPr>
          <w:b/>
          <w:spacing w:val="-5"/>
          <w:szCs w:val="20"/>
        </w:rPr>
        <w:t>21</w:t>
      </w:r>
      <w:r w:rsidR="0064789A" w:rsidRPr="0064789A">
        <w:rPr>
          <w:b/>
          <w:spacing w:val="-5"/>
          <w:szCs w:val="20"/>
          <w:vertAlign w:val="superscript"/>
        </w:rPr>
        <w:t>st</w:t>
      </w:r>
      <w:r w:rsidR="0064789A">
        <w:rPr>
          <w:b/>
          <w:spacing w:val="-5"/>
          <w:szCs w:val="20"/>
        </w:rPr>
        <w:t xml:space="preserve"> August 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240F0A" w:rsidRDefault="00240F0A" w:rsidP="00240F0A">
      <w:pPr>
        <w:rPr>
          <w:color w:val="0000FF"/>
          <w:u w:val="single"/>
        </w:rPr>
      </w:pPr>
      <w:hyperlink r:id="rId14" w:history="1">
        <w:r>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1A6" w:rsidRDefault="00A711A6">
      <w:r>
        <w:separator/>
      </w:r>
    </w:p>
  </w:endnote>
  <w:endnote w:type="continuationSeparator" w:id="0">
    <w:p w:rsidR="00A711A6" w:rsidRDefault="00A7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A711A6">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1A6" w:rsidRDefault="00A711A6">
      <w:r>
        <w:separator/>
      </w:r>
    </w:p>
  </w:footnote>
  <w:footnote w:type="continuationSeparator" w:id="0">
    <w:p w:rsidR="00A711A6" w:rsidRDefault="00A7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A711A6" w:rsidP="004E01AA">
    <w:pPr>
      <w:jc w:val="right"/>
      <w:rPr>
        <w:rFonts w:cs="Arial"/>
      </w:rPr>
    </w:pPr>
    <w:r>
      <w:rPr>
        <w:noProof/>
        <w:lang w:eastAsia="en-GB"/>
      </w:rPr>
      <w:drawing>
        <wp:anchor distT="0" distB="0" distL="114300" distR="114300" simplePos="0" relativeHeight="251658752"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4E01AA" w:rsidP="004E01AA">
    <w:pPr>
      <w:pStyle w:val="Header"/>
      <w:tabs>
        <w:tab w:val="clear" w:pos="4320"/>
        <w:tab w:val="clear" w:pos="8640"/>
        <w:tab w:val="left" w:pos="1701"/>
      </w:tabs>
      <w:rPr>
        <w:rFonts w:ascii="Arial" w:hAnsi="Arial" w:cs="Arial"/>
        <w:sz w:val="24"/>
        <w:szCs w:val="24"/>
      </w:rPr>
    </w:pPr>
  </w:p>
  <w:p w:rsidR="004E01AA" w:rsidRDefault="00A711A6" w:rsidP="004E01AA">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64789A" w:rsidRPr="0064789A">
                                  <w:rPr>
                                    <w:rFonts w:cs="Arial"/>
                                    <w:bCs/>
                                    <w:sz w:val="22"/>
                                    <w:szCs w:val="22"/>
                                  </w:rPr>
                                  <w:t>2019/6120/P</w:t>
                                </w:r>
                              </w:p>
                              <w:p w:rsidR="004E01AA" w:rsidRPr="00836886" w:rsidRDefault="004E01AA" w:rsidP="006B4A0F">
                                <w:pPr>
                                  <w:rPr>
                                    <w:rFonts w:cs="Arial"/>
                                    <w:bCs/>
                                    <w:sz w:val="22"/>
                                    <w:szCs w:val="22"/>
                                  </w:rPr>
                                </w:pPr>
                                <w:r w:rsidRPr="00836886">
                                  <w:rPr>
                                    <w:rFonts w:cs="Arial"/>
                                    <w:bCs/>
                                    <w:sz w:val="22"/>
                                    <w:szCs w:val="22"/>
                                  </w:rPr>
                                  <w:t xml:space="preserve">Contact: </w:t>
                                </w:r>
                                <w:r w:rsidR="0064789A" w:rsidRPr="0064789A">
                                  <w:rPr>
                                    <w:rFonts w:cs="Arial"/>
                                    <w:bCs/>
                                    <w:sz w:val="22"/>
                                    <w:szCs w:val="22"/>
                                  </w:rPr>
                                  <w:t>Josh Lawlor</w:t>
                                </w:r>
                              </w:p>
                              <w:p w:rsidR="004E01AA" w:rsidRPr="00836886" w:rsidRDefault="004E01AA" w:rsidP="006B4A0F">
                                <w:pPr>
                                  <w:rPr>
                                    <w:b/>
                                    <w:sz w:val="22"/>
                                    <w:szCs w:val="22"/>
                                  </w:rPr>
                                </w:pPr>
                                <w:r w:rsidRPr="00836886">
                                  <w:rPr>
                                    <w:sz w:val="22"/>
                                    <w:szCs w:val="22"/>
                                  </w:rPr>
                                  <w:t xml:space="preserve">Tel: 020 7974 </w:t>
                                </w:r>
                                <w:r w:rsidR="0064789A" w:rsidRPr="0064789A">
                                  <w:rPr>
                                    <w:sz w:val="22"/>
                                    <w:szCs w:val="22"/>
                                  </w:rPr>
                                  <w:t>2337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A711A6">
                                  <w:rPr>
                                    <w:noProof/>
                                    <w:sz w:val="22"/>
                                    <w:szCs w:val="22"/>
                                  </w:rPr>
                                  <w:t>24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64789A" w:rsidRPr="0064789A">
                            <w:rPr>
                              <w:rFonts w:cs="Arial"/>
                              <w:bCs/>
                              <w:sz w:val="22"/>
                              <w:szCs w:val="22"/>
                            </w:rPr>
                            <w:t>2019/6120/P</w:t>
                          </w:r>
                        </w:p>
                        <w:p w:rsidR="004E01AA" w:rsidRPr="00836886" w:rsidRDefault="004E01AA" w:rsidP="006B4A0F">
                          <w:pPr>
                            <w:rPr>
                              <w:rFonts w:cs="Arial"/>
                              <w:bCs/>
                              <w:sz w:val="22"/>
                              <w:szCs w:val="22"/>
                            </w:rPr>
                          </w:pPr>
                          <w:r w:rsidRPr="00836886">
                            <w:rPr>
                              <w:rFonts w:cs="Arial"/>
                              <w:bCs/>
                              <w:sz w:val="22"/>
                              <w:szCs w:val="22"/>
                            </w:rPr>
                            <w:t xml:space="preserve">Contact: </w:t>
                          </w:r>
                          <w:r w:rsidR="0064789A" w:rsidRPr="0064789A">
                            <w:rPr>
                              <w:rFonts w:cs="Arial"/>
                              <w:bCs/>
                              <w:sz w:val="22"/>
                              <w:szCs w:val="22"/>
                            </w:rPr>
                            <w:t>Josh Lawlor</w:t>
                          </w:r>
                        </w:p>
                        <w:p w:rsidR="004E01AA" w:rsidRPr="00836886" w:rsidRDefault="004E01AA" w:rsidP="006B4A0F">
                          <w:pPr>
                            <w:rPr>
                              <w:b/>
                              <w:sz w:val="22"/>
                              <w:szCs w:val="22"/>
                            </w:rPr>
                          </w:pPr>
                          <w:r w:rsidRPr="00836886">
                            <w:rPr>
                              <w:sz w:val="22"/>
                              <w:szCs w:val="22"/>
                            </w:rPr>
                            <w:t xml:space="preserve">Tel: 020 7974 </w:t>
                          </w:r>
                          <w:r w:rsidR="0064789A" w:rsidRPr="0064789A">
                            <w:rPr>
                              <w:sz w:val="22"/>
                              <w:szCs w:val="22"/>
                            </w:rPr>
                            <w:t>2337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A711A6">
                            <w:rPr>
                              <w:noProof/>
                              <w:sz w:val="22"/>
                              <w:szCs w:val="22"/>
                            </w:rPr>
                            <w:t>24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A6"/>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4789A"/>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1009C"/>
    <w:rsid w:val="00A44EF0"/>
    <w:rsid w:val="00A65AB6"/>
    <w:rsid w:val="00A711A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519"/>
    <w:rsid w:val="00DD2E82"/>
    <w:rsid w:val="00DE153A"/>
    <w:rsid w:val="00DF3E82"/>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37FEF"/>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5:chartTrackingRefBased/>
  <w15:docId w15:val="{8D52F9CB-E1B3-4850-B7E2-701542EA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ppeals%20and%20Enforcement\Appeals%20Admin\Portal%20Submissions\50A%20Dennington%20Park%20Road-%203250270\Questionnaire%20Submission\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DED774DB-FC7B-419F-94FA-561EA9AC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3297</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2020-07-24T10:59:00Z</dcterms:created>
  <dcterms:modified xsi:type="dcterms:W3CDTF">2020-07-24T11:00:00Z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