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552"/>
        <w:tblW w:w="10893" w:type="dxa"/>
        <w:tblLayout w:type="fixed"/>
        <w:tblCellMar>
          <w:left w:w="54" w:type="dxa"/>
          <w:right w:w="54" w:type="dxa"/>
        </w:tblCellMar>
        <w:tblLook w:val="0000" w:firstRow="0" w:lastRow="0" w:firstColumn="0" w:lastColumn="0" w:noHBand="0" w:noVBand="0"/>
      </w:tblPr>
      <w:tblGrid>
        <w:gridCol w:w="2479"/>
        <w:gridCol w:w="490"/>
        <w:gridCol w:w="7796"/>
        <w:gridCol w:w="128"/>
      </w:tblGrid>
      <w:tr w:rsidR="00E338F6" w14:paraId="18BA5C2F" w14:textId="77777777" w:rsidTr="00A80233">
        <w:trPr>
          <w:gridAfter w:val="1"/>
          <w:wAfter w:w="128" w:type="dxa"/>
        </w:trPr>
        <w:tc>
          <w:tcPr>
            <w:tcW w:w="2969" w:type="dxa"/>
            <w:gridSpan w:val="2"/>
            <w:tcBorders>
              <w:top w:val="single" w:sz="6" w:space="0" w:color="000000"/>
              <w:left w:val="single" w:sz="6" w:space="0" w:color="000000"/>
              <w:bottom w:val="single" w:sz="6" w:space="0" w:color="000000"/>
              <w:right w:val="single" w:sz="6" w:space="0" w:color="000000"/>
            </w:tcBorders>
          </w:tcPr>
          <w:p w14:paraId="379802F0" w14:textId="7780F312" w:rsidR="00E338F6" w:rsidRDefault="00E338F6" w:rsidP="00E338F6">
            <w:pPr>
              <w:autoSpaceDE w:val="0"/>
              <w:autoSpaceDN w:val="0"/>
              <w:adjustRightInd w:val="0"/>
              <w:spacing w:after="0" w:line="240" w:lineRule="auto"/>
              <w:rPr>
                <w:rFonts w:ascii="Arial" w:hAnsi="Arial" w:cs="Arial"/>
                <w:b/>
                <w:bCs/>
                <w:sz w:val="48"/>
                <w:szCs w:val="48"/>
              </w:rPr>
            </w:pPr>
            <w:r>
              <w:rPr>
                <w:rFonts w:ascii="Arial" w:hAnsi="Arial" w:cs="Arial"/>
                <w:b/>
                <w:bCs/>
                <w:sz w:val="48"/>
                <w:szCs w:val="48"/>
              </w:rPr>
              <w:t>LDC Report</w:t>
            </w:r>
          </w:p>
        </w:tc>
        <w:tc>
          <w:tcPr>
            <w:tcW w:w="7796" w:type="dxa"/>
            <w:tcBorders>
              <w:top w:val="single" w:sz="6" w:space="0" w:color="000000"/>
              <w:left w:val="single" w:sz="6" w:space="0" w:color="000000"/>
              <w:bottom w:val="single" w:sz="6" w:space="0" w:color="000000"/>
              <w:right w:val="single" w:sz="6" w:space="0" w:color="000000"/>
            </w:tcBorders>
          </w:tcPr>
          <w:p w14:paraId="5DB58BA0" w14:textId="3B118A12" w:rsidR="00E338F6" w:rsidRPr="00A80233" w:rsidRDefault="00770B0F" w:rsidP="00A80233">
            <w:pPr>
              <w:autoSpaceDE w:val="0"/>
              <w:autoSpaceDN w:val="0"/>
              <w:adjustRightInd w:val="0"/>
              <w:spacing w:after="0" w:line="240" w:lineRule="auto"/>
              <w:rPr>
                <w:rFonts w:ascii="Arial" w:hAnsi="Arial" w:cs="Arial"/>
                <w:sz w:val="24"/>
                <w:szCs w:val="24"/>
              </w:rPr>
            </w:pPr>
            <w:r w:rsidRPr="00A80233">
              <w:rPr>
                <w:rFonts w:ascii="Arial" w:hAnsi="Arial" w:cs="Arial"/>
                <w:sz w:val="24"/>
                <w:szCs w:val="24"/>
              </w:rPr>
              <w:t>22/07</w:t>
            </w:r>
            <w:r w:rsidR="00E338F6" w:rsidRPr="00A80233">
              <w:rPr>
                <w:rFonts w:ascii="Arial" w:hAnsi="Arial" w:cs="Arial"/>
                <w:sz w:val="24"/>
                <w:szCs w:val="24"/>
              </w:rPr>
              <w:t>/2020</w:t>
            </w:r>
          </w:p>
        </w:tc>
      </w:tr>
      <w:tr w:rsidR="00E338F6" w14:paraId="6DE15B5D" w14:textId="77777777" w:rsidTr="005B4346">
        <w:tc>
          <w:tcPr>
            <w:tcW w:w="10765" w:type="dxa"/>
            <w:gridSpan w:val="3"/>
            <w:tcBorders>
              <w:top w:val="single" w:sz="6" w:space="0" w:color="000000"/>
              <w:left w:val="single" w:sz="6" w:space="0" w:color="000000"/>
              <w:bottom w:val="single" w:sz="6" w:space="0" w:color="000000"/>
              <w:right w:val="single" w:sz="6" w:space="0" w:color="000000"/>
            </w:tcBorders>
          </w:tcPr>
          <w:p w14:paraId="406F2F7F" w14:textId="77777777" w:rsidR="00E338F6" w:rsidRDefault="00E338F6" w:rsidP="00E338F6">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Officer</w:t>
            </w:r>
          </w:p>
        </w:tc>
        <w:tc>
          <w:tcPr>
            <w:tcW w:w="128" w:type="dxa"/>
            <w:tcBorders>
              <w:top w:val="single" w:sz="6" w:space="0" w:color="000000"/>
              <w:left w:val="single" w:sz="6" w:space="0" w:color="000000"/>
              <w:bottom w:val="single" w:sz="6" w:space="0" w:color="000000"/>
              <w:right w:val="single" w:sz="6" w:space="0" w:color="000000"/>
            </w:tcBorders>
          </w:tcPr>
          <w:p w14:paraId="047DEC5D" w14:textId="77777777" w:rsidR="00E338F6" w:rsidRDefault="00E338F6" w:rsidP="00E338F6">
            <w:pPr>
              <w:autoSpaceDE w:val="0"/>
              <w:autoSpaceDN w:val="0"/>
              <w:adjustRightInd w:val="0"/>
              <w:spacing w:after="0" w:line="240" w:lineRule="auto"/>
              <w:rPr>
                <w:rFonts w:ascii="Times New Roman" w:hAnsi="Times New Roman" w:cs="Times New Roman"/>
                <w:sz w:val="20"/>
                <w:szCs w:val="20"/>
              </w:rPr>
            </w:pPr>
          </w:p>
        </w:tc>
      </w:tr>
      <w:tr w:rsidR="00E338F6" w14:paraId="0ABEE52F" w14:textId="77777777" w:rsidTr="005B4346">
        <w:trPr>
          <w:gridAfter w:val="1"/>
          <w:wAfter w:w="128" w:type="dxa"/>
        </w:trPr>
        <w:tc>
          <w:tcPr>
            <w:tcW w:w="2479" w:type="dxa"/>
            <w:tcBorders>
              <w:top w:val="single" w:sz="6" w:space="0" w:color="000000"/>
              <w:left w:val="single" w:sz="6" w:space="0" w:color="000000"/>
              <w:bottom w:val="single" w:sz="6" w:space="0" w:color="000000"/>
              <w:right w:val="single" w:sz="6" w:space="0" w:color="000000"/>
            </w:tcBorders>
          </w:tcPr>
          <w:p w14:paraId="797AE5BC" w14:textId="77777777" w:rsidR="00E338F6" w:rsidRDefault="00E338F6" w:rsidP="00E338F6">
            <w:pPr>
              <w:autoSpaceDE w:val="0"/>
              <w:autoSpaceDN w:val="0"/>
              <w:adjustRightInd w:val="0"/>
              <w:spacing w:after="0" w:line="240" w:lineRule="auto"/>
              <w:rPr>
                <w:rFonts w:ascii="Arial" w:hAnsi="Arial" w:cs="Arial"/>
                <w:sz w:val="24"/>
                <w:szCs w:val="24"/>
              </w:rPr>
            </w:pPr>
            <w:r>
              <w:rPr>
                <w:rFonts w:ascii="Arial" w:hAnsi="Arial" w:cs="Arial"/>
                <w:sz w:val="24"/>
                <w:szCs w:val="24"/>
              </w:rPr>
              <w:t>Raymond Yeung</w:t>
            </w:r>
          </w:p>
        </w:tc>
        <w:tc>
          <w:tcPr>
            <w:tcW w:w="8286" w:type="dxa"/>
            <w:gridSpan w:val="2"/>
            <w:tcBorders>
              <w:top w:val="single" w:sz="6" w:space="0" w:color="000000"/>
              <w:left w:val="single" w:sz="6" w:space="0" w:color="000000"/>
              <w:bottom w:val="single" w:sz="6" w:space="0" w:color="000000"/>
              <w:right w:val="single" w:sz="6" w:space="0" w:color="000000"/>
            </w:tcBorders>
          </w:tcPr>
          <w:p w14:paraId="7ACC4D50" w14:textId="3E80A189" w:rsidR="00E338F6" w:rsidRDefault="00770B0F" w:rsidP="00E338F6">
            <w:pPr>
              <w:autoSpaceDE w:val="0"/>
              <w:autoSpaceDN w:val="0"/>
              <w:adjustRightInd w:val="0"/>
              <w:spacing w:after="0" w:line="240" w:lineRule="auto"/>
              <w:rPr>
                <w:rFonts w:ascii="Times New Roman" w:hAnsi="Times New Roman" w:cs="Times New Roman"/>
                <w:sz w:val="20"/>
                <w:szCs w:val="20"/>
              </w:rPr>
            </w:pPr>
            <w:r w:rsidRPr="00770B0F">
              <w:rPr>
                <w:rFonts w:ascii="Arial" w:hAnsi="Arial" w:cs="Arial"/>
                <w:sz w:val="24"/>
                <w:szCs w:val="24"/>
              </w:rPr>
              <w:t>2020/3257/P</w:t>
            </w:r>
            <w:r w:rsidR="00E338F6">
              <w:rPr>
                <w:rFonts w:ascii="Arial" w:hAnsi="Arial" w:cs="Arial"/>
                <w:sz w:val="24"/>
                <w:szCs w:val="24"/>
              </w:rPr>
              <w:br/>
            </w:r>
            <w:r w:rsidR="00E338F6">
              <w:rPr>
                <w:rFonts w:ascii="Arial" w:hAnsi="Arial" w:cs="Arial"/>
                <w:sz w:val="24"/>
                <w:szCs w:val="24"/>
              </w:rPr>
              <w:br/>
            </w:r>
          </w:p>
        </w:tc>
      </w:tr>
      <w:tr w:rsidR="00E338F6" w14:paraId="64A82696" w14:textId="77777777" w:rsidTr="005B4346">
        <w:trPr>
          <w:gridAfter w:val="1"/>
          <w:wAfter w:w="128" w:type="dxa"/>
        </w:trPr>
        <w:tc>
          <w:tcPr>
            <w:tcW w:w="2479" w:type="dxa"/>
            <w:tcBorders>
              <w:top w:val="single" w:sz="6" w:space="0" w:color="000000"/>
              <w:left w:val="single" w:sz="6" w:space="0" w:color="000000"/>
              <w:bottom w:val="single" w:sz="6" w:space="0" w:color="000000"/>
              <w:right w:val="single" w:sz="6" w:space="0" w:color="000000"/>
            </w:tcBorders>
          </w:tcPr>
          <w:p w14:paraId="586AFDEF" w14:textId="77777777" w:rsidR="00E338F6" w:rsidRDefault="00E338F6" w:rsidP="00E338F6">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Application Address</w:t>
            </w:r>
          </w:p>
        </w:tc>
        <w:tc>
          <w:tcPr>
            <w:tcW w:w="8286" w:type="dxa"/>
            <w:gridSpan w:val="2"/>
            <w:tcBorders>
              <w:top w:val="single" w:sz="6" w:space="0" w:color="000000"/>
              <w:left w:val="single" w:sz="6" w:space="0" w:color="000000"/>
              <w:bottom w:val="single" w:sz="6" w:space="0" w:color="000000"/>
              <w:right w:val="single" w:sz="6" w:space="0" w:color="000000"/>
            </w:tcBorders>
          </w:tcPr>
          <w:p w14:paraId="1B9CAD11" w14:textId="77777777" w:rsidR="00E338F6" w:rsidRDefault="00E338F6" w:rsidP="00E338F6">
            <w:pPr>
              <w:autoSpaceDE w:val="0"/>
              <w:autoSpaceDN w:val="0"/>
              <w:adjustRightInd w:val="0"/>
              <w:spacing w:after="0" w:line="240" w:lineRule="auto"/>
              <w:rPr>
                <w:rFonts w:ascii="Times New Roman" w:hAnsi="Times New Roman" w:cs="Times New Roman"/>
                <w:sz w:val="20"/>
                <w:szCs w:val="20"/>
              </w:rPr>
            </w:pPr>
            <w:r>
              <w:rPr>
                <w:rFonts w:ascii="Arial" w:hAnsi="Arial" w:cs="Arial"/>
                <w:b/>
                <w:bCs/>
                <w:sz w:val="24"/>
                <w:szCs w:val="24"/>
              </w:rPr>
              <w:t xml:space="preserve">Recommendation </w:t>
            </w:r>
          </w:p>
        </w:tc>
      </w:tr>
      <w:tr w:rsidR="00E338F6" w14:paraId="641BBD48" w14:textId="77777777" w:rsidTr="005B4346">
        <w:trPr>
          <w:gridAfter w:val="1"/>
          <w:wAfter w:w="128" w:type="dxa"/>
        </w:trPr>
        <w:tc>
          <w:tcPr>
            <w:tcW w:w="2479" w:type="dxa"/>
            <w:tcBorders>
              <w:top w:val="single" w:sz="6" w:space="0" w:color="000000"/>
              <w:left w:val="single" w:sz="6" w:space="0" w:color="000000"/>
              <w:bottom w:val="single" w:sz="6" w:space="0" w:color="000000"/>
              <w:right w:val="single" w:sz="6" w:space="0" w:color="000000"/>
            </w:tcBorders>
          </w:tcPr>
          <w:p w14:paraId="5956F612" w14:textId="77777777" w:rsidR="00770B0F" w:rsidRPr="00770B0F" w:rsidRDefault="00770B0F" w:rsidP="00770B0F">
            <w:pPr>
              <w:autoSpaceDE w:val="0"/>
              <w:autoSpaceDN w:val="0"/>
              <w:adjustRightInd w:val="0"/>
              <w:spacing w:after="0" w:line="240" w:lineRule="auto"/>
              <w:rPr>
                <w:rFonts w:ascii="Arial" w:hAnsi="Arial" w:cs="Arial"/>
                <w:sz w:val="24"/>
                <w:szCs w:val="24"/>
              </w:rPr>
            </w:pPr>
            <w:r w:rsidRPr="00770B0F">
              <w:rPr>
                <w:rFonts w:ascii="Arial" w:hAnsi="Arial" w:cs="Arial"/>
                <w:sz w:val="24"/>
                <w:szCs w:val="24"/>
              </w:rPr>
              <w:t>20 Belsize Square</w:t>
            </w:r>
          </w:p>
          <w:p w14:paraId="782AE953" w14:textId="77777777" w:rsidR="00770B0F" w:rsidRPr="00770B0F" w:rsidRDefault="00770B0F" w:rsidP="00770B0F">
            <w:pPr>
              <w:autoSpaceDE w:val="0"/>
              <w:autoSpaceDN w:val="0"/>
              <w:adjustRightInd w:val="0"/>
              <w:spacing w:after="0" w:line="240" w:lineRule="auto"/>
              <w:rPr>
                <w:rFonts w:ascii="Arial" w:hAnsi="Arial" w:cs="Arial"/>
                <w:sz w:val="24"/>
                <w:szCs w:val="24"/>
              </w:rPr>
            </w:pPr>
            <w:r w:rsidRPr="00770B0F">
              <w:rPr>
                <w:rFonts w:ascii="Arial" w:hAnsi="Arial" w:cs="Arial"/>
                <w:sz w:val="24"/>
                <w:szCs w:val="24"/>
              </w:rPr>
              <w:t>London</w:t>
            </w:r>
          </w:p>
          <w:p w14:paraId="2BCF7494" w14:textId="21461EB9" w:rsidR="00E338F6" w:rsidRDefault="00770B0F" w:rsidP="00770B0F">
            <w:pPr>
              <w:autoSpaceDE w:val="0"/>
              <w:autoSpaceDN w:val="0"/>
              <w:adjustRightInd w:val="0"/>
              <w:spacing w:after="0" w:line="240" w:lineRule="auto"/>
              <w:rPr>
                <w:rFonts w:ascii="Arial" w:hAnsi="Arial" w:cs="Arial"/>
                <w:sz w:val="24"/>
                <w:szCs w:val="24"/>
              </w:rPr>
            </w:pPr>
            <w:r w:rsidRPr="00770B0F">
              <w:rPr>
                <w:rFonts w:ascii="Arial" w:hAnsi="Arial" w:cs="Arial"/>
                <w:sz w:val="24"/>
                <w:szCs w:val="24"/>
              </w:rPr>
              <w:t>NW3 4HT</w:t>
            </w:r>
          </w:p>
        </w:tc>
        <w:tc>
          <w:tcPr>
            <w:tcW w:w="8286" w:type="dxa"/>
            <w:gridSpan w:val="2"/>
            <w:tcBorders>
              <w:top w:val="single" w:sz="6" w:space="0" w:color="000000"/>
              <w:left w:val="single" w:sz="6" w:space="0" w:color="000000"/>
              <w:bottom w:val="single" w:sz="6" w:space="0" w:color="000000"/>
              <w:right w:val="single" w:sz="6" w:space="0" w:color="000000"/>
            </w:tcBorders>
          </w:tcPr>
          <w:p w14:paraId="50B81AAC" w14:textId="77777777" w:rsidR="00E338F6" w:rsidRDefault="00E338F6" w:rsidP="00E338F6">
            <w:pPr>
              <w:autoSpaceDE w:val="0"/>
              <w:autoSpaceDN w:val="0"/>
              <w:adjustRightInd w:val="0"/>
              <w:spacing w:after="0" w:line="240" w:lineRule="auto"/>
              <w:rPr>
                <w:rFonts w:ascii="Arial" w:hAnsi="Arial" w:cs="Arial"/>
                <w:sz w:val="24"/>
                <w:szCs w:val="24"/>
              </w:rPr>
            </w:pPr>
          </w:p>
          <w:p w14:paraId="41E40835" w14:textId="77777777" w:rsidR="00E338F6" w:rsidRDefault="00E338F6" w:rsidP="00E338F6">
            <w:pPr>
              <w:autoSpaceDE w:val="0"/>
              <w:autoSpaceDN w:val="0"/>
              <w:adjustRightInd w:val="0"/>
              <w:spacing w:after="0" w:line="240" w:lineRule="auto"/>
              <w:rPr>
                <w:rFonts w:ascii="Times New Roman" w:hAnsi="Times New Roman" w:cs="Times New Roman"/>
                <w:sz w:val="20"/>
                <w:szCs w:val="20"/>
              </w:rPr>
            </w:pPr>
            <w:r>
              <w:rPr>
                <w:rFonts w:ascii="Arial" w:hAnsi="Arial" w:cs="Arial"/>
                <w:sz w:val="24"/>
                <w:szCs w:val="24"/>
              </w:rPr>
              <w:t>Approve Certificate of Lawfulness</w:t>
            </w:r>
          </w:p>
        </w:tc>
      </w:tr>
      <w:tr w:rsidR="00E338F6" w14:paraId="6BF516A5" w14:textId="77777777" w:rsidTr="005B4346">
        <w:trPr>
          <w:gridAfter w:val="1"/>
          <w:wAfter w:w="128" w:type="dxa"/>
        </w:trPr>
        <w:tc>
          <w:tcPr>
            <w:tcW w:w="2479" w:type="dxa"/>
            <w:tcBorders>
              <w:top w:val="single" w:sz="6" w:space="0" w:color="000000"/>
              <w:left w:val="single" w:sz="6" w:space="0" w:color="000000"/>
              <w:bottom w:val="single" w:sz="6" w:space="0" w:color="000000"/>
              <w:right w:val="single" w:sz="6" w:space="0" w:color="000000"/>
            </w:tcBorders>
          </w:tcPr>
          <w:p w14:paraId="17395FCE" w14:textId="77777777" w:rsidR="00E338F6" w:rsidRDefault="00E338F6" w:rsidP="00E338F6">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1</w:t>
            </w:r>
            <w:r>
              <w:rPr>
                <w:rFonts w:ascii="Arial" w:hAnsi="Arial" w:cs="Arial"/>
                <w:b/>
                <w:bCs/>
                <w:sz w:val="24"/>
                <w:szCs w:val="24"/>
                <w:vertAlign w:val="superscript"/>
              </w:rPr>
              <w:t>st</w:t>
            </w:r>
            <w:r>
              <w:rPr>
                <w:rFonts w:ascii="Arial" w:hAnsi="Arial" w:cs="Arial"/>
                <w:b/>
                <w:bCs/>
                <w:sz w:val="24"/>
                <w:szCs w:val="24"/>
              </w:rPr>
              <w:t xml:space="preserve"> Signature          </w:t>
            </w:r>
          </w:p>
        </w:tc>
        <w:tc>
          <w:tcPr>
            <w:tcW w:w="8286" w:type="dxa"/>
            <w:gridSpan w:val="2"/>
            <w:tcBorders>
              <w:top w:val="single" w:sz="6" w:space="0" w:color="000000"/>
              <w:left w:val="single" w:sz="6" w:space="0" w:color="000000"/>
              <w:bottom w:val="single" w:sz="6" w:space="0" w:color="000000"/>
              <w:right w:val="single" w:sz="6" w:space="0" w:color="000000"/>
            </w:tcBorders>
          </w:tcPr>
          <w:p w14:paraId="0F1D23DA" w14:textId="77777777" w:rsidR="00E338F6" w:rsidRDefault="00E338F6" w:rsidP="00E338F6">
            <w:pPr>
              <w:autoSpaceDE w:val="0"/>
              <w:autoSpaceDN w:val="0"/>
              <w:adjustRightInd w:val="0"/>
              <w:spacing w:after="0" w:line="240" w:lineRule="auto"/>
              <w:rPr>
                <w:rFonts w:ascii="Times New Roman" w:hAnsi="Times New Roman" w:cs="Times New Roman"/>
                <w:sz w:val="20"/>
                <w:szCs w:val="20"/>
              </w:rPr>
            </w:pPr>
            <w:r>
              <w:rPr>
                <w:rFonts w:ascii="Arial" w:hAnsi="Arial" w:cs="Arial"/>
                <w:b/>
                <w:bCs/>
                <w:sz w:val="24"/>
                <w:szCs w:val="24"/>
              </w:rPr>
              <w:t>2</w:t>
            </w:r>
            <w:r>
              <w:rPr>
                <w:rFonts w:ascii="Arial" w:hAnsi="Arial" w:cs="Arial"/>
                <w:b/>
                <w:bCs/>
                <w:sz w:val="24"/>
                <w:szCs w:val="24"/>
                <w:vertAlign w:val="superscript"/>
              </w:rPr>
              <w:t>nd</w:t>
            </w:r>
            <w:r>
              <w:rPr>
                <w:rFonts w:ascii="Arial" w:hAnsi="Arial" w:cs="Arial"/>
                <w:b/>
                <w:bCs/>
                <w:sz w:val="24"/>
                <w:szCs w:val="24"/>
              </w:rPr>
              <w:t xml:space="preserve"> Signature (if refusal)</w:t>
            </w:r>
          </w:p>
        </w:tc>
      </w:tr>
      <w:tr w:rsidR="00E338F6" w14:paraId="028BFA78" w14:textId="77777777" w:rsidTr="005B4346">
        <w:trPr>
          <w:gridAfter w:val="1"/>
          <w:wAfter w:w="128" w:type="dxa"/>
        </w:trPr>
        <w:tc>
          <w:tcPr>
            <w:tcW w:w="2479" w:type="dxa"/>
            <w:tcBorders>
              <w:top w:val="single" w:sz="6" w:space="0" w:color="000000"/>
              <w:left w:val="single" w:sz="6" w:space="0" w:color="000000"/>
              <w:bottom w:val="single" w:sz="6" w:space="0" w:color="000000"/>
              <w:right w:val="single" w:sz="6" w:space="0" w:color="000000"/>
            </w:tcBorders>
          </w:tcPr>
          <w:p w14:paraId="3472977A" w14:textId="77777777" w:rsidR="00E338F6" w:rsidRDefault="00E338F6" w:rsidP="00E338F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tc>
        <w:tc>
          <w:tcPr>
            <w:tcW w:w="8286" w:type="dxa"/>
            <w:gridSpan w:val="2"/>
            <w:tcBorders>
              <w:top w:val="single" w:sz="6" w:space="0" w:color="000000"/>
              <w:left w:val="single" w:sz="6" w:space="0" w:color="000000"/>
              <w:bottom w:val="single" w:sz="6" w:space="0" w:color="000000"/>
              <w:right w:val="single" w:sz="6" w:space="0" w:color="000000"/>
            </w:tcBorders>
          </w:tcPr>
          <w:p w14:paraId="2B29ED93" w14:textId="77777777" w:rsidR="00E338F6" w:rsidRDefault="00E338F6" w:rsidP="00E338F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c>
      </w:tr>
      <w:tr w:rsidR="00E338F6" w14:paraId="62910B3A" w14:textId="77777777" w:rsidTr="005B4346">
        <w:trPr>
          <w:gridAfter w:val="1"/>
          <w:wAfter w:w="128" w:type="dxa"/>
        </w:trPr>
        <w:tc>
          <w:tcPr>
            <w:tcW w:w="10765" w:type="dxa"/>
            <w:gridSpan w:val="3"/>
            <w:tcBorders>
              <w:top w:val="single" w:sz="6" w:space="0" w:color="000000"/>
              <w:left w:val="single" w:sz="6" w:space="0" w:color="000000"/>
              <w:bottom w:val="single" w:sz="6" w:space="0" w:color="000000"/>
              <w:right w:val="single" w:sz="6" w:space="0" w:color="000000"/>
            </w:tcBorders>
          </w:tcPr>
          <w:p w14:paraId="4F148DCF" w14:textId="77777777" w:rsidR="00E338F6" w:rsidRDefault="00E338F6" w:rsidP="00E338F6">
            <w:pPr>
              <w:autoSpaceDE w:val="0"/>
              <w:autoSpaceDN w:val="0"/>
              <w:adjustRightInd w:val="0"/>
              <w:spacing w:after="0" w:line="240" w:lineRule="auto"/>
              <w:rPr>
                <w:rFonts w:ascii="Times New Roman" w:hAnsi="Times New Roman" w:cs="Times New Roman"/>
                <w:sz w:val="20"/>
                <w:szCs w:val="20"/>
              </w:rPr>
            </w:pPr>
            <w:r>
              <w:rPr>
                <w:rFonts w:ascii="Arial" w:hAnsi="Arial" w:cs="Arial"/>
                <w:b/>
                <w:bCs/>
                <w:sz w:val="24"/>
                <w:szCs w:val="24"/>
              </w:rPr>
              <w:t xml:space="preserve">Proposal  </w:t>
            </w:r>
          </w:p>
        </w:tc>
      </w:tr>
      <w:tr w:rsidR="00E338F6" w14:paraId="707FEDA1" w14:textId="77777777" w:rsidTr="005B4346">
        <w:trPr>
          <w:gridAfter w:val="1"/>
          <w:wAfter w:w="128" w:type="dxa"/>
        </w:trPr>
        <w:tc>
          <w:tcPr>
            <w:tcW w:w="10765" w:type="dxa"/>
            <w:gridSpan w:val="3"/>
            <w:tcBorders>
              <w:top w:val="single" w:sz="6" w:space="0" w:color="000000"/>
              <w:left w:val="single" w:sz="6" w:space="0" w:color="000000"/>
              <w:bottom w:val="single" w:sz="6" w:space="0" w:color="000000"/>
              <w:right w:val="single" w:sz="6" w:space="0" w:color="000000"/>
            </w:tcBorders>
          </w:tcPr>
          <w:p w14:paraId="7168966B" w14:textId="77777777" w:rsidR="00E338F6" w:rsidRDefault="00E338F6" w:rsidP="00E338F6">
            <w:pPr>
              <w:autoSpaceDE w:val="0"/>
              <w:autoSpaceDN w:val="0"/>
              <w:adjustRightInd w:val="0"/>
              <w:spacing w:after="0" w:line="240" w:lineRule="auto"/>
              <w:rPr>
                <w:rFonts w:ascii="Arial" w:hAnsi="Arial" w:cs="Arial"/>
                <w:sz w:val="24"/>
                <w:szCs w:val="24"/>
              </w:rPr>
            </w:pPr>
          </w:p>
          <w:p w14:paraId="3F383138" w14:textId="77777777" w:rsidR="00A80233" w:rsidRPr="005E093B" w:rsidRDefault="00A80233" w:rsidP="00A80233">
            <w:pPr>
              <w:rPr>
                <w:rFonts w:ascii="Arial" w:hAnsi="Arial" w:cs="Arial"/>
                <w:sz w:val="24"/>
                <w:szCs w:val="24"/>
              </w:rPr>
            </w:pPr>
            <w:r w:rsidRPr="005E093B">
              <w:rPr>
                <w:rFonts w:ascii="Arial" w:hAnsi="Arial" w:cs="Arial"/>
                <w:sz w:val="24"/>
                <w:szCs w:val="24"/>
              </w:rPr>
              <w:t>Confirmation of the lawful implementation of planning permission 2018/1956/P dated</w:t>
            </w:r>
            <w:r>
              <w:rPr>
                <w:rFonts w:ascii="Arial" w:hAnsi="Arial" w:cs="Arial"/>
                <w:sz w:val="24"/>
                <w:szCs w:val="24"/>
              </w:rPr>
              <w:t xml:space="preserve"> 08/06/2018 as amended by</w:t>
            </w:r>
            <w:r w:rsidRPr="005E093B">
              <w:rPr>
                <w:rFonts w:ascii="Arial" w:hAnsi="Arial" w:cs="Arial"/>
                <w:sz w:val="24"/>
                <w:szCs w:val="24"/>
              </w:rPr>
              <w:t xml:space="preserve"> 2018/3068/P dated 23/08/2018</w:t>
            </w:r>
            <w:r>
              <w:rPr>
                <w:rFonts w:ascii="Arial" w:hAnsi="Arial" w:cs="Arial"/>
                <w:sz w:val="24"/>
                <w:szCs w:val="24"/>
              </w:rPr>
              <w:t xml:space="preserve"> (</w:t>
            </w:r>
            <w:r w:rsidRPr="005E093B">
              <w:rPr>
                <w:rFonts w:ascii="Arial" w:hAnsi="Arial" w:cs="Arial"/>
                <w:sz w:val="24"/>
                <w:szCs w:val="24"/>
              </w:rPr>
              <w:t>Conversion of 2 x 4 bed flats into a 1 x 6 bed single family dwellinghouse</w:t>
            </w:r>
            <w:r>
              <w:rPr>
                <w:rFonts w:ascii="Arial" w:hAnsi="Arial" w:cs="Arial"/>
                <w:sz w:val="24"/>
                <w:szCs w:val="24"/>
              </w:rPr>
              <w:t>)</w:t>
            </w:r>
            <w:r w:rsidRPr="005E093B">
              <w:rPr>
                <w:rFonts w:ascii="Arial" w:hAnsi="Arial" w:cs="Arial"/>
                <w:sz w:val="24"/>
                <w:szCs w:val="24"/>
              </w:rPr>
              <w:t>.</w:t>
            </w:r>
          </w:p>
          <w:p w14:paraId="545F8BB8" w14:textId="2DDAD55E" w:rsidR="00E338F6" w:rsidRDefault="00E338F6" w:rsidP="00E338F6">
            <w:pPr>
              <w:autoSpaceDE w:val="0"/>
              <w:autoSpaceDN w:val="0"/>
              <w:adjustRightInd w:val="0"/>
              <w:spacing w:after="0" w:line="240" w:lineRule="auto"/>
              <w:rPr>
                <w:rFonts w:ascii="Times New Roman" w:hAnsi="Times New Roman" w:cs="Times New Roman"/>
                <w:sz w:val="20"/>
                <w:szCs w:val="20"/>
              </w:rPr>
            </w:pPr>
          </w:p>
        </w:tc>
      </w:tr>
      <w:tr w:rsidR="00E338F6" w14:paraId="773D7CDC" w14:textId="77777777" w:rsidTr="005B4346">
        <w:trPr>
          <w:gridAfter w:val="1"/>
          <w:wAfter w:w="128" w:type="dxa"/>
        </w:trPr>
        <w:tc>
          <w:tcPr>
            <w:tcW w:w="10765" w:type="dxa"/>
            <w:gridSpan w:val="3"/>
            <w:tcBorders>
              <w:top w:val="single" w:sz="6" w:space="0" w:color="000000"/>
              <w:left w:val="single" w:sz="6" w:space="0" w:color="000000"/>
              <w:bottom w:val="single" w:sz="6" w:space="0" w:color="000000"/>
              <w:right w:val="single" w:sz="6" w:space="0" w:color="000000"/>
            </w:tcBorders>
          </w:tcPr>
          <w:p w14:paraId="76CC26E1" w14:textId="77777777" w:rsidR="00E338F6" w:rsidRPr="00E07CB7" w:rsidRDefault="00E338F6" w:rsidP="00E338F6">
            <w:pPr>
              <w:autoSpaceDE w:val="0"/>
              <w:autoSpaceDN w:val="0"/>
              <w:adjustRightInd w:val="0"/>
              <w:spacing w:after="0" w:line="240" w:lineRule="auto"/>
              <w:rPr>
                <w:rFonts w:ascii="Arial" w:hAnsi="Arial" w:cs="Arial"/>
                <w:b/>
                <w:bCs/>
                <w:sz w:val="24"/>
                <w:szCs w:val="24"/>
              </w:rPr>
            </w:pPr>
          </w:p>
          <w:p w14:paraId="43CAB35D" w14:textId="1CA9E56A" w:rsidR="00E338F6" w:rsidRPr="00E07CB7" w:rsidRDefault="00E338F6" w:rsidP="00E338F6">
            <w:pPr>
              <w:autoSpaceDE w:val="0"/>
              <w:autoSpaceDN w:val="0"/>
              <w:adjustRightInd w:val="0"/>
              <w:spacing w:after="0" w:line="240" w:lineRule="auto"/>
              <w:rPr>
                <w:rFonts w:ascii="Arial" w:hAnsi="Arial" w:cs="Arial"/>
                <w:sz w:val="24"/>
                <w:szCs w:val="24"/>
              </w:rPr>
            </w:pPr>
            <w:r w:rsidRPr="00E07CB7">
              <w:rPr>
                <w:rFonts w:ascii="Arial" w:hAnsi="Arial" w:cs="Arial"/>
                <w:sz w:val="24"/>
                <w:szCs w:val="24"/>
              </w:rPr>
              <w:t xml:space="preserve">A lawful development certificate has been submitted to establish the commencement in accordance with condition 1 (within three years from date of permission) of planning </w:t>
            </w:r>
            <w:r w:rsidR="00A80233">
              <w:rPr>
                <w:rFonts w:ascii="Arial" w:hAnsi="Arial" w:cs="Arial"/>
                <w:sz w:val="24"/>
                <w:szCs w:val="24"/>
              </w:rPr>
              <w:t xml:space="preserve">permission 2018/1956/P </w:t>
            </w:r>
            <w:r w:rsidR="00A80233" w:rsidRPr="00E07CB7">
              <w:rPr>
                <w:rFonts w:ascii="Arial" w:hAnsi="Arial" w:cs="Arial"/>
                <w:sz w:val="24"/>
                <w:szCs w:val="24"/>
              </w:rPr>
              <w:t xml:space="preserve"> </w:t>
            </w:r>
            <w:r w:rsidR="00A80233" w:rsidRPr="00E07CB7">
              <w:rPr>
                <w:rFonts w:ascii="Arial" w:hAnsi="Arial" w:cs="Arial"/>
                <w:sz w:val="24"/>
                <w:szCs w:val="24"/>
              </w:rPr>
              <w:t>dated 08/06/2</w:t>
            </w:r>
            <w:r w:rsidR="00A80233">
              <w:rPr>
                <w:rFonts w:ascii="Arial" w:hAnsi="Arial" w:cs="Arial"/>
                <w:sz w:val="24"/>
                <w:szCs w:val="24"/>
              </w:rPr>
              <w:t xml:space="preserve">018 </w:t>
            </w:r>
            <w:r w:rsidR="00A80233">
              <w:rPr>
                <w:rFonts w:ascii="Arial" w:hAnsi="Arial" w:cs="Arial"/>
                <w:sz w:val="24"/>
                <w:szCs w:val="24"/>
              </w:rPr>
              <w:t>(</w:t>
            </w:r>
            <w:r w:rsidR="00770B0F" w:rsidRPr="00E07CB7">
              <w:rPr>
                <w:rFonts w:ascii="Arial" w:hAnsi="Arial" w:cs="Arial"/>
                <w:sz w:val="24"/>
                <w:szCs w:val="24"/>
              </w:rPr>
              <w:t xml:space="preserve">Conversion of 2 x 4 bed flats into a 1 x 6 bed single family dwellinghouse ) </w:t>
            </w:r>
            <w:r w:rsidR="00A80233">
              <w:rPr>
                <w:rFonts w:ascii="Arial" w:hAnsi="Arial" w:cs="Arial"/>
                <w:sz w:val="24"/>
                <w:szCs w:val="24"/>
              </w:rPr>
              <w:t>as amended by</w:t>
            </w:r>
            <w:r w:rsidR="00580081">
              <w:rPr>
                <w:rFonts w:ascii="Arial" w:hAnsi="Arial" w:cs="Arial"/>
                <w:sz w:val="24"/>
                <w:szCs w:val="24"/>
              </w:rPr>
              <w:t xml:space="preserve"> 2018/3068/P (t</w:t>
            </w:r>
            <w:r w:rsidR="00770B0F" w:rsidRPr="00E07CB7">
              <w:rPr>
                <w:rFonts w:ascii="Arial" w:hAnsi="Arial" w:cs="Arial"/>
                <w:sz w:val="24"/>
                <w:szCs w:val="24"/>
              </w:rPr>
              <w:t>o ad</w:t>
            </w:r>
            <w:r w:rsidR="00580081">
              <w:rPr>
                <w:rFonts w:ascii="Arial" w:hAnsi="Arial" w:cs="Arial"/>
                <w:sz w:val="24"/>
                <w:szCs w:val="24"/>
              </w:rPr>
              <w:t>d a rooflight) dated 23/08/2018</w:t>
            </w:r>
            <w:r w:rsidR="00770B0F" w:rsidRPr="00E07CB7">
              <w:rPr>
                <w:rFonts w:ascii="Arial" w:hAnsi="Arial" w:cs="Arial"/>
                <w:sz w:val="24"/>
                <w:szCs w:val="24"/>
              </w:rPr>
              <w:t xml:space="preserve">, the application </w:t>
            </w:r>
            <w:r w:rsidR="00580081">
              <w:rPr>
                <w:rFonts w:ascii="Arial" w:hAnsi="Arial" w:cs="Arial"/>
                <w:sz w:val="24"/>
                <w:szCs w:val="24"/>
              </w:rPr>
              <w:t>expires on</w:t>
            </w:r>
            <w:r w:rsidR="00893BBB">
              <w:rPr>
                <w:rFonts w:ascii="Arial" w:hAnsi="Arial" w:cs="Arial"/>
                <w:sz w:val="24"/>
                <w:szCs w:val="24"/>
              </w:rPr>
              <w:t xml:space="preserve">  08/06/2021</w:t>
            </w:r>
            <w:r w:rsidR="00770B0F" w:rsidRPr="00E07CB7">
              <w:rPr>
                <w:rFonts w:ascii="Arial" w:hAnsi="Arial" w:cs="Arial"/>
                <w:sz w:val="24"/>
                <w:szCs w:val="24"/>
              </w:rPr>
              <w:t>.</w:t>
            </w:r>
          </w:p>
          <w:p w14:paraId="524FE108" w14:textId="4F10B563" w:rsidR="00E338F6" w:rsidRPr="00E07CB7" w:rsidRDefault="00E338F6" w:rsidP="00E338F6">
            <w:pPr>
              <w:autoSpaceDE w:val="0"/>
              <w:autoSpaceDN w:val="0"/>
              <w:adjustRightInd w:val="0"/>
              <w:spacing w:after="0" w:line="240" w:lineRule="auto"/>
              <w:rPr>
                <w:rFonts w:ascii="Arial" w:hAnsi="Arial" w:cs="Arial"/>
                <w:sz w:val="24"/>
                <w:szCs w:val="24"/>
              </w:rPr>
            </w:pPr>
          </w:p>
          <w:p w14:paraId="1864426E" w14:textId="6424DF33" w:rsidR="00217379" w:rsidRPr="00E07CB7" w:rsidRDefault="00E338F6" w:rsidP="00E338F6">
            <w:pPr>
              <w:autoSpaceDE w:val="0"/>
              <w:autoSpaceDN w:val="0"/>
              <w:adjustRightInd w:val="0"/>
              <w:spacing w:after="0" w:line="240" w:lineRule="auto"/>
              <w:rPr>
                <w:rFonts w:ascii="Arial" w:hAnsi="Arial" w:cs="Arial"/>
                <w:sz w:val="24"/>
                <w:szCs w:val="24"/>
              </w:rPr>
            </w:pPr>
            <w:r w:rsidRPr="00E07CB7">
              <w:rPr>
                <w:rFonts w:ascii="Arial" w:hAnsi="Arial" w:cs="Arial"/>
                <w:sz w:val="24"/>
                <w:szCs w:val="24"/>
              </w:rPr>
              <w:t>The applicant is required to demonstrate</w:t>
            </w:r>
            <w:r w:rsidR="00580081">
              <w:rPr>
                <w:rFonts w:ascii="Arial" w:hAnsi="Arial" w:cs="Arial"/>
                <w:sz w:val="24"/>
                <w:szCs w:val="24"/>
              </w:rPr>
              <w:t xml:space="preserve"> that</w:t>
            </w:r>
            <w:r w:rsidRPr="00E07CB7">
              <w:rPr>
                <w:rFonts w:ascii="Arial" w:hAnsi="Arial" w:cs="Arial"/>
                <w:sz w:val="24"/>
                <w:szCs w:val="24"/>
              </w:rPr>
              <w:t>, on</w:t>
            </w:r>
            <w:r w:rsidR="00580081">
              <w:rPr>
                <w:rFonts w:ascii="Arial" w:hAnsi="Arial" w:cs="Arial"/>
                <w:sz w:val="24"/>
                <w:szCs w:val="24"/>
              </w:rPr>
              <w:t xml:space="preserve"> the</w:t>
            </w:r>
            <w:r w:rsidRPr="00E07CB7">
              <w:rPr>
                <w:rFonts w:ascii="Arial" w:hAnsi="Arial" w:cs="Arial"/>
                <w:sz w:val="24"/>
                <w:szCs w:val="24"/>
              </w:rPr>
              <w:t xml:space="preserve"> balance of probability</w:t>
            </w:r>
            <w:r w:rsidR="00580081">
              <w:rPr>
                <w:rFonts w:ascii="Arial" w:hAnsi="Arial" w:cs="Arial"/>
                <w:sz w:val="24"/>
                <w:szCs w:val="24"/>
              </w:rPr>
              <w:t>, a</w:t>
            </w:r>
            <w:r w:rsidRPr="00E07CB7">
              <w:rPr>
                <w:rFonts w:ascii="Arial" w:hAnsi="Arial" w:cs="Arial"/>
                <w:sz w:val="24"/>
                <w:szCs w:val="24"/>
              </w:rPr>
              <w:t xml:space="preserve"> material operation for the purposes of section 56(1) of the 1990 Act has been carried out. </w:t>
            </w:r>
          </w:p>
          <w:p w14:paraId="3249178F" w14:textId="39198558" w:rsidR="00217379" w:rsidRPr="00E07CB7" w:rsidRDefault="00217379" w:rsidP="00E338F6">
            <w:pPr>
              <w:autoSpaceDE w:val="0"/>
              <w:autoSpaceDN w:val="0"/>
              <w:adjustRightInd w:val="0"/>
              <w:spacing w:after="0" w:line="240" w:lineRule="auto"/>
              <w:rPr>
                <w:rFonts w:ascii="Arial" w:hAnsi="Arial" w:cs="Arial"/>
                <w:sz w:val="24"/>
                <w:szCs w:val="24"/>
              </w:rPr>
            </w:pPr>
          </w:p>
          <w:p w14:paraId="03D23243" w14:textId="77777777" w:rsidR="00217379" w:rsidRPr="00E07CB7" w:rsidRDefault="00217379" w:rsidP="00217379">
            <w:pPr>
              <w:pStyle w:val="Default"/>
              <w:rPr>
                <w:b/>
                <w:bCs/>
              </w:rPr>
            </w:pPr>
            <w:r w:rsidRPr="00E07CB7">
              <w:t>In this case the planning permission description of development explicitly refers to the rooflight and its provision is shown on the approved plans for the planning permission.  It is therefore clear that the operation is not de minimus as it is ‘comprised in the development’ - i.e it clearly relates to the approved plans / permission</w:t>
            </w:r>
            <w:r w:rsidRPr="00E07CB7">
              <w:rPr>
                <w:b/>
                <w:bCs/>
              </w:rPr>
              <w:t xml:space="preserve">. </w:t>
            </w:r>
          </w:p>
          <w:p w14:paraId="31DEDA54" w14:textId="77777777" w:rsidR="00217379" w:rsidRPr="00E07CB7" w:rsidRDefault="00217379" w:rsidP="00217379">
            <w:pPr>
              <w:pStyle w:val="Default"/>
            </w:pPr>
          </w:p>
          <w:p w14:paraId="0F6A68A8" w14:textId="7D271348" w:rsidR="00217379" w:rsidRDefault="00217379" w:rsidP="00A80233">
            <w:pPr>
              <w:pStyle w:val="Default"/>
            </w:pPr>
            <w:r w:rsidRPr="00E07CB7">
              <w:t xml:space="preserve">Its construction involved a material operation, namely the demolition of the relevant area of roof and the installation of a new window.  The relevant case law here is Court of Appeal’s decision in </w:t>
            </w:r>
            <w:r w:rsidRPr="00E07CB7">
              <w:rPr>
                <w:i/>
                <w:iCs/>
              </w:rPr>
              <w:t>Malvern Hills DC v. Secretary of State for the Environment</w:t>
            </w:r>
            <w:r w:rsidRPr="00E07CB7">
              <w:rPr>
                <w:b/>
                <w:bCs/>
                <w:i/>
                <w:iCs/>
              </w:rPr>
              <w:t xml:space="preserve"> </w:t>
            </w:r>
            <w:r w:rsidRPr="00E07CB7">
              <w:t>[1982] J.P.L. 439.  It’s judgement makes clear a “</w:t>
            </w:r>
            <w:r w:rsidRPr="00E07CB7">
              <w:rPr>
                <w:i/>
                <w:iCs/>
              </w:rPr>
              <w:t>material operation</w:t>
            </w:r>
            <w:r w:rsidRPr="00E07CB7">
              <w:t>” does not require “</w:t>
            </w:r>
            <w:r w:rsidRPr="00E07CB7">
              <w:rPr>
                <w:i/>
                <w:iCs/>
              </w:rPr>
              <w:t>a change in the character of the land or anything that might be called development</w:t>
            </w:r>
            <w:r w:rsidRPr="00E07CB7">
              <w:t xml:space="preserve">”.  </w:t>
            </w:r>
          </w:p>
          <w:p w14:paraId="5F1B9FC0" w14:textId="77777777" w:rsidR="00A80233" w:rsidRPr="00E07CB7" w:rsidRDefault="00A80233" w:rsidP="00A80233">
            <w:pPr>
              <w:pStyle w:val="Default"/>
            </w:pPr>
          </w:p>
          <w:p w14:paraId="6E4B68F9" w14:textId="77777777" w:rsidR="00217379" w:rsidRPr="00E07CB7" w:rsidRDefault="00217379" w:rsidP="00217379">
            <w:pPr>
              <w:autoSpaceDE w:val="0"/>
              <w:autoSpaceDN w:val="0"/>
              <w:rPr>
                <w:rFonts w:ascii="Arial" w:hAnsi="Arial" w:cs="Arial"/>
                <w:sz w:val="24"/>
                <w:szCs w:val="24"/>
                <w:lang w:eastAsia="en-GB"/>
              </w:rPr>
            </w:pPr>
            <w:r w:rsidRPr="00E07CB7">
              <w:rPr>
                <w:rFonts w:ascii="Arial" w:hAnsi="Arial" w:cs="Arial"/>
                <w:sz w:val="24"/>
                <w:szCs w:val="24"/>
              </w:rPr>
              <w:t xml:space="preserve">As to whether that comprises a material operation under Section 56 (4) of the TCPA 1990, </w:t>
            </w:r>
            <w:r w:rsidRPr="00E07CB7">
              <w:rPr>
                <w:rFonts w:ascii="Arial" w:hAnsi="Arial" w:cs="Arial"/>
                <w:sz w:val="24"/>
                <w:szCs w:val="24"/>
                <w:lang w:eastAsia="en-GB"/>
              </w:rPr>
              <w:t>the works are a material operation as they constitute “</w:t>
            </w:r>
            <w:r w:rsidRPr="00E07CB7">
              <w:rPr>
                <w:rFonts w:ascii="Arial" w:hAnsi="Arial" w:cs="Arial"/>
                <w:i/>
                <w:iCs/>
                <w:sz w:val="24"/>
                <w:szCs w:val="24"/>
                <w:lang w:eastAsia="en-GB"/>
              </w:rPr>
              <w:t>any work of construction in the course of the erection of a building</w:t>
            </w:r>
            <w:r w:rsidRPr="00E07CB7">
              <w:rPr>
                <w:rFonts w:ascii="Arial" w:hAnsi="Arial" w:cs="Arial"/>
                <w:sz w:val="24"/>
                <w:szCs w:val="24"/>
                <w:lang w:eastAsia="en-GB"/>
              </w:rPr>
              <w:t>” under s.56(4)(a) of the TCPA 1990. </w:t>
            </w:r>
          </w:p>
          <w:p w14:paraId="003DA630" w14:textId="5FF40E39" w:rsidR="00217379" w:rsidRPr="00E07CB7" w:rsidRDefault="00217379" w:rsidP="00217379">
            <w:pPr>
              <w:autoSpaceDE w:val="0"/>
              <w:autoSpaceDN w:val="0"/>
              <w:rPr>
                <w:rFonts w:ascii="Arial" w:hAnsi="Arial" w:cs="Arial"/>
                <w:i/>
                <w:iCs/>
                <w:sz w:val="24"/>
                <w:szCs w:val="24"/>
                <w:lang w:eastAsia="en-GB"/>
              </w:rPr>
            </w:pPr>
            <w:r w:rsidRPr="00E07CB7">
              <w:rPr>
                <w:rFonts w:ascii="Arial" w:hAnsi="Arial" w:cs="Arial"/>
                <w:sz w:val="24"/>
                <w:szCs w:val="24"/>
                <w:lang w:eastAsia="en-GB"/>
              </w:rPr>
              <w:t>In consideration whether the installation of a rooflight accords with a subsection that uses the</w:t>
            </w:r>
            <w:r w:rsidRPr="00E07CB7">
              <w:rPr>
                <w:rFonts w:ascii="Arial" w:hAnsi="Arial" w:cs="Arial"/>
                <w:i/>
                <w:iCs/>
                <w:sz w:val="24"/>
                <w:szCs w:val="24"/>
                <w:lang w:eastAsia="en-GB"/>
              </w:rPr>
              <w:t xml:space="preserve"> </w:t>
            </w:r>
            <w:r w:rsidRPr="00E07CB7">
              <w:rPr>
                <w:rFonts w:ascii="Arial" w:hAnsi="Arial" w:cs="Arial"/>
                <w:sz w:val="24"/>
                <w:szCs w:val="24"/>
                <w:lang w:eastAsia="en-GB"/>
              </w:rPr>
              <w:t xml:space="preserve">words </w:t>
            </w:r>
            <w:r w:rsidRPr="00E07CB7">
              <w:rPr>
                <w:rFonts w:ascii="Arial" w:hAnsi="Arial" w:cs="Arial"/>
                <w:i/>
                <w:iCs/>
                <w:sz w:val="24"/>
                <w:szCs w:val="24"/>
                <w:lang w:eastAsia="en-GB"/>
              </w:rPr>
              <w:t>“erection</w:t>
            </w:r>
            <w:r w:rsidRPr="00E07CB7">
              <w:rPr>
                <w:rFonts w:ascii="Arial" w:hAnsi="Arial" w:cs="Arial"/>
                <w:sz w:val="24"/>
                <w:szCs w:val="24"/>
                <w:lang w:eastAsia="en-GB"/>
              </w:rPr>
              <w:t>” and “</w:t>
            </w:r>
            <w:r w:rsidRPr="00E07CB7">
              <w:rPr>
                <w:rFonts w:ascii="Arial" w:hAnsi="Arial" w:cs="Arial"/>
                <w:i/>
                <w:iCs/>
                <w:sz w:val="24"/>
                <w:szCs w:val="24"/>
                <w:lang w:eastAsia="en-GB"/>
              </w:rPr>
              <w:t>building</w:t>
            </w:r>
            <w:r w:rsidRPr="00E07CB7">
              <w:rPr>
                <w:rFonts w:ascii="Arial" w:hAnsi="Arial" w:cs="Arial"/>
                <w:sz w:val="24"/>
                <w:szCs w:val="24"/>
                <w:lang w:eastAsia="en-GB"/>
              </w:rPr>
              <w:t>”. However, in s. 336 of the TCPA 1990 the word</w:t>
            </w:r>
            <w:r w:rsidRPr="00E07CB7">
              <w:rPr>
                <w:rFonts w:ascii="Arial" w:hAnsi="Arial" w:cs="Arial"/>
                <w:i/>
                <w:iCs/>
                <w:sz w:val="24"/>
                <w:szCs w:val="24"/>
                <w:lang w:eastAsia="en-GB"/>
              </w:rPr>
              <w:t xml:space="preserve"> </w:t>
            </w:r>
            <w:r w:rsidRPr="00E07CB7">
              <w:rPr>
                <w:rFonts w:ascii="Arial" w:hAnsi="Arial" w:cs="Arial"/>
                <w:sz w:val="24"/>
                <w:szCs w:val="24"/>
                <w:lang w:eastAsia="en-GB"/>
              </w:rPr>
              <w:t>“</w:t>
            </w:r>
            <w:r w:rsidRPr="00E07CB7">
              <w:rPr>
                <w:rFonts w:ascii="Arial" w:hAnsi="Arial" w:cs="Arial"/>
                <w:i/>
                <w:iCs/>
                <w:sz w:val="24"/>
                <w:szCs w:val="24"/>
                <w:lang w:eastAsia="en-GB"/>
              </w:rPr>
              <w:t>building</w:t>
            </w:r>
            <w:r w:rsidRPr="00E07CB7">
              <w:rPr>
                <w:rFonts w:ascii="Arial" w:hAnsi="Arial" w:cs="Arial"/>
                <w:sz w:val="24"/>
                <w:szCs w:val="24"/>
                <w:lang w:eastAsia="en-GB"/>
              </w:rPr>
              <w:t>” as used in the Act is defined as including “</w:t>
            </w:r>
            <w:r w:rsidRPr="00E07CB7">
              <w:rPr>
                <w:rFonts w:ascii="Arial" w:hAnsi="Arial" w:cs="Arial"/>
                <w:i/>
                <w:iCs/>
                <w:sz w:val="24"/>
                <w:szCs w:val="24"/>
                <w:lang w:eastAsia="en-GB"/>
              </w:rPr>
              <w:t>any structure or erection, and any part of a building, as so defined</w:t>
            </w:r>
            <w:r w:rsidRPr="00E07CB7">
              <w:rPr>
                <w:rFonts w:ascii="Arial" w:hAnsi="Arial" w:cs="Arial"/>
                <w:sz w:val="24"/>
                <w:szCs w:val="24"/>
                <w:lang w:eastAsia="en-GB"/>
              </w:rPr>
              <w:t>” and the word "</w:t>
            </w:r>
            <w:r w:rsidRPr="00E07CB7">
              <w:rPr>
                <w:rFonts w:ascii="Arial" w:hAnsi="Arial" w:cs="Arial"/>
                <w:i/>
                <w:iCs/>
                <w:sz w:val="24"/>
                <w:szCs w:val="24"/>
                <w:lang w:eastAsia="en-GB"/>
              </w:rPr>
              <w:t>erection</w:t>
            </w:r>
            <w:r w:rsidRPr="00E07CB7">
              <w:rPr>
                <w:rFonts w:ascii="Arial" w:hAnsi="Arial" w:cs="Arial"/>
                <w:sz w:val="24"/>
                <w:szCs w:val="24"/>
                <w:lang w:eastAsia="en-GB"/>
              </w:rPr>
              <w:t>" is defined “</w:t>
            </w:r>
            <w:r w:rsidRPr="00E07CB7">
              <w:rPr>
                <w:rFonts w:ascii="Arial" w:hAnsi="Arial" w:cs="Arial"/>
                <w:i/>
                <w:iCs/>
                <w:sz w:val="24"/>
                <w:szCs w:val="24"/>
                <w:lang w:eastAsia="en-GB"/>
              </w:rPr>
              <w:t>in relation to buildings as defined in this subsection</w:t>
            </w:r>
            <w:r w:rsidRPr="00E07CB7">
              <w:rPr>
                <w:rFonts w:ascii="Arial" w:hAnsi="Arial" w:cs="Arial"/>
                <w:sz w:val="24"/>
                <w:szCs w:val="24"/>
                <w:lang w:eastAsia="en-GB"/>
              </w:rPr>
              <w:t>” as including “</w:t>
            </w:r>
            <w:r w:rsidRPr="00E07CB7">
              <w:rPr>
                <w:rFonts w:ascii="Arial" w:hAnsi="Arial" w:cs="Arial"/>
                <w:i/>
                <w:iCs/>
                <w:sz w:val="24"/>
                <w:szCs w:val="24"/>
                <w:lang w:eastAsia="en-GB"/>
              </w:rPr>
              <w:t>extension, alteration and re-erection</w:t>
            </w:r>
            <w:r w:rsidRPr="00E07CB7">
              <w:rPr>
                <w:rFonts w:ascii="Arial" w:hAnsi="Arial" w:cs="Arial"/>
                <w:sz w:val="24"/>
                <w:szCs w:val="24"/>
                <w:lang w:eastAsia="en-GB"/>
              </w:rPr>
              <w:t>”.</w:t>
            </w:r>
            <w:r w:rsidRPr="00E07CB7">
              <w:rPr>
                <w:rFonts w:ascii="Arial" w:hAnsi="Arial" w:cs="Arial"/>
                <w:i/>
                <w:iCs/>
                <w:sz w:val="24"/>
                <w:szCs w:val="24"/>
                <w:lang w:eastAsia="en-GB"/>
              </w:rPr>
              <w:t xml:space="preserve">  </w:t>
            </w:r>
            <w:r w:rsidRPr="00E07CB7">
              <w:rPr>
                <w:rFonts w:ascii="Arial" w:hAnsi="Arial" w:cs="Arial"/>
                <w:sz w:val="24"/>
                <w:szCs w:val="24"/>
                <w:lang w:eastAsia="en-GB"/>
              </w:rPr>
              <w:t xml:space="preserve">Accordingly, one should read s. 56(4)(a), in the light of s. </w:t>
            </w:r>
            <w:r w:rsidRPr="00E07CB7">
              <w:rPr>
                <w:rFonts w:ascii="Arial" w:hAnsi="Arial" w:cs="Arial"/>
                <w:sz w:val="24"/>
                <w:szCs w:val="24"/>
                <w:lang w:eastAsia="en-GB"/>
              </w:rPr>
              <w:lastRenderedPageBreak/>
              <w:t>336 of the TCPA 1990,</w:t>
            </w:r>
            <w:r w:rsidRPr="00E07CB7">
              <w:rPr>
                <w:rFonts w:ascii="Arial" w:hAnsi="Arial" w:cs="Arial"/>
                <w:i/>
                <w:iCs/>
                <w:sz w:val="24"/>
                <w:szCs w:val="24"/>
                <w:lang w:eastAsia="en-GB"/>
              </w:rPr>
              <w:t xml:space="preserve"> </w:t>
            </w:r>
            <w:r w:rsidRPr="00E07CB7">
              <w:rPr>
                <w:rFonts w:ascii="Arial" w:hAnsi="Arial" w:cs="Arial"/>
                <w:sz w:val="24"/>
                <w:szCs w:val="24"/>
                <w:lang w:eastAsia="en-GB"/>
              </w:rPr>
              <w:t>as defining a “</w:t>
            </w:r>
            <w:r w:rsidRPr="00E07CB7">
              <w:rPr>
                <w:rFonts w:ascii="Arial" w:hAnsi="Arial" w:cs="Arial"/>
                <w:i/>
                <w:iCs/>
                <w:sz w:val="24"/>
                <w:szCs w:val="24"/>
                <w:lang w:eastAsia="en-GB"/>
              </w:rPr>
              <w:t>material operation</w:t>
            </w:r>
            <w:r w:rsidRPr="00E07CB7">
              <w:rPr>
                <w:rFonts w:ascii="Arial" w:hAnsi="Arial" w:cs="Arial"/>
                <w:sz w:val="24"/>
                <w:szCs w:val="24"/>
                <w:lang w:eastAsia="en-GB"/>
              </w:rPr>
              <w:t>” as meaning “</w:t>
            </w:r>
            <w:r w:rsidRPr="00E07CB7">
              <w:rPr>
                <w:rFonts w:ascii="Arial" w:hAnsi="Arial" w:cs="Arial"/>
                <w:i/>
                <w:iCs/>
                <w:sz w:val="24"/>
                <w:szCs w:val="24"/>
                <w:lang w:eastAsia="en-GB"/>
              </w:rPr>
              <w:t>any work of construction in the course of the [alteration]of [part of a] building</w:t>
            </w:r>
            <w:r w:rsidRPr="00E07CB7">
              <w:rPr>
                <w:rFonts w:ascii="Arial" w:hAnsi="Arial" w:cs="Arial"/>
                <w:sz w:val="24"/>
                <w:szCs w:val="24"/>
                <w:lang w:eastAsia="en-GB"/>
              </w:rPr>
              <w:t>”.</w:t>
            </w:r>
          </w:p>
          <w:p w14:paraId="581D38E8" w14:textId="77777777" w:rsidR="00217379" w:rsidRPr="00E07CB7" w:rsidRDefault="00217379" w:rsidP="00217379">
            <w:pPr>
              <w:rPr>
                <w:rFonts w:ascii="Arial" w:hAnsi="Arial" w:cs="Arial"/>
                <w:sz w:val="24"/>
                <w:szCs w:val="24"/>
              </w:rPr>
            </w:pPr>
          </w:p>
          <w:p w14:paraId="231D43E2" w14:textId="16334D21" w:rsidR="00217379" w:rsidRDefault="00217379" w:rsidP="00A80233">
            <w:pPr>
              <w:rPr>
                <w:rFonts w:ascii="Arial" w:hAnsi="Arial" w:cs="Arial"/>
                <w:sz w:val="24"/>
                <w:szCs w:val="24"/>
              </w:rPr>
            </w:pPr>
            <w:r w:rsidRPr="00E07CB7">
              <w:rPr>
                <w:rFonts w:ascii="Arial" w:hAnsi="Arial" w:cs="Arial"/>
                <w:sz w:val="24"/>
                <w:szCs w:val="24"/>
              </w:rPr>
              <w:t xml:space="preserve">Such example of a certificate of lawfulness is under ref: 2014/1837/P which was granted  by </w:t>
            </w:r>
            <w:r w:rsidR="00A80233">
              <w:rPr>
                <w:rFonts w:ascii="Arial" w:hAnsi="Arial" w:cs="Arial"/>
                <w:sz w:val="24"/>
                <w:szCs w:val="24"/>
              </w:rPr>
              <w:t>the Council</w:t>
            </w:r>
            <w:r w:rsidRPr="00E07CB7">
              <w:rPr>
                <w:rFonts w:ascii="Arial" w:hAnsi="Arial" w:cs="Arial"/>
                <w:sz w:val="24"/>
                <w:szCs w:val="24"/>
              </w:rPr>
              <w:t xml:space="preserve"> where the material operation was the installation of a rooflight.  The legislation surrounding Section 56 has not changed since the date of the attached certificate.</w:t>
            </w:r>
          </w:p>
          <w:p w14:paraId="0122108F" w14:textId="77777777" w:rsidR="00E338F6" w:rsidRDefault="00E338F6" w:rsidP="00E338F6">
            <w:pPr>
              <w:autoSpaceDE w:val="0"/>
              <w:autoSpaceDN w:val="0"/>
              <w:adjustRightInd w:val="0"/>
              <w:spacing w:after="0" w:line="240" w:lineRule="auto"/>
              <w:rPr>
                <w:rFonts w:ascii="Arial" w:hAnsi="Arial" w:cs="Arial"/>
                <w:sz w:val="24"/>
                <w:szCs w:val="24"/>
              </w:rPr>
            </w:pPr>
          </w:p>
          <w:p w14:paraId="12E1EB22" w14:textId="77777777" w:rsidR="00E338F6" w:rsidRDefault="00E338F6" w:rsidP="00E338F6">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Applicant’s Evidence </w:t>
            </w:r>
          </w:p>
          <w:p w14:paraId="00063F23" w14:textId="77777777" w:rsidR="00E338F6" w:rsidRDefault="00E338F6" w:rsidP="00E338F6">
            <w:pPr>
              <w:autoSpaceDE w:val="0"/>
              <w:autoSpaceDN w:val="0"/>
              <w:adjustRightInd w:val="0"/>
              <w:spacing w:after="0" w:line="240" w:lineRule="auto"/>
              <w:rPr>
                <w:rFonts w:ascii="Arial" w:hAnsi="Arial" w:cs="Arial"/>
                <w:sz w:val="24"/>
                <w:szCs w:val="24"/>
              </w:rPr>
            </w:pPr>
          </w:p>
          <w:p w14:paraId="0AB0E125" w14:textId="77777777" w:rsidR="00E338F6" w:rsidRDefault="00E338F6" w:rsidP="00E338F6">
            <w:pPr>
              <w:autoSpaceDE w:val="0"/>
              <w:autoSpaceDN w:val="0"/>
              <w:adjustRightInd w:val="0"/>
              <w:spacing w:after="0" w:line="240" w:lineRule="auto"/>
              <w:rPr>
                <w:rFonts w:ascii="Arial" w:hAnsi="Arial" w:cs="Arial"/>
                <w:sz w:val="24"/>
                <w:szCs w:val="24"/>
              </w:rPr>
            </w:pPr>
            <w:r>
              <w:rPr>
                <w:rFonts w:ascii="Arial" w:hAnsi="Arial" w:cs="Arial"/>
                <w:sz w:val="24"/>
                <w:szCs w:val="24"/>
              </w:rPr>
              <w:t>The applicant has submitted the following information in support of the application, showing that the lift shaft has been built and therefore classifies that the proposal has been implemented:</w:t>
            </w:r>
          </w:p>
          <w:p w14:paraId="3EBA05D9" w14:textId="77777777" w:rsidR="00E338F6" w:rsidRDefault="00E338F6" w:rsidP="00E338F6">
            <w:pPr>
              <w:autoSpaceDE w:val="0"/>
              <w:autoSpaceDN w:val="0"/>
              <w:adjustRightInd w:val="0"/>
              <w:spacing w:after="0" w:line="240" w:lineRule="auto"/>
              <w:rPr>
                <w:rFonts w:ascii="Arial" w:hAnsi="Arial" w:cs="Arial"/>
                <w:sz w:val="24"/>
                <w:szCs w:val="24"/>
              </w:rPr>
            </w:pPr>
          </w:p>
          <w:p w14:paraId="3FAAE42C" w14:textId="29C0FEDD" w:rsidR="00E338F6" w:rsidRDefault="00770B0F" w:rsidP="00770B0F">
            <w:pPr>
              <w:pStyle w:val="ListParagraph"/>
              <w:numPr>
                <w:ilvl w:val="0"/>
                <w:numId w:val="3"/>
              </w:numPr>
              <w:tabs>
                <w:tab w:val="left" w:pos="360"/>
                <w:tab w:val="left" w:pos="720"/>
              </w:tabs>
              <w:autoSpaceDE w:val="0"/>
              <w:autoSpaceDN w:val="0"/>
              <w:adjustRightInd w:val="0"/>
              <w:spacing w:after="0" w:line="240" w:lineRule="auto"/>
              <w:rPr>
                <w:rFonts w:ascii="Arial" w:hAnsi="Arial" w:cs="Arial"/>
                <w:sz w:val="24"/>
                <w:szCs w:val="24"/>
              </w:rPr>
            </w:pPr>
            <w:r>
              <w:rPr>
                <w:rFonts w:ascii="Arial" w:hAnsi="Arial" w:cs="Arial"/>
                <w:sz w:val="24"/>
                <w:szCs w:val="24"/>
              </w:rPr>
              <w:t>Photographs taken of the works with the rooflight</w:t>
            </w:r>
          </w:p>
          <w:p w14:paraId="6BFE2638" w14:textId="5CFADA94" w:rsidR="00770B0F" w:rsidRDefault="00770B0F" w:rsidP="00770B0F">
            <w:pPr>
              <w:pStyle w:val="ListParagraph"/>
              <w:numPr>
                <w:ilvl w:val="0"/>
                <w:numId w:val="3"/>
              </w:numPr>
              <w:tabs>
                <w:tab w:val="left" w:pos="360"/>
                <w:tab w:val="left" w:pos="720"/>
              </w:tabs>
              <w:autoSpaceDE w:val="0"/>
              <w:autoSpaceDN w:val="0"/>
              <w:adjustRightInd w:val="0"/>
              <w:spacing w:after="0" w:line="240" w:lineRule="auto"/>
              <w:rPr>
                <w:rFonts w:ascii="Arial" w:hAnsi="Arial" w:cs="Arial"/>
                <w:sz w:val="24"/>
                <w:szCs w:val="24"/>
              </w:rPr>
            </w:pPr>
            <w:r>
              <w:rPr>
                <w:rFonts w:ascii="Arial" w:hAnsi="Arial" w:cs="Arial"/>
                <w:sz w:val="24"/>
                <w:szCs w:val="24"/>
              </w:rPr>
              <w:t>Receipts relating to work materials</w:t>
            </w:r>
          </w:p>
          <w:p w14:paraId="1EA05A33" w14:textId="66761AB9" w:rsidR="00770B0F" w:rsidRDefault="00770B0F" w:rsidP="00770B0F">
            <w:pPr>
              <w:pStyle w:val="ListParagraph"/>
              <w:numPr>
                <w:ilvl w:val="0"/>
                <w:numId w:val="3"/>
              </w:numPr>
              <w:tabs>
                <w:tab w:val="left" w:pos="360"/>
                <w:tab w:val="left" w:pos="720"/>
              </w:tabs>
              <w:autoSpaceDE w:val="0"/>
              <w:autoSpaceDN w:val="0"/>
              <w:adjustRightInd w:val="0"/>
              <w:spacing w:after="0" w:line="240" w:lineRule="auto"/>
              <w:rPr>
                <w:rFonts w:ascii="Arial" w:hAnsi="Arial" w:cs="Arial"/>
                <w:sz w:val="24"/>
                <w:szCs w:val="24"/>
              </w:rPr>
            </w:pPr>
            <w:r>
              <w:rPr>
                <w:rFonts w:ascii="Arial" w:hAnsi="Arial" w:cs="Arial"/>
                <w:sz w:val="24"/>
                <w:szCs w:val="24"/>
              </w:rPr>
              <w:t>Invoices from the sub-contracted roofer</w:t>
            </w:r>
          </w:p>
          <w:p w14:paraId="5BEC1C6C" w14:textId="334E5D6C" w:rsidR="00770B0F" w:rsidRDefault="00770B0F" w:rsidP="00770B0F">
            <w:pPr>
              <w:pStyle w:val="ListParagraph"/>
              <w:numPr>
                <w:ilvl w:val="0"/>
                <w:numId w:val="3"/>
              </w:numPr>
              <w:tabs>
                <w:tab w:val="left" w:pos="360"/>
                <w:tab w:val="left" w:pos="720"/>
              </w:tabs>
              <w:autoSpaceDE w:val="0"/>
              <w:autoSpaceDN w:val="0"/>
              <w:adjustRightInd w:val="0"/>
              <w:spacing w:after="0" w:line="240" w:lineRule="auto"/>
              <w:rPr>
                <w:rFonts w:ascii="Arial" w:hAnsi="Arial" w:cs="Arial"/>
                <w:sz w:val="24"/>
                <w:szCs w:val="24"/>
              </w:rPr>
            </w:pPr>
            <w:r>
              <w:rPr>
                <w:rFonts w:ascii="Arial" w:hAnsi="Arial" w:cs="Arial"/>
                <w:sz w:val="24"/>
                <w:szCs w:val="24"/>
              </w:rPr>
              <w:t>Invoices overseeing of the works</w:t>
            </w:r>
          </w:p>
          <w:p w14:paraId="6062D020" w14:textId="11600D6F" w:rsidR="00812ED2" w:rsidRDefault="00812ED2" w:rsidP="00770B0F">
            <w:pPr>
              <w:pStyle w:val="ListParagraph"/>
              <w:numPr>
                <w:ilvl w:val="0"/>
                <w:numId w:val="3"/>
              </w:numPr>
              <w:tabs>
                <w:tab w:val="left" w:pos="360"/>
                <w:tab w:val="left" w:pos="720"/>
              </w:tabs>
              <w:autoSpaceDE w:val="0"/>
              <w:autoSpaceDN w:val="0"/>
              <w:adjustRightInd w:val="0"/>
              <w:spacing w:after="0" w:line="240" w:lineRule="auto"/>
              <w:rPr>
                <w:rFonts w:ascii="Arial" w:hAnsi="Arial" w:cs="Arial"/>
                <w:sz w:val="24"/>
                <w:szCs w:val="24"/>
              </w:rPr>
            </w:pPr>
            <w:r>
              <w:rPr>
                <w:rFonts w:ascii="Arial" w:hAnsi="Arial" w:cs="Arial"/>
                <w:sz w:val="24"/>
                <w:szCs w:val="24"/>
              </w:rPr>
              <w:t>Article of works</w:t>
            </w:r>
          </w:p>
          <w:p w14:paraId="2CF0232F" w14:textId="1C1F5961" w:rsidR="00812ED2" w:rsidRDefault="00812ED2" w:rsidP="00770B0F">
            <w:pPr>
              <w:pStyle w:val="ListParagraph"/>
              <w:numPr>
                <w:ilvl w:val="0"/>
                <w:numId w:val="3"/>
              </w:numPr>
              <w:tabs>
                <w:tab w:val="left" w:pos="360"/>
                <w:tab w:val="left" w:pos="720"/>
              </w:tabs>
              <w:autoSpaceDE w:val="0"/>
              <w:autoSpaceDN w:val="0"/>
              <w:adjustRightInd w:val="0"/>
              <w:spacing w:after="0" w:line="240" w:lineRule="auto"/>
              <w:rPr>
                <w:rFonts w:ascii="Arial" w:hAnsi="Arial" w:cs="Arial"/>
                <w:sz w:val="24"/>
                <w:szCs w:val="24"/>
              </w:rPr>
            </w:pPr>
            <w:r>
              <w:rPr>
                <w:rFonts w:ascii="Arial" w:hAnsi="Arial" w:cs="Arial"/>
                <w:sz w:val="24"/>
                <w:szCs w:val="24"/>
              </w:rPr>
              <w:t>Rooflight order</w:t>
            </w:r>
          </w:p>
          <w:p w14:paraId="421186BC" w14:textId="54F2ED0E" w:rsidR="00770B0F" w:rsidRDefault="00770B0F" w:rsidP="00770B0F">
            <w:pPr>
              <w:tabs>
                <w:tab w:val="left" w:pos="360"/>
                <w:tab w:val="left" w:pos="720"/>
              </w:tabs>
              <w:autoSpaceDE w:val="0"/>
              <w:autoSpaceDN w:val="0"/>
              <w:adjustRightInd w:val="0"/>
              <w:spacing w:after="0" w:line="240" w:lineRule="auto"/>
              <w:rPr>
                <w:rFonts w:ascii="Arial" w:hAnsi="Arial" w:cs="Arial"/>
                <w:sz w:val="24"/>
                <w:szCs w:val="24"/>
              </w:rPr>
            </w:pPr>
          </w:p>
          <w:p w14:paraId="067D2435" w14:textId="57ABD948" w:rsidR="00770B0F" w:rsidRPr="00770B0F" w:rsidRDefault="00A80233" w:rsidP="00770B0F">
            <w:pPr>
              <w:tabs>
                <w:tab w:val="left" w:pos="360"/>
                <w:tab w:val="left" w:pos="720"/>
              </w:tabs>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applicant has </w:t>
            </w:r>
            <w:r w:rsidR="00770B0F">
              <w:rPr>
                <w:rFonts w:ascii="Arial" w:hAnsi="Arial" w:cs="Arial"/>
                <w:sz w:val="24"/>
                <w:szCs w:val="24"/>
              </w:rPr>
              <w:t xml:space="preserve">also submitted </w:t>
            </w:r>
            <w:r>
              <w:rPr>
                <w:rFonts w:ascii="Arial" w:hAnsi="Arial" w:cs="Arial"/>
                <w:sz w:val="24"/>
                <w:szCs w:val="24"/>
              </w:rPr>
              <w:t xml:space="preserve">for </w:t>
            </w:r>
            <w:r w:rsidR="00770B0F">
              <w:rPr>
                <w:rFonts w:ascii="Arial" w:hAnsi="Arial" w:cs="Arial"/>
                <w:sz w:val="24"/>
                <w:szCs w:val="24"/>
              </w:rPr>
              <w:t>approval a site location plan</w:t>
            </w:r>
            <w:r w:rsidR="00217379">
              <w:rPr>
                <w:rFonts w:ascii="Arial" w:hAnsi="Arial" w:cs="Arial"/>
                <w:sz w:val="24"/>
                <w:szCs w:val="24"/>
              </w:rPr>
              <w:t>, proposed plans of second</w:t>
            </w:r>
            <w:r>
              <w:rPr>
                <w:rFonts w:ascii="Arial" w:hAnsi="Arial" w:cs="Arial"/>
                <w:sz w:val="24"/>
                <w:szCs w:val="24"/>
              </w:rPr>
              <w:t xml:space="preserve"> floor</w:t>
            </w:r>
            <w:r w:rsidR="00217379">
              <w:rPr>
                <w:rFonts w:ascii="Arial" w:hAnsi="Arial" w:cs="Arial"/>
                <w:sz w:val="24"/>
                <w:szCs w:val="24"/>
              </w:rPr>
              <w:t xml:space="preserve"> and roof level, </w:t>
            </w:r>
            <w:r w:rsidR="00770B0F">
              <w:rPr>
                <w:rFonts w:ascii="Arial" w:hAnsi="Arial" w:cs="Arial"/>
                <w:sz w:val="24"/>
                <w:szCs w:val="24"/>
              </w:rPr>
              <w:t>decision notices of the original permission 2018/1956/P and minor material amendment 2018/1956/P.</w:t>
            </w:r>
          </w:p>
          <w:p w14:paraId="1A003E8F" w14:textId="77777777" w:rsidR="00134E8B" w:rsidRDefault="00134E8B" w:rsidP="00E338F6">
            <w:pPr>
              <w:tabs>
                <w:tab w:val="left" w:pos="360"/>
                <w:tab w:val="left" w:pos="720"/>
              </w:tabs>
              <w:autoSpaceDE w:val="0"/>
              <w:autoSpaceDN w:val="0"/>
              <w:adjustRightInd w:val="0"/>
              <w:spacing w:after="0" w:line="240" w:lineRule="auto"/>
              <w:rPr>
                <w:rFonts w:ascii="Arial" w:hAnsi="Arial" w:cs="Arial"/>
                <w:sz w:val="24"/>
                <w:szCs w:val="24"/>
              </w:rPr>
            </w:pPr>
          </w:p>
          <w:p w14:paraId="166CADDF" w14:textId="77777777" w:rsidR="00E338F6" w:rsidRPr="001F1F75" w:rsidRDefault="00E338F6" w:rsidP="00E338F6">
            <w:pPr>
              <w:tabs>
                <w:tab w:val="left" w:pos="360"/>
                <w:tab w:val="left" w:pos="720"/>
              </w:tabs>
              <w:autoSpaceDE w:val="0"/>
              <w:autoSpaceDN w:val="0"/>
              <w:adjustRightInd w:val="0"/>
              <w:spacing w:after="0" w:line="240" w:lineRule="auto"/>
              <w:rPr>
                <w:rFonts w:ascii="Arial" w:hAnsi="Arial" w:cs="Arial"/>
                <w:b/>
                <w:sz w:val="24"/>
                <w:szCs w:val="24"/>
              </w:rPr>
            </w:pPr>
            <w:r w:rsidRPr="001F1F75">
              <w:rPr>
                <w:rFonts w:ascii="Arial" w:hAnsi="Arial" w:cs="Arial"/>
                <w:b/>
                <w:sz w:val="24"/>
                <w:szCs w:val="24"/>
              </w:rPr>
              <w:t xml:space="preserve">Council’s evidence </w:t>
            </w:r>
          </w:p>
          <w:p w14:paraId="62570725" w14:textId="77777777" w:rsidR="00E338F6" w:rsidRDefault="00E338F6" w:rsidP="00E338F6">
            <w:pPr>
              <w:tabs>
                <w:tab w:val="left" w:pos="360"/>
                <w:tab w:val="left" w:pos="720"/>
              </w:tabs>
              <w:autoSpaceDE w:val="0"/>
              <w:autoSpaceDN w:val="0"/>
              <w:adjustRightInd w:val="0"/>
              <w:spacing w:after="0" w:line="240" w:lineRule="auto"/>
              <w:rPr>
                <w:rFonts w:ascii="Arial" w:hAnsi="Arial" w:cs="Arial"/>
                <w:sz w:val="24"/>
                <w:szCs w:val="24"/>
              </w:rPr>
            </w:pPr>
          </w:p>
          <w:p w14:paraId="1B48A3BD" w14:textId="35FC0B3A" w:rsidR="00E338F6" w:rsidRDefault="00770B0F" w:rsidP="00E338F6">
            <w:pPr>
              <w:tabs>
                <w:tab w:val="left" w:pos="360"/>
                <w:tab w:val="left" w:pos="720"/>
              </w:tabs>
              <w:autoSpaceDE w:val="0"/>
              <w:autoSpaceDN w:val="0"/>
              <w:adjustRightInd w:val="0"/>
              <w:spacing w:after="0" w:line="240" w:lineRule="auto"/>
              <w:rPr>
                <w:rFonts w:ascii="Arial" w:hAnsi="Arial" w:cs="Arial"/>
                <w:sz w:val="24"/>
                <w:szCs w:val="24"/>
              </w:rPr>
            </w:pPr>
            <w:r>
              <w:rPr>
                <w:rFonts w:ascii="Arial" w:hAnsi="Arial" w:cs="Arial"/>
                <w:sz w:val="24"/>
                <w:szCs w:val="24"/>
              </w:rPr>
              <w:t>The application does not have any outstanding pre-commencement planning conditions to be discharged.</w:t>
            </w:r>
          </w:p>
          <w:p w14:paraId="21478E7B" w14:textId="5131D96D" w:rsidR="00217379" w:rsidRDefault="00217379" w:rsidP="00E338F6">
            <w:pPr>
              <w:tabs>
                <w:tab w:val="left" w:pos="360"/>
                <w:tab w:val="left" w:pos="720"/>
              </w:tabs>
              <w:autoSpaceDE w:val="0"/>
              <w:autoSpaceDN w:val="0"/>
              <w:adjustRightInd w:val="0"/>
              <w:spacing w:after="0" w:line="240" w:lineRule="auto"/>
              <w:rPr>
                <w:rFonts w:ascii="Arial" w:hAnsi="Arial" w:cs="Arial"/>
                <w:sz w:val="24"/>
                <w:szCs w:val="24"/>
              </w:rPr>
            </w:pPr>
          </w:p>
          <w:p w14:paraId="006F1526" w14:textId="3FCBA15E" w:rsidR="00217379" w:rsidRDefault="00217379" w:rsidP="00E338F6">
            <w:pPr>
              <w:tabs>
                <w:tab w:val="left" w:pos="360"/>
                <w:tab w:val="left" w:pos="720"/>
              </w:tabs>
              <w:autoSpaceDE w:val="0"/>
              <w:autoSpaceDN w:val="0"/>
              <w:adjustRightInd w:val="0"/>
              <w:spacing w:after="0" w:line="240" w:lineRule="auto"/>
              <w:rPr>
                <w:rFonts w:ascii="Arial" w:hAnsi="Arial" w:cs="Arial"/>
                <w:sz w:val="24"/>
                <w:szCs w:val="24"/>
              </w:rPr>
            </w:pPr>
            <w:r>
              <w:rPr>
                <w:rFonts w:ascii="Arial" w:hAnsi="Arial" w:cs="Arial"/>
                <w:sz w:val="24"/>
                <w:szCs w:val="24"/>
              </w:rPr>
              <w:t>There are no relating enforcement cases to this property.</w:t>
            </w:r>
          </w:p>
          <w:p w14:paraId="520F1E03" w14:textId="76BB789E" w:rsidR="00770B0F" w:rsidRDefault="00770B0F" w:rsidP="00E338F6">
            <w:pPr>
              <w:tabs>
                <w:tab w:val="left" w:pos="360"/>
                <w:tab w:val="left" w:pos="720"/>
              </w:tabs>
              <w:autoSpaceDE w:val="0"/>
              <w:autoSpaceDN w:val="0"/>
              <w:adjustRightInd w:val="0"/>
              <w:spacing w:after="0" w:line="240" w:lineRule="auto"/>
              <w:rPr>
                <w:rFonts w:ascii="Arial" w:hAnsi="Arial" w:cs="Arial"/>
                <w:sz w:val="24"/>
                <w:szCs w:val="24"/>
              </w:rPr>
            </w:pPr>
          </w:p>
          <w:p w14:paraId="4CBE3A96" w14:textId="77777777" w:rsidR="00E338F6" w:rsidRDefault="00E338F6" w:rsidP="00E338F6">
            <w:pPr>
              <w:tabs>
                <w:tab w:val="left" w:pos="360"/>
                <w:tab w:val="left" w:pos="720"/>
              </w:tabs>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Assessment </w:t>
            </w:r>
          </w:p>
          <w:p w14:paraId="38DA7DC9" w14:textId="77777777" w:rsidR="00E338F6" w:rsidRDefault="00E338F6" w:rsidP="00E338F6">
            <w:pPr>
              <w:tabs>
                <w:tab w:val="left" w:pos="360"/>
                <w:tab w:val="left" w:pos="720"/>
              </w:tabs>
              <w:autoSpaceDE w:val="0"/>
              <w:autoSpaceDN w:val="0"/>
              <w:adjustRightInd w:val="0"/>
              <w:spacing w:after="0" w:line="240" w:lineRule="auto"/>
              <w:rPr>
                <w:rFonts w:ascii="Arial" w:hAnsi="Arial" w:cs="Arial"/>
                <w:sz w:val="24"/>
                <w:szCs w:val="24"/>
              </w:rPr>
            </w:pPr>
          </w:p>
          <w:p w14:paraId="31185413" w14:textId="77777777" w:rsidR="00E338F6" w:rsidRDefault="00E338F6" w:rsidP="00E338F6">
            <w:pPr>
              <w:tabs>
                <w:tab w:val="left" w:pos="360"/>
                <w:tab w:val="left" w:pos="720"/>
              </w:tabs>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Secretary of State has advised local planning authorities that the burden of proof in applications for a Certificate of Lawfulness is firmly with the applicant (DOE Circular 10/97, Enforcing Planning Control: Legislative Provisions and Procedural Requirements, Annex 8, para 8.12). The relevant test is the “balance of probability”, and authorities are advised that if they have no evidence of their own to contradict or undermine the applicant’s version of events, there is no good reason to refuse the application provided the applicant’s evidence is sufficiently precise and unambiguous to justify the grant of a certificate. The planning merits of the use are not relevant to the consideration of an application for a certificate of lawfulness; purely legal issues are involved in determining an application. </w:t>
            </w:r>
          </w:p>
          <w:p w14:paraId="0D5E1E65" w14:textId="77777777" w:rsidR="00E338F6" w:rsidRDefault="00E338F6" w:rsidP="00E338F6">
            <w:pPr>
              <w:tabs>
                <w:tab w:val="left" w:pos="360"/>
                <w:tab w:val="left" w:pos="720"/>
              </w:tabs>
              <w:autoSpaceDE w:val="0"/>
              <w:autoSpaceDN w:val="0"/>
              <w:adjustRightInd w:val="0"/>
              <w:spacing w:after="0" w:line="240" w:lineRule="auto"/>
              <w:rPr>
                <w:rFonts w:ascii="Arial" w:hAnsi="Arial" w:cs="Arial"/>
                <w:sz w:val="24"/>
                <w:szCs w:val="24"/>
              </w:rPr>
            </w:pPr>
          </w:p>
          <w:p w14:paraId="6EC0B2B9" w14:textId="110F40F5" w:rsidR="00E338F6" w:rsidRDefault="00E338F6" w:rsidP="00E338F6">
            <w:pPr>
              <w:tabs>
                <w:tab w:val="left" w:pos="360"/>
                <w:tab w:val="left" w:pos="720"/>
              </w:tabs>
              <w:autoSpaceDE w:val="0"/>
              <w:autoSpaceDN w:val="0"/>
              <w:adjustRightInd w:val="0"/>
              <w:spacing w:after="0" w:line="240" w:lineRule="auto"/>
              <w:rPr>
                <w:rFonts w:ascii="Arial" w:hAnsi="Arial" w:cs="Arial"/>
                <w:sz w:val="24"/>
                <w:szCs w:val="24"/>
              </w:rPr>
            </w:pPr>
            <w:r>
              <w:rPr>
                <w:rFonts w:ascii="Arial" w:hAnsi="Arial" w:cs="Arial"/>
                <w:sz w:val="24"/>
                <w:szCs w:val="24"/>
              </w:rPr>
              <w:t>The Council does not have any evidence to contradict or undermine the applicant’s version of events.</w:t>
            </w:r>
          </w:p>
          <w:p w14:paraId="71955F96" w14:textId="37D72142" w:rsidR="00E338F6" w:rsidRDefault="00E338F6" w:rsidP="00E338F6">
            <w:pPr>
              <w:tabs>
                <w:tab w:val="left" w:pos="360"/>
                <w:tab w:val="left" w:pos="720"/>
              </w:tabs>
              <w:autoSpaceDE w:val="0"/>
              <w:autoSpaceDN w:val="0"/>
              <w:adjustRightInd w:val="0"/>
              <w:spacing w:after="0" w:line="240" w:lineRule="auto"/>
              <w:rPr>
                <w:rFonts w:ascii="Arial" w:hAnsi="Arial" w:cs="Arial"/>
                <w:sz w:val="24"/>
                <w:szCs w:val="24"/>
              </w:rPr>
            </w:pPr>
          </w:p>
          <w:p w14:paraId="0A80EB6A" w14:textId="77777777" w:rsidR="00E338F6" w:rsidRDefault="00E338F6" w:rsidP="00E338F6">
            <w:pPr>
              <w:tabs>
                <w:tab w:val="left" w:pos="360"/>
                <w:tab w:val="left" w:pos="720"/>
              </w:tabs>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information provided by the applicant is deemed to be sufficiently precise and unambiguous to demonstrate that the development has commenced prior to the date mentioned above. </w:t>
            </w:r>
          </w:p>
          <w:p w14:paraId="0ED406F8" w14:textId="77777777" w:rsidR="00E338F6" w:rsidRDefault="00E338F6" w:rsidP="00E338F6">
            <w:pPr>
              <w:tabs>
                <w:tab w:val="left" w:pos="360"/>
                <w:tab w:val="left" w:pos="720"/>
              </w:tabs>
              <w:autoSpaceDE w:val="0"/>
              <w:autoSpaceDN w:val="0"/>
              <w:adjustRightInd w:val="0"/>
              <w:spacing w:after="0" w:line="240" w:lineRule="auto"/>
              <w:rPr>
                <w:rFonts w:ascii="Arial" w:hAnsi="Arial" w:cs="Arial"/>
                <w:sz w:val="24"/>
                <w:szCs w:val="24"/>
              </w:rPr>
            </w:pPr>
          </w:p>
          <w:p w14:paraId="0AF51544" w14:textId="18AF448C" w:rsidR="00E338F6" w:rsidRPr="00A80233" w:rsidRDefault="00E338F6" w:rsidP="00A80233">
            <w:pPr>
              <w:tabs>
                <w:tab w:val="left" w:pos="360"/>
                <w:tab w:val="left" w:pos="720"/>
              </w:tabs>
              <w:autoSpaceDE w:val="0"/>
              <w:autoSpaceDN w:val="0"/>
              <w:adjustRightInd w:val="0"/>
              <w:spacing w:after="0" w:line="240" w:lineRule="auto"/>
              <w:rPr>
                <w:rFonts w:ascii="Arial" w:hAnsi="Arial" w:cs="Arial"/>
                <w:sz w:val="24"/>
                <w:szCs w:val="24"/>
              </w:rPr>
            </w:pPr>
            <w:r>
              <w:rPr>
                <w:rFonts w:ascii="Arial" w:hAnsi="Arial" w:cs="Arial"/>
                <w:sz w:val="24"/>
                <w:szCs w:val="24"/>
              </w:rPr>
              <w:t>Furthermore, the Council’s evidence does not contradict or undermine the applicant’s version of events.</w:t>
            </w:r>
          </w:p>
        </w:tc>
      </w:tr>
      <w:tr w:rsidR="00E338F6" w14:paraId="556C932F" w14:textId="77777777" w:rsidTr="00A80233">
        <w:trPr>
          <w:gridAfter w:val="1"/>
          <w:wAfter w:w="128" w:type="dxa"/>
          <w:trHeight w:val="918"/>
        </w:trPr>
        <w:tc>
          <w:tcPr>
            <w:tcW w:w="10765" w:type="dxa"/>
            <w:gridSpan w:val="3"/>
            <w:tcBorders>
              <w:top w:val="single" w:sz="6" w:space="0" w:color="000000"/>
              <w:left w:val="single" w:sz="6" w:space="0" w:color="000000"/>
              <w:bottom w:val="single" w:sz="6" w:space="0" w:color="000000"/>
              <w:right w:val="single" w:sz="6" w:space="0" w:color="000000"/>
            </w:tcBorders>
          </w:tcPr>
          <w:p w14:paraId="0CEBF5BE" w14:textId="77777777" w:rsidR="00E338F6" w:rsidRDefault="00E338F6" w:rsidP="00E338F6">
            <w:pPr>
              <w:autoSpaceDE w:val="0"/>
              <w:autoSpaceDN w:val="0"/>
              <w:adjustRightInd w:val="0"/>
              <w:spacing w:after="0" w:line="240" w:lineRule="auto"/>
              <w:rPr>
                <w:rFonts w:ascii="Arial" w:hAnsi="Arial" w:cs="Arial"/>
                <w:sz w:val="24"/>
                <w:szCs w:val="24"/>
              </w:rPr>
            </w:pPr>
          </w:p>
          <w:p w14:paraId="793BE720" w14:textId="54F47062" w:rsidR="00A80233" w:rsidRPr="00A80233" w:rsidRDefault="00A80233" w:rsidP="00A80233">
            <w:pPr>
              <w:tabs>
                <w:tab w:val="left" w:pos="360"/>
                <w:tab w:val="left" w:pos="720"/>
              </w:tabs>
              <w:autoSpaceDE w:val="0"/>
              <w:autoSpaceDN w:val="0"/>
              <w:adjustRightInd w:val="0"/>
              <w:spacing w:after="0" w:line="240" w:lineRule="auto"/>
              <w:rPr>
                <w:rFonts w:ascii="Arial" w:hAnsi="Arial" w:cs="Arial"/>
                <w:sz w:val="24"/>
                <w:szCs w:val="24"/>
              </w:rPr>
            </w:pPr>
            <w:bookmarkStart w:id="0" w:name="_GoBack"/>
            <w:bookmarkEnd w:id="0"/>
            <w:r>
              <w:rPr>
                <w:rFonts w:ascii="Arial" w:hAnsi="Arial" w:cs="Arial"/>
                <w:b/>
                <w:sz w:val="24"/>
                <w:szCs w:val="24"/>
              </w:rPr>
              <w:t xml:space="preserve">Recommendation: </w:t>
            </w:r>
            <w:r>
              <w:rPr>
                <w:rFonts w:ascii="Arial" w:hAnsi="Arial" w:cs="Arial"/>
                <w:sz w:val="24"/>
                <w:szCs w:val="24"/>
              </w:rPr>
              <w:t xml:space="preserve">Grant certificate of lawfulness </w:t>
            </w:r>
          </w:p>
          <w:p w14:paraId="3942DEDD" w14:textId="2480B8BD" w:rsidR="00E338F6" w:rsidRDefault="00E338F6" w:rsidP="00E338F6">
            <w:pPr>
              <w:tabs>
                <w:tab w:val="left" w:pos="360"/>
                <w:tab w:val="left" w:pos="720"/>
              </w:tabs>
              <w:autoSpaceDE w:val="0"/>
              <w:autoSpaceDN w:val="0"/>
              <w:adjustRightInd w:val="0"/>
              <w:spacing w:after="0" w:line="240" w:lineRule="auto"/>
              <w:rPr>
                <w:rFonts w:ascii="Arial" w:hAnsi="Arial" w:cs="Arial"/>
                <w:b/>
                <w:bCs/>
                <w:sz w:val="24"/>
                <w:szCs w:val="24"/>
              </w:rPr>
            </w:pPr>
          </w:p>
        </w:tc>
      </w:tr>
    </w:tbl>
    <w:p w14:paraId="4157562E" w14:textId="77777777" w:rsidR="00C4512C" w:rsidRDefault="00C4512C"/>
    <w:sectPr w:rsidR="00C451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F97CE" w14:textId="77777777" w:rsidR="000B140A" w:rsidRDefault="000B140A" w:rsidP="00E338F6">
      <w:pPr>
        <w:spacing w:after="0" w:line="240" w:lineRule="auto"/>
      </w:pPr>
      <w:r>
        <w:separator/>
      </w:r>
    </w:p>
  </w:endnote>
  <w:endnote w:type="continuationSeparator" w:id="0">
    <w:p w14:paraId="3E929EFC" w14:textId="77777777" w:rsidR="000B140A" w:rsidRDefault="000B140A" w:rsidP="00E33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D43ED" w14:textId="77777777" w:rsidR="000B140A" w:rsidRDefault="000B140A" w:rsidP="00E338F6">
      <w:pPr>
        <w:spacing w:after="0" w:line="240" w:lineRule="auto"/>
      </w:pPr>
      <w:r>
        <w:separator/>
      </w:r>
    </w:p>
  </w:footnote>
  <w:footnote w:type="continuationSeparator" w:id="0">
    <w:p w14:paraId="5DBE61CB" w14:textId="77777777" w:rsidR="000B140A" w:rsidRDefault="000B140A" w:rsidP="00E338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E6178"/>
    <w:multiLevelType w:val="hybridMultilevel"/>
    <w:tmpl w:val="2AA6A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7E5E5F"/>
    <w:multiLevelType w:val="hybridMultilevel"/>
    <w:tmpl w:val="6340E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897554"/>
    <w:multiLevelType w:val="hybridMultilevel"/>
    <w:tmpl w:val="B4F6E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8F6"/>
    <w:rsid w:val="00062695"/>
    <w:rsid w:val="000B140A"/>
    <w:rsid w:val="00134E8B"/>
    <w:rsid w:val="001B0EE4"/>
    <w:rsid w:val="001C14F3"/>
    <w:rsid w:val="00217379"/>
    <w:rsid w:val="00580081"/>
    <w:rsid w:val="005B0C24"/>
    <w:rsid w:val="005B4346"/>
    <w:rsid w:val="005C3B61"/>
    <w:rsid w:val="00770B0F"/>
    <w:rsid w:val="007D4D3C"/>
    <w:rsid w:val="00812ED2"/>
    <w:rsid w:val="00862A8E"/>
    <w:rsid w:val="00893BBB"/>
    <w:rsid w:val="008A5175"/>
    <w:rsid w:val="00956CB5"/>
    <w:rsid w:val="00992E5B"/>
    <w:rsid w:val="00A80233"/>
    <w:rsid w:val="00B873C8"/>
    <w:rsid w:val="00C24CF7"/>
    <w:rsid w:val="00C4512C"/>
    <w:rsid w:val="00E07CB7"/>
    <w:rsid w:val="00E338F6"/>
    <w:rsid w:val="00E57025"/>
    <w:rsid w:val="00FE3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2D10CC"/>
  <w15:chartTrackingRefBased/>
  <w15:docId w15:val="{16C11CF4-5F8D-4B29-843B-CACA5426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8F6"/>
    <w:pPr>
      <w:ind w:left="720"/>
      <w:contextualSpacing/>
    </w:pPr>
  </w:style>
  <w:style w:type="character" w:styleId="CommentReference">
    <w:name w:val="annotation reference"/>
    <w:basedOn w:val="DefaultParagraphFont"/>
    <w:uiPriority w:val="99"/>
    <w:semiHidden/>
    <w:unhideWhenUsed/>
    <w:rsid w:val="001B0EE4"/>
    <w:rPr>
      <w:sz w:val="16"/>
      <w:szCs w:val="16"/>
    </w:rPr>
  </w:style>
  <w:style w:type="paragraph" w:styleId="CommentText">
    <w:name w:val="annotation text"/>
    <w:basedOn w:val="Normal"/>
    <w:link w:val="CommentTextChar"/>
    <w:uiPriority w:val="99"/>
    <w:semiHidden/>
    <w:unhideWhenUsed/>
    <w:rsid w:val="001B0EE4"/>
    <w:pPr>
      <w:spacing w:line="240" w:lineRule="auto"/>
    </w:pPr>
    <w:rPr>
      <w:sz w:val="20"/>
      <w:szCs w:val="20"/>
    </w:rPr>
  </w:style>
  <w:style w:type="character" w:customStyle="1" w:styleId="CommentTextChar">
    <w:name w:val="Comment Text Char"/>
    <w:basedOn w:val="DefaultParagraphFont"/>
    <w:link w:val="CommentText"/>
    <w:uiPriority w:val="99"/>
    <w:semiHidden/>
    <w:rsid w:val="001B0EE4"/>
    <w:rPr>
      <w:sz w:val="20"/>
      <w:szCs w:val="20"/>
    </w:rPr>
  </w:style>
  <w:style w:type="paragraph" w:styleId="CommentSubject">
    <w:name w:val="annotation subject"/>
    <w:basedOn w:val="CommentText"/>
    <w:next w:val="CommentText"/>
    <w:link w:val="CommentSubjectChar"/>
    <w:uiPriority w:val="99"/>
    <w:semiHidden/>
    <w:unhideWhenUsed/>
    <w:rsid w:val="001B0EE4"/>
    <w:rPr>
      <w:b/>
      <w:bCs/>
    </w:rPr>
  </w:style>
  <w:style w:type="character" w:customStyle="1" w:styleId="CommentSubjectChar">
    <w:name w:val="Comment Subject Char"/>
    <w:basedOn w:val="CommentTextChar"/>
    <w:link w:val="CommentSubject"/>
    <w:uiPriority w:val="99"/>
    <w:semiHidden/>
    <w:rsid w:val="001B0EE4"/>
    <w:rPr>
      <w:b/>
      <w:bCs/>
      <w:sz w:val="20"/>
      <w:szCs w:val="20"/>
    </w:rPr>
  </w:style>
  <w:style w:type="paragraph" w:styleId="BalloonText">
    <w:name w:val="Balloon Text"/>
    <w:basedOn w:val="Normal"/>
    <w:link w:val="BalloonTextChar"/>
    <w:uiPriority w:val="99"/>
    <w:semiHidden/>
    <w:unhideWhenUsed/>
    <w:rsid w:val="001B0E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EE4"/>
    <w:rPr>
      <w:rFonts w:ascii="Segoe UI" w:hAnsi="Segoe UI" w:cs="Segoe UI"/>
      <w:sz w:val="18"/>
      <w:szCs w:val="18"/>
    </w:rPr>
  </w:style>
  <w:style w:type="paragraph" w:customStyle="1" w:styleId="Default">
    <w:name w:val="Default"/>
    <w:basedOn w:val="Normal"/>
    <w:rsid w:val="00217379"/>
    <w:pPr>
      <w:autoSpaceDE w:val="0"/>
      <w:autoSpaceDN w:val="0"/>
      <w:spacing w:after="0" w:line="240" w:lineRule="auto"/>
    </w:pPr>
    <w:rPr>
      <w:rFonts w:ascii="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05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0" ma:contentTypeDescription="Create a new document." ma:contentTypeScope="" ma:versionID="bcf8fd7f6146efdeaeeef97b143b215e">
  <xsd:schema xmlns:xsd="http://www.w3.org/2001/XMLSchema" xmlns:xs="http://www.w3.org/2001/XMLSchema" xmlns:p="http://schemas.microsoft.com/office/2006/metadata/properties" xmlns:ns3="360c65b0-1cc5-427a-8427-4bd291ec2a6a" targetNamespace="http://schemas.microsoft.com/office/2006/metadata/properties" ma:root="true" ma:fieldsID="3e535acd163066bd343dfe029fb0caf0" ns3:_="">
    <xsd:import namespace="360c65b0-1cc5-427a-8427-4bd291ec2a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4FA6C8-F0D6-4CA1-9A4B-86CE41FA078D}">
  <ds:schemaRef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documentManagement/types"/>
    <ds:schemaRef ds:uri="360c65b0-1cc5-427a-8427-4bd291ec2a6a"/>
    <ds:schemaRef ds:uri="http://www.w3.org/XML/1998/namespace"/>
    <ds:schemaRef ds:uri="http://schemas.microsoft.com/office/2006/metadata/properties"/>
  </ds:schemaRefs>
</ds:datastoreItem>
</file>

<file path=customXml/itemProps2.xml><?xml version="1.0" encoding="utf-8"?>
<ds:datastoreItem xmlns:ds="http://schemas.openxmlformats.org/officeDocument/2006/customXml" ds:itemID="{86B733BD-E7A2-4BAB-9AE0-9CDDC18CB350}">
  <ds:schemaRefs>
    <ds:schemaRef ds:uri="http://schemas.microsoft.com/sharepoint/v3/contenttype/forms"/>
  </ds:schemaRefs>
</ds:datastoreItem>
</file>

<file path=customXml/itemProps3.xml><?xml version="1.0" encoding="utf-8"?>
<ds:datastoreItem xmlns:ds="http://schemas.openxmlformats.org/officeDocument/2006/customXml" ds:itemID="{85D0E476-DA13-4629-9343-5EB2AD04F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4305</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Yeung, Raymond</dc:creator>
  <cp:keywords/>
  <dc:description/>
  <cp:lastModifiedBy>Marfleet, Patrick</cp:lastModifiedBy>
  <cp:revision>2</cp:revision>
  <dcterms:created xsi:type="dcterms:W3CDTF">2020-07-23T13:40:00Z</dcterms:created>
  <dcterms:modified xsi:type="dcterms:W3CDTF">2020-07-23T13:40:00Z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