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52"/>
        <w:tblW w:w="10893" w:type="dxa"/>
        <w:tblLayout w:type="fixed"/>
        <w:tblCellMar>
          <w:left w:w="54" w:type="dxa"/>
          <w:right w:w="54" w:type="dxa"/>
        </w:tblCellMar>
        <w:tblLook w:val="0000" w:firstRow="0" w:lastRow="0" w:firstColumn="0" w:lastColumn="0" w:noHBand="0" w:noVBand="0"/>
      </w:tblPr>
      <w:tblGrid>
        <w:gridCol w:w="1977"/>
        <w:gridCol w:w="502"/>
        <w:gridCol w:w="8286"/>
        <w:gridCol w:w="128"/>
      </w:tblGrid>
      <w:tr w:rsidR="00E338F6" w14:paraId="18BA5C2F" w14:textId="77777777" w:rsidTr="00992E5B">
        <w:trPr>
          <w:gridAfter w:val="1"/>
          <w:wAfter w:w="128" w:type="dxa"/>
        </w:trPr>
        <w:tc>
          <w:tcPr>
            <w:tcW w:w="1977" w:type="dxa"/>
            <w:tcBorders>
              <w:top w:val="single" w:sz="6" w:space="0" w:color="000000"/>
              <w:left w:val="single" w:sz="6" w:space="0" w:color="000000"/>
              <w:bottom w:val="single" w:sz="6" w:space="0" w:color="000000"/>
              <w:right w:val="single" w:sz="6" w:space="0" w:color="000000"/>
            </w:tcBorders>
          </w:tcPr>
          <w:p w14:paraId="379802F0" w14:textId="7780F312" w:rsidR="00E338F6" w:rsidRDefault="00E338F6" w:rsidP="00E338F6">
            <w:pPr>
              <w:autoSpaceDE w:val="0"/>
              <w:autoSpaceDN w:val="0"/>
              <w:adjustRightInd w:val="0"/>
              <w:spacing w:after="0" w:line="240" w:lineRule="auto"/>
              <w:rPr>
                <w:rFonts w:ascii="Arial" w:hAnsi="Arial" w:cs="Arial"/>
                <w:b/>
                <w:bCs/>
                <w:sz w:val="48"/>
                <w:szCs w:val="48"/>
              </w:rPr>
            </w:pPr>
            <w:r>
              <w:rPr>
                <w:rFonts w:ascii="Arial" w:hAnsi="Arial" w:cs="Arial"/>
                <w:b/>
                <w:bCs/>
                <w:sz w:val="48"/>
                <w:szCs w:val="48"/>
              </w:rPr>
              <w:t>LDC Report</w:t>
            </w:r>
          </w:p>
        </w:tc>
        <w:tc>
          <w:tcPr>
            <w:tcW w:w="8788" w:type="dxa"/>
            <w:gridSpan w:val="2"/>
            <w:tcBorders>
              <w:top w:val="single" w:sz="6" w:space="0" w:color="000000"/>
              <w:left w:val="single" w:sz="6" w:space="0" w:color="000000"/>
              <w:bottom w:val="single" w:sz="6" w:space="0" w:color="000000"/>
              <w:right w:val="single" w:sz="6" w:space="0" w:color="000000"/>
            </w:tcBorders>
          </w:tcPr>
          <w:p w14:paraId="5DB58BA0"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sidRPr="00E338F6">
              <w:rPr>
                <w:rFonts w:ascii="Times New Roman" w:hAnsi="Times New Roman" w:cs="Times New Roman"/>
                <w:sz w:val="20"/>
                <w:szCs w:val="20"/>
              </w:rPr>
              <w:t>23/04/2020</w:t>
            </w:r>
          </w:p>
        </w:tc>
      </w:tr>
      <w:tr w:rsidR="00E338F6" w14:paraId="6DE15B5D" w14:textId="77777777" w:rsidTr="005B4346">
        <w:tc>
          <w:tcPr>
            <w:tcW w:w="10765" w:type="dxa"/>
            <w:gridSpan w:val="3"/>
            <w:tcBorders>
              <w:top w:val="single" w:sz="6" w:space="0" w:color="000000"/>
              <w:left w:val="single" w:sz="6" w:space="0" w:color="000000"/>
              <w:bottom w:val="single" w:sz="6" w:space="0" w:color="000000"/>
              <w:right w:val="single" w:sz="6" w:space="0" w:color="000000"/>
            </w:tcBorders>
          </w:tcPr>
          <w:p w14:paraId="406F2F7F" w14:textId="77777777" w:rsidR="00E338F6" w:rsidRDefault="00E338F6" w:rsidP="00E338F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Officer</w:t>
            </w:r>
          </w:p>
        </w:tc>
        <w:tc>
          <w:tcPr>
            <w:tcW w:w="128" w:type="dxa"/>
            <w:tcBorders>
              <w:top w:val="single" w:sz="6" w:space="0" w:color="000000"/>
              <w:left w:val="single" w:sz="6" w:space="0" w:color="000000"/>
              <w:bottom w:val="single" w:sz="6" w:space="0" w:color="000000"/>
              <w:right w:val="single" w:sz="6" w:space="0" w:color="000000"/>
            </w:tcBorders>
          </w:tcPr>
          <w:p w14:paraId="047DEC5D"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p>
        </w:tc>
      </w:tr>
      <w:tr w:rsidR="00E338F6" w14:paraId="0ABEE52F" w14:textId="77777777" w:rsidTr="005B4346">
        <w:trPr>
          <w:gridAfter w:val="1"/>
          <w:wAfter w:w="128" w:type="dxa"/>
        </w:trPr>
        <w:tc>
          <w:tcPr>
            <w:tcW w:w="2479" w:type="dxa"/>
            <w:gridSpan w:val="2"/>
            <w:tcBorders>
              <w:top w:val="single" w:sz="6" w:space="0" w:color="000000"/>
              <w:left w:val="single" w:sz="6" w:space="0" w:color="000000"/>
              <w:bottom w:val="single" w:sz="6" w:space="0" w:color="000000"/>
              <w:right w:val="single" w:sz="6" w:space="0" w:color="000000"/>
            </w:tcBorders>
          </w:tcPr>
          <w:p w14:paraId="797AE5BC" w14:textId="77777777" w:rsidR="00E338F6" w:rsidRDefault="00E338F6" w:rsidP="00E338F6">
            <w:pPr>
              <w:autoSpaceDE w:val="0"/>
              <w:autoSpaceDN w:val="0"/>
              <w:adjustRightInd w:val="0"/>
              <w:spacing w:after="0" w:line="240" w:lineRule="auto"/>
              <w:rPr>
                <w:rFonts w:ascii="Arial" w:hAnsi="Arial" w:cs="Arial"/>
                <w:sz w:val="24"/>
                <w:szCs w:val="24"/>
              </w:rPr>
            </w:pPr>
            <w:r>
              <w:rPr>
                <w:rFonts w:ascii="Arial" w:hAnsi="Arial" w:cs="Arial"/>
                <w:sz w:val="24"/>
                <w:szCs w:val="24"/>
              </w:rPr>
              <w:t>Raymond Yeung</w:t>
            </w:r>
          </w:p>
        </w:tc>
        <w:tc>
          <w:tcPr>
            <w:tcW w:w="8286" w:type="dxa"/>
            <w:tcBorders>
              <w:top w:val="single" w:sz="6" w:space="0" w:color="000000"/>
              <w:left w:val="single" w:sz="6" w:space="0" w:color="000000"/>
              <w:bottom w:val="single" w:sz="6" w:space="0" w:color="000000"/>
              <w:right w:val="single" w:sz="6" w:space="0" w:color="000000"/>
            </w:tcBorders>
          </w:tcPr>
          <w:p w14:paraId="7ACC4D50"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sidRPr="00E338F6">
              <w:rPr>
                <w:rFonts w:ascii="Arial" w:hAnsi="Arial" w:cs="Arial"/>
                <w:sz w:val="24"/>
                <w:szCs w:val="24"/>
              </w:rPr>
              <w:t>2020/1800/P</w:t>
            </w:r>
            <w:r>
              <w:rPr>
                <w:rFonts w:ascii="Arial" w:hAnsi="Arial" w:cs="Arial"/>
                <w:sz w:val="24"/>
                <w:szCs w:val="24"/>
              </w:rPr>
              <w:br/>
            </w:r>
            <w:r>
              <w:rPr>
                <w:rFonts w:ascii="Arial" w:hAnsi="Arial" w:cs="Arial"/>
                <w:sz w:val="24"/>
                <w:szCs w:val="24"/>
              </w:rPr>
              <w:br/>
            </w:r>
          </w:p>
        </w:tc>
      </w:tr>
      <w:tr w:rsidR="00E338F6" w14:paraId="64A82696" w14:textId="77777777" w:rsidTr="005B4346">
        <w:trPr>
          <w:gridAfter w:val="1"/>
          <w:wAfter w:w="128" w:type="dxa"/>
        </w:trPr>
        <w:tc>
          <w:tcPr>
            <w:tcW w:w="2479" w:type="dxa"/>
            <w:gridSpan w:val="2"/>
            <w:tcBorders>
              <w:top w:val="single" w:sz="6" w:space="0" w:color="000000"/>
              <w:left w:val="single" w:sz="6" w:space="0" w:color="000000"/>
              <w:bottom w:val="single" w:sz="6" w:space="0" w:color="000000"/>
              <w:right w:val="single" w:sz="6" w:space="0" w:color="000000"/>
            </w:tcBorders>
          </w:tcPr>
          <w:p w14:paraId="586AFDEF" w14:textId="77777777" w:rsidR="00E338F6" w:rsidRDefault="00E338F6" w:rsidP="00E338F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Application Address</w:t>
            </w:r>
          </w:p>
        </w:tc>
        <w:tc>
          <w:tcPr>
            <w:tcW w:w="8286" w:type="dxa"/>
            <w:tcBorders>
              <w:top w:val="single" w:sz="6" w:space="0" w:color="000000"/>
              <w:left w:val="single" w:sz="6" w:space="0" w:color="000000"/>
              <w:bottom w:val="single" w:sz="6" w:space="0" w:color="000000"/>
              <w:right w:val="single" w:sz="6" w:space="0" w:color="000000"/>
            </w:tcBorders>
          </w:tcPr>
          <w:p w14:paraId="1B9CAD11"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Pr>
                <w:rFonts w:ascii="Arial" w:hAnsi="Arial" w:cs="Arial"/>
                <w:b/>
                <w:bCs/>
                <w:sz w:val="24"/>
                <w:szCs w:val="24"/>
              </w:rPr>
              <w:t xml:space="preserve">Recommendation </w:t>
            </w:r>
          </w:p>
        </w:tc>
      </w:tr>
      <w:tr w:rsidR="00E338F6" w14:paraId="641BBD48" w14:textId="77777777" w:rsidTr="005B4346">
        <w:trPr>
          <w:gridAfter w:val="1"/>
          <w:wAfter w:w="128" w:type="dxa"/>
        </w:trPr>
        <w:tc>
          <w:tcPr>
            <w:tcW w:w="2479" w:type="dxa"/>
            <w:gridSpan w:val="2"/>
            <w:tcBorders>
              <w:top w:val="single" w:sz="6" w:space="0" w:color="000000"/>
              <w:left w:val="single" w:sz="6" w:space="0" w:color="000000"/>
              <w:bottom w:val="single" w:sz="6" w:space="0" w:color="000000"/>
              <w:right w:val="single" w:sz="6" w:space="0" w:color="000000"/>
            </w:tcBorders>
          </w:tcPr>
          <w:p w14:paraId="21DD384A" w14:textId="77777777" w:rsidR="00E338F6" w:rsidRPr="00E338F6" w:rsidRDefault="00E338F6" w:rsidP="00E338F6">
            <w:pPr>
              <w:autoSpaceDE w:val="0"/>
              <w:autoSpaceDN w:val="0"/>
              <w:adjustRightInd w:val="0"/>
              <w:spacing w:after="0" w:line="240" w:lineRule="auto"/>
              <w:rPr>
                <w:rFonts w:ascii="Arial" w:hAnsi="Arial" w:cs="Arial"/>
                <w:sz w:val="24"/>
                <w:szCs w:val="24"/>
              </w:rPr>
            </w:pPr>
            <w:r w:rsidRPr="00E338F6">
              <w:rPr>
                <w:rFonts w:ascii="Arial" w:hAnsi="Arial" w:cs="Arial"/>
                <w:sz w:val="24"/>
                <w:szCs w:val="24"/>
              </w:rPr>
              <w:t>81 Avenue Road</w:t>
            </w:r>
          </w:p>
          <w:p w14:paraId="3EC522A9" w14:textId="77777777" w:rsidR="00E338F6" w:rsidRPr="00E338F6" w:rsidRDefault="00E338F6" w:rsidP="00E338F6">
            <w:pPr>
              <w:autoSpaceDE w:val="0"/>
              <w:autoSpaceDN w:val="0"/>
              <w:adjustRightInd w:val="0"/>
              <w:spacing w:after="0" w:line="240" w:lineRule="auto"/>
              <w:rPr>
                <w:rFonts w:ascii="Arial" w:hAnsi="Arial" w:cs="Arial"/>
                <w:sz w:val="24"/>
                <w:szCs w:val="24"/>
              </w:rPr>
            </w:pPr>
            <w:r w:rsidRPr="00E338F6">
              <w:rPr>
                <w:rFonts w:ascii="Arial" w:hAnsi="Arial" w:cs="Arial"/>
                <w:sz w:val="24"/>
                <w:szCs w:val="24"/>
              </w:rPr>
              <w:t>London</w:t>
            </w:r>
          </w:p>
          <w:p w14:paraId="2BCF7494" w14:textId="77777777" w:rsidR="00E338F6" w:rsidRDefault="00E338F6" w:rsidP="00E338F6">
            <w:pPr>
              <w:autoSpaceDE w:val="0"/>
              <w:autoSpaceDN w:val="0"/>
              <w:adjustRightInd w:val="0"/>
              <w:spacing w:after="0" w:line="240" w:lineRule="auto"/>
              <w:rPr>
                <w:rFonts w:ascii="Arial" w:hAnsi="Arial" w:cs="Arial"/>
                <w:sz w:val="24"/>
                <w:szCs w:val="24"/>
              </w:rPr>
            </w:pPr>
            <w:r w:rsidRPr="00E338F6">
              <w:rPr>
                <w:rFonts w:ascii="Arial" w:hAnsi="Arial" w:cs="Arial"/>
                <w:sz w:val="24"/>
                <w:szCs w:val="24"/>
              </w:rPr>
              <w:t>NW8 6JD</w:t>
            </w:r>
          </w:p>
        </w:tc>
        <w:tc>
          <w:tcPr>
            <w:tcW w:w="8286" w:type="dxa"/>
            <w:tcBorders>
              <w:top w:val="single" w:sz="6" w:space="0" w:color="000000"/>
              <w:left w:val="single" w:sz="6" w:space="0" w:color="000000"/>
              <w:bottom w:val="single" w:sz="6" w:space="0" w:color="000000"/>
              <w:right w:val="single" w:sz="6" w:space="0" w:color="000000"/>
            </w:tcBorders>
          </w:tcPr>
          <w:p w14:paraId="50B81AAC" w14:textId="77777777" w:rsidR="00E338F6" w:rsidRDefault="00E338F6" w:rsidP="00E338F6">
            <w:pPr>
              <w:autoSpaceDE w:val="0"/>
              <w:autoSpaceDN w:val="0"/>
              <w:adjustRightInd w:val="0"/>
              <w:spacing w:after="0" w:line="240" w:lineRule="auto"/>
              <w:rPr>
                <w:rFonts w:ascii="Arial" w:hAnsi="Arial" w:cs="Arial"/>
                <w:sz w:val="24"/>
                <w:szCs w:val="24"/>
              </w:rPr>
            </w:pPr>
          </w:p>
          <w:p w14:paraId="41E40835"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Pr>
                <w:rFonts w:ascii="Arial" w:hAnsi="Arial" w:cs="Arial"/>
                <w:sz w:val="24"/>
                <w:szCs w:val="24"/>
              </w:rPr>
              <w:t>Approve Certificate of Lawfulness</w:t>
            </w:r>
          </w:p>
        </w:tc>
      </w:tr>
      <w:tr w:rsidR="00E338F6" w14:paraId="6BF516A5" w14:textId="77777777" w:rsidTr="005B4346">
        <w:trPr>
          <w:gridAfter w:val="1"/>
          <w:wAfter w:w="128" w:type="dxa"/>
        </w:trPr>
        <w:tc>
          <w:tcPr>
            <w:tcW w:w="2479" w:type="dxa"/>
            <w:gridSpan w:val="2"/>
            <w:tcBorders>
              <w:top w:val="single" w:sz="6" w:space="0" w:color="000000"/>
              <w:left w:val="single" w:sz="6" w:space="0" w:color="000000"/>
              <w:bottom w:val="single" w:sz="6" w:space="0" w:color="000000"/>
              <w:right w:val="single" w:sz="6" w:space="0" w:color="000000"/>
            </w:tcBorders>
          </w:tcPr>
          <w:p w14:paraId="17395FCE" w14:textId="77777777" w:rsidR="00E338F6" w:rsidRDefault="00E338F6" w:rsidP="00E338F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Pr>
                <w:rFonts w:ascii="Arial" w:hAnsi="Arial" w:cs="Arial"/>
                <w:b/>
                <w:bCs/>
                <w:sz w:val="24"/>
                <w:szCs w:val="24"/>
                <w:vertAlign w:val="superscript"/>
              </w:rPr>
              <w:t>st</w:t>
            </w:r>
            <w:r>
              <w:rPr>
                <w:rFonts w:ascii="Arial" w:hAnsi="Arial" w:cs="Arial"/>
                <w:b/>
                <w:bCs/>
                <w:sz w:val="24"/>
                <w:szCs w:val="24"/>
              </w:rPr>
              <w:t xml:space="preserve"> Signature          </w:t>
            </w:r>
          </w:p>
        </w:tc>
        <w:tc>
          <w:tcPr>
            <w:tcW w:w="8286" w:type="dxa"/>
            <w:tcBorders>
              <w:top w:val="single" w:sz="6" w:space="0" w:color="000000"/>
              <w:left w:val="single" w:sz="6" w:space="0" w:color="000000"/>
              <w:bottom w:val="single" w:sz="6" w:space="0" w:color="000000"/>
              <w:right w:val="single" w:sz="6" w:space="0" w:color="000000"/>
            </w:tcBorders>
          </w:tcPr>
          <w:p w14:paraId="0F1D23DA"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Pr>
                <w:rFonts w:ascii="Arial" w:hAnsi="Arial" w:cs="Arial"/>
                <w:b/>
                <w:bCs/>
                <w:sz w:val="24"/>
                <w:szCs w:val="24"/>
              </w:rPr>
              <w:t>2</w:t>
            </w:r>
            <w:r>
              <w:rPr>
                <w:rFonts w:ascii="Arial" w:hAnsi="Arial" w:cs="Arial"/>
                <w:b/>
                <w:bCs/>
                <w:sz w:val="24"/>
                <w:szCs w:val="24"/>
                <w:vertAlign w:val="superscript"/>
              </w:rPr>
              <w:t>nd</w:t>
            </w:r>
            <w:r>
              <w:rPr>
                <w:rFonts w:ascii="Arial" w:hAnsi="Arial" w:cs="Arial"/>
                <w:b/>
                <w:bCs/>
                <w:sz w:val="24"/>
                <w:szCs w:val="24"/>
              </w:rPr>
              <w:t xml:space="preserve"> Signature (if refusal)</w:t>
            </w:r>
          </w:p>
        </w:tc>
      </w:tr>
      <w:tr w:rsidR="00E338F6" w14:paraId="028BFA78" w14:textId="77777777" w:rsidTr="005B4346">
        <w:trPr>
          <w:gridAfter w:val="1"/>
          <w:wAfter w:w="128" w:type="dxa"/>
        </w:trPr>
        <w:tc>
          <w:tcPr>
            <w:tcW w:w="2479" w:type="dxa"/>
            <w:gridSpan w:val="2"/>
            <w:tcBorders>
              <w:top w:val="single" w:sz="6" w:space="0" w:color="000000"/>
              <w:left w:val="single" w:sz="6" w:space="0" w:color="000000"/>
              <w:bottom w:val="single" w:sz="6" w:space="0" w:color="000000"/>
              <w:right w:val="single" w:sz="6" w:space="0" w:color="000000"/>
            </w:tcBorders>
          </w:tcPr>
          <w:p w14:paraId="3472977A" w14:textId="77777777" w:rsidR="00E338F6" w:rsidRDefault="00E338F6" w:rsidP="00E338F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tc>
        <w:tc>
          <w:tcPr>
            <w:tcW w:w="8286" w:type="dxa"/>
            <w:tcBorders>
              <w:top w:val="single" w:sz="6" w:space="0" w:color="000000"/>
              <w:left w:val="single" w:sz="6" w:space="0" w:color="000000"/>
              <w:bottom w:val="single" w:sz="6" w:space="0" w:color="000000"/>
              <w:right w:val="single" w:sz="6" w:space="0" w:color="000000"/>
            </w:tcBorders>
          </w:tcPr>
          <w:p w14:paraId="2B29ED93"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E338F6" w14:paraId="62910B3A" w14:textId="77777777" w:rsidTr="005B4346">
        <w:trPr>
          <w:gridAfter w:val="1"/>
          <w:wAfter w:w="128" w:type="dxa"/>
        </w:trPr>
        <w:tc>
          <w:tcPr>
            <w:tcW w:w="10765" w:type="dxa"/>
            <w:gridSpan w:val="3"/>
            <w:tcBorders>
              <w:top w:val="single" w:sz="6" w:space="0" w:color="000000"/>
              <w:left w:val="single" w:sz="6" w:space="0" w:color="000000"/>
              <w:bottom w:val="single" w:sz="6" w:space="0" w:color="000000"/>
              <w:right w:val="single" w:sz="6" w:space="0" w:color="000000"/>
            </w:tcBorders>
          </w:tcPr>
          <w:p w14:paraId="4F148DCF"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Pr>
                <w:rFonts w:ascii="Arial" w:hAnsi="Arial" w:cs="Arial"/>
                <w:b/>
                <w:bCs/>
                <w:sz w:val="24"/>
                <w:szCs w:val="24"/>
              </w:rPr>
              <w:t xml:space="preserve">Proposal  </w:t>
            </w:r>
          </w:p>
        </w:tc>
      </w:tr>
      <w:tr w:rsidR="00E338F6" w14:paraId="707FEDA1" w14:textId="77777777" w:rsidTr="005B4346">
        <w:trPr>
          <w:gridAfter w:val="1"/>
          <w:wAfter w:w="128" w:type="dxa"/>
        </w:trPr>
        <w:tc>
          <w:tcPr>
            <w:tcW w:w="10765" w:type="dxa"/>
            <w:gridSpan w:val="3"/>
            <w:tcBorders>
              <w:top w:val="single" w:sz="6" w:space="0" w:color="000000"/>
              <w:left w:val="single" w:sz="6" w:space="0" w:color="000000"/>
              <w:bottom w:val="single" w:sz="6" w:space="0" w:color="000000"/>
              <w:right w:val="single" w:sz="6" w:space="0" w:color="000000"/>
            </w:tcBorders>
          </w:tcPr>
          <w:p w14:paraId="7168966B" w14:textId="77777777" w:rsidR="00E338F6" w:rsidRDefault="00E338F6" w:rsidP="00E338F6">
            <w:pPr>
              <w:autoSpaceDE w:val="0"/>
              <w:autoSpaceDN w:val="0"/>
              <w:adjustRightInd w:val="0"/>
              <w:spacing w:after="0" w:line="240" w:lineRule="auto"/>
              <w:rPr>
                <w:rFonts w:ascii="Arial" w:hAnsi="Arial" w:cs="Arial"/>
                <w:sz w:val="24"/>
                <w:szCs w:val="24"/>
              </w:rPr>
            </w:pPr>
          </w:p>
          <w:p w14:paraId="545F8BB8"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sidRPr="00E338F6">
              <w:rPr>
                <w:rFonts w:ascii="Arial" w:hAnsi="Arial" w:cs="Arial"/>
                <w:sz w:val="24"/>
                <w:szCs w:val="24"/>
              </w:rPr>
              <w:t>Commencement of works in accordance with condition 1 (within three years from date of permission) of planning permission 2016/5197/P (Erection of a 3 storey, single family dwellinghouse (Class C3) with accommodation in the roof space and a basement beneath house and part of rear garden, following the demolition of the existing dwellinghouse) dated 13/04/2017.</w:t>
            </w:r>
          </w:p>
        </w:tc>
      </w:tr>
      <w:tr w:rsidR="00E338F6" w14:paraId="773D7CDC" w14:textId="77777777" w:rsidTr="005B4346">
        <w:trPr>
          <w:gridAfter w:val="1"/>
          <w:wAfter w:w="128" w:type="dxa"/>
        </w:trPr>
        <w:tc>
          <w:tcPr>
            <w:tcW w:w="10765" w:type="dxa"/>
            <w:gridSpan w:val="3"/>
            <w:tcBorders>
              <w:top w:val="single" w:sz="6" w:space="0" w:color="000000"/>
              <w:left w:val="single" w:sz="6" w:space="0" w:color="000000"/>
              <w:bottom w:val="single" w:sz="6" w:space="0" w:color="000000"/>
              <w:right w:val="single" w:sz="6" w:space="0" w:color="000000"/>
            </w:tcBorders>
          </w:tcPr>
          <w:p w14:paraId="76CC26E1" w14:textId="77777777" w:rsidR="00E338F6" w:rsidRDefault="00E338F6" w:rsidP="00E338F6">
            <w:pPr>
              <w:autoSpaceDE w:val="0"/>
              <w:autoSpaceDN w:val="0"/>
              <w:adjustRightInd w:val="0"/>
              <w:spacing w:after="0" w:line="240" w:lineRule="auto"/>
              <w:rPr>
                <w:rFonts w:ascii="Arial" w:hAnsi="Arial" w:cs="Arial"/>
                <w:b/>
                <w:bCs/>
                <w:sz w:val="24"/>
                <w:szCs w:val="24"/>
              </w:rPr>
            </w:pPr>
          </w:p>
          <w:p w14:paraId="10FC8D70" w14:textId="77777777" w:rsidR="00E338F6" w:rsidRDefault="00E338F6" w:rsidP="00E338F6">
            <w:pPr>
              <w:autoSpaceDE w:val="0"/>
              <w:autoSpaceDN w:val="0"/>
              <w:adjustRightInd w:val="0"/>
              <w:spacing w:after="0" w:line="240" w:lineRule="auto"/>
              <w:rPr>
                <w:rFonts w:ascii="Arial" w:hAnsi="Arial" w:cs="Arial"/>
                <w:sz w:val="24"/>
                <w:szCs w:val="24"/>
              </w:rPr>
            </w:pPr>
          </w:p>
          <w:p w14:paraId="43CAB35D" w14:textId="660B5BEF" w:rsidR="00E338F6" w:rsidRDefault="00E338F6" w:rsidP="00E338F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lawful development certificate has been submitted to establish the commencement /implementation </w:t>
            </w:r>
            <w:r w:rsidRPr="009232EA">
              <w:rPr>
                <w:rFonts w:ascii="Arial" w:hAnsi="Arial" w:cs="Arial"/>
                <w:sz w:val="24"/>
                <w:szCs w:val="24"/>
              </w:rPr>
              <w:t>in accordance with condition 1 (within three years from date of permission) of planning permission 2016/5197/P (Erection of a 3 storey, single family dwellinghouse (Class C3) with accommodation in the roof space and a basement beneath house and part of rear garden, following the demolition of the existing dwellinghouse) dated 13/04/2017.</w:t>
            </w:r>
            <w:r w:rsidR="00862A8E">
              <w:rPr>
                <w:rFonts w:ascii="Arial" w:hAnsi="Arial" w:cs="Arial"/>
                <w:sz w:val="24"/>
                <w:szCs w:val="24"/>
              </w:rPr>
              <w:t xml:space="preserve">  The permission expired on 13/04/2020.</w:t>
            </w:r>
          </w:p>
          <w:p w14:paraId="524FE108" w14:textId="77777777" w:rsidR="00E338F6" w:rsidRDefault="00E338F6" w:rsidP="00E338F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5D78DF79" w14:textId="77777777" w:rsidR="00E338F6" w:rsidRDefault="00E338F6" w:rsidP="00E338F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applicant is required to demonstrate, on balance of probability that material operation for the purposes of section 56(1) of the 1990 Act has been carried out. </w:t>
            </w:r>
          </w:p>
          <w:p w14:paraId="0122108F" w14:textId="77777777" w:rsidR="00E338F6" w:rsidRDefault="00E338F6" w:rsidP="00E338F6">
            <w:pPr>
              <w:autoSpaceDE w:val="0"/>
              <w:autoSpaceDN w:val="0"/>
              <w:adjustRightInd w:val="0"/>
              <w:spacing w:after="0" w:line="240" w:lineRule="auto"/>
              <w:rPr>
                <w:rFonts w:ascii="Arial" w:hAnsi="Arial" w:cs="Arial"/>
                <w:sz w:val="24"/>
                <w:szCs w:val="24"/>
              </w:rPr>
            </w:pPr>
          </w:p>
          <w:p w14:paraId="12E1EB22" w14:textId="77777777" w:rsidR="00E338F6" w:rsidRDefault="00E338F6" w:rsidP="00E338F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Applicant’s Evidence </w:t>
            </w:r>
          </w:p>
          <w:p w14:paraId="00063F23" w14:textId="77777777" w:rsidR="00E338F6" w:rsidRDefault="00E338F6" w:rsidP="00E338F6">
            <w:pPr>
              <w:autoSpaceDE w:val="0"/>
              <w:autoSpaceDN w:val="0"/>
              <w:adjustRightInd w:val="0"/>
              <w:spacing w:after="0" w:line="240" w:lineRule="auto"/>
              <w:rPr>
                <w:rFonts w:ascii="Arial" w:hAnsi="Arial" w:cs="Arial"/>
                <w:sz w:val="24"/>
                <w:szCs w:val="24"/>
              </w:rPr>
            </w:pPr>
          </w:p>
          <w:p w14:paraId="0AB0E125" w14:textId="77777777" w:rsidR="00E338F6" w:rsidRDefault="00E338F6" w:rsidP="00E338F6">
            <w:pPr>
              <w:autoSpaceDE w:val="0"/>
              <w:autoSpaceDN w:val="0"/>
              <w:adjustRightInd w:val="0"/>
              <w:spacing w:after="0" w:line="240" w:lineRule="auto"/>
              <w:rPr>
                <w:rFonts w:ascii="Arial" w:hAnsi="Arial" w:cs="Arial"/>
                <w:sz w:val="24"/>
                <w:szCs w:val="24"/>
              </w:rPr>
            </w:pPr>
            <w:r>
              <w:rPr>
                <w:rFonts w:ascii="Arial" w:hAnsi="Arial" w:cs="Arial"/>
                <w:sz w:val="24"/>
                <w:szCs w:val="24"/>
              </w:rPr>
              <w:t>The applicant has submitted the following information in support of the application, showing that the lift shaft has been built and therefore classifies that the proposal has been implemented:</w:t>
            </w:r>
          </w:p>
          <w:p w14:paraId="3EBA05D9" w14:textId="77777777" w:rsidR="00E338F6" w:rsidRDefault="00E338F6" w:rsidP="00E338F6">
            <w:pPr>
              <w:autoSpaceDE w:val="0"/>
              <w:autoSpaceDN w:val="0"/>
              <w:adjustRightInd w:val="0"/>
              <w:spacing w:after="0" w:line="240" w:lineRule="auto"/>
              <w:rPr>
                <w:rFonts w:ascii="Arial" w:hAnsi="Arial" w:cs="Arial"/>
                <w:sz w:val="24"/>
                <w:szCs w:val="24"/>
              </w:rPr>
            </w:pPr>
          </w:p>
          <w:p w14:paraId="017F2491" w14:textId="77777777" w:rsidR="00E338F6" w:rsidRPr="001F1F75" w:rsidRDefault="00E338F6" w:rsidP="00E338F6">
            <w:pPr>
              <w:pStyle w:val="ListParagraph"/>
              <w:numPr>
                <w:ilvl w:val="0"/>
                <w:numId w:val="2"/>
              </w:numPr>
              <w:tabs>
                <w:tab w:val="left" w:pos="360"/>
                <w:tab w:val="left" w:pos="720"/>
              </w:tabs>
              <w:autoSpaceDE w:val="0"/>
              <w:autoSpaceDN w:val="0"/>
              <w:adjustRightInd w:val="0"/>
              <w:spacing w:after="0" w:line="240" w:lineRule="auto"/>
              <w:rPr>
                <w:rFonts w:ascii="Arial" w:hAnsi="Arial" w:cs="Arial"/>
                <w:sz w:val="24"/>
                <w:szCs w:val="24"/>
              </w:rPr>
            </w:pPr>
            <w:r w:rsidRPr="001F1F75">
              <w:rPr>
                <w:rFonts w:ascii="Arial" w:hAnsi="Arial" w:cs="Arial"/>
                <w:sz w:val="24"/>
                <w:szCs w:val="24"/>
              </w:rPr>
              <w:t>Copy of decision notices for pre-commencement conditions</w:t>
            </w:r>
            <w:r w:rsidR="00062695">
              <w:rPr>
                <w:rFonts w:ascii="Arial" w:hAnsi="Arial" w:cs="Arial"/>
                <w:sz w:val="24"/>
                <w:szCs w:val="24"/>
              </w:rPr>
              <w:t xml:space="preserve"> 2020/0109/P,</w:t>
            </w:r>
            <w:r w:rsidRPr="001F1F75">
              <w:rPr>
                <w:rFonts w:ascii="Arial" w:hAnsi="Arial" w:cs="Arial"/>
                <w:sz w:val="24"/>
                <w:szCs w:val="24"/>
              </w:rPr>
              <w:t xml:space="preserve"> 2020/0138/P and  2020/0343/P; </w:t>
            </w:r>
          </w:p>
          <w:p w14:paraId="05AA865A" w14:textId="77777777" w:rsidR="00E338F6" w:rsidRDefault="00E338F6" w:rsidP="00E338F6">
            <w:pPr>
              <w:pStyle w:val="ListParagraph"/>
              <w:numPr>
                <w:ilvl w:val="0"/>
                <w:numId w:val="1"/>
              </w:numPr>
              <w:tabs>
                <w:tab w:val="left" w:pos="360"/>
                <w:tab w:val="left" w:pos="720"/>
              </w:tabs>
              <w:autoSpaceDE w:val="0"/>
              <w:autoSpaceDN w:val="0"/>
              <w:adjustRightInd w:val="0"/>
              <w:spacing w:after="0" w:line="240" w:lineRule="auto"/>
              <w:rPr>
                <w:rFonts w:ascii="Arial" w:hAnsi="Arial" w:cs="Arial"/>
                <w:sz w:val="24"/>
                <w:szCs w:val="24"/>
              </w:rPr>
            </w:pPr>
            <w:r w:rsidRPr="009232EA">
              <w:rPr>
                <w:rFonts w:ascii="Arial" w:hAnsi="Arial" w:cs="Arial"/>
                <w:sz w:val="24"/>
                <w:szCs w:val="24"/>
              </w:rPr>
              <w:t xml:space="preserve">Knightbuild - Planning Implementation Works (2 April 2020); </w:t>
            </w:r>
          </w:p>
          <w:p w14:paraId="79F0DC98" w14:textId="77777777" w:rsidR="00E338F6" w:rsidRDefault="00E338F6" w:rsidP="00E338F6">
            <w:pPr>
              <w:pStyle w:val="ListParagraph"/>
              <w:numPr>
                <w:ilvl w:val="0"/>
                <w:numId w:val="1"/>
              </w:numPr>
              <w:tabs>
                <w:tab w:val="left" w:pos="360"/>
                <w:tab w:val="left" w:pos="720"/>
              </w:tabs>
              <w:autoSpaceDE w:val="0"/>
              <w:autoSpaceDN w:val="0"/>
              <w:adjustRightInd w:val="0"/>
              <w:spacing w:after="0" w:line="240" w:lineRule="auto"/>
              <w:rPr>
                <w:rFonts w:ascii="Arial" w:hAnsi="Arial" w:cs="Arial"/>
                <w:sz w:val="24"/>
                <w:szCs w:val="24"/>
              </w:rPr>
            </w:pPr>
            <w:r w:rsidRPr="009232EA">
              <w:rPr>
                <w:rFonts w:ascii="Arial" w:hAnsi="Arial" w:cs="Arial"/>
                <w:sz w:val="24"/>
                <w:szCs w:val="24"/>
              </w:rPr>
              <w:t xml:space="preserve">Knightbuild - Site Set Up- ref.KB441-SK-800 R01;  </w:t>
            </w:r>
          </w:p>
          <w:p w14:paraId="284BBDDF" w14:textId="77777777" w:rsidR="00E338F6" w:rsidRDefault="00E338F6" w:rsidP="00E338F6">
            <w:pPr>
              <w:pStyle w:val="ListParagraph"/>
              <w:numPr>
                <w:ilvl w:val="0"/>
                <w:numId w:val="1"/>
              </w:numPr>
              <w:tabs>
                <w:tab w:val="left" w:pos="360"/>
                <w:tab w:val="left" w:pos="720"/>
              </w:tabs>
              <w:autoSpaceDE w:val="0"/>
              <w:autoSpaceDN w:val="0"/>
              <w:adjustRightInd w:val="0"/>
              <w:spacing w:after="0" w:line="240" w:lineRule="auto"/>
              <w:rPr>
                <w:rFonts w:ascii="Arial" w:hAnsi="Arial" w:cs="Arial"/>
                <w:sz w:val="24"/>
                <w:szCs w:val="24"/>
              </w:rPr>
            </w:pPr>
            <w:r w:rsidRPr="009232EA">
              <w:rPr>
                <w:rFonts w:ascii="Arial" w:hAnsi="Arial" w:cs="Arial"/>
                <w:sz w:val="24"/>
                <w:szCs w:val="24"/>
              </w:rPr>
              <w:t xml:space="preserve">Knightbuild - Section A-A - ref. KB441-SK-801 R01; </w:t>
            </w:r>
          </w:p>
          <w:p w14:paraId="7CBFD7F8" w14:textId="77777777" w:rsidR="00E338F6" w:rsidRDefault="00E338F6" w:rsidP="00E338F6">
            <w:pPr>
              <w:pStyle w:val="ListParagraph"/>
              <w:numPr>
                <w:ilvl w:val="0"/>
                <w:numId w:val="1"/>
              </w:numPr>
              <w:tabs>
                <w:tab w:val="left" w:pos="360"/>
                <w:tab w:val="left" w:pos="720"/>
              </w:tabs>
              <w:autoSpaceDE w:val="0"/>
              <w:autoSpaceDN w:val="0"/>
              <w:adjustRightInd w:val="0"/>
              <w:spacing w:after="0" w:line="240" w:lineRule="auto"/>
              <w:rPr>
                <w:rFonts w:ascii="Arial" w:hAnsi="Arial" w:cs="Arial"/>
                <w:sz w:val="24"/>
                <w:szCs w:val="24"/>
              </w:rPr>
            </w:pPr>
            <w:r w:rsidRPr="009232EA">
              <w:rPr>
                <w:rFonts w:ascii="Arial" w:hAnsi="Arial" w:cs="Arial"/>
                <w:sz w:val="24"/>
                <w:szCs w:val="24"/>
              </w:rPr>
              <w:t xml:space="preserve">Email confirmation for Knightbuild to proceed </w:t>
            </w:r>
            <w:r>
              <w:rPr>
                <w:rFonts w:ascii="Arial" w:hAnsi="Arial" w:cs="Arial"/>
                <w:sz w:val="24"/>
                <w:szCs w:val="24"/>
              </w:rPr>
              <w:t>with the works (7 April 2020);</w:t>
            </w:r>
          </w:p>
          <w:p w14:paraId="66CD3BA1" w14:textId="77777777" w:rsidR="00E338F6" w:rsidRDefault="00E338F6" w:rsidP="00E338F6">
            <w:pPr>
              <w:pStyle w:val="ListParagraph"/>
              <w:numPr>
                <w:ilvl w:val="0"/>
                <w:numId w:val="1"/>
              </w:numPr>
              <w:tabs>
                <w:tab w:val="left" w:pos="360"/>
                <w:tab w:val="left" w:pos="720"/>
              </w:tabs>
              <w:autoSpaceDE w:val="0"/>
              <w:autoSpaceDN w:val="0"/>
              <w:adjustRightInd w:val="0"/>
              <w:spacing w:after="0" w:line="240" w:lineRule="auto"/>
              <w:rPr>
                <w:rFonts w:ascii="Arial" w:hAnsi="Arial" w:cs="Arial"/>
                <w:sz w:val="24"/>
                <w:szCs w:val="24"/>
              </w:rPr>
            </w:pPr>
            <w:r w:rsidRPr="009232EA">
              <w:rPr>
                <w:rFonts w:ascii="Arial" w:hAnsi="Arial" w:cs="Arial"/>
                <w:sz w:val="24"/>
                <w:szCs w:val="24"/>
              </w:rPr>
              <w:t xml:space="preserve">The Royal Borough of Kensington and Chelsea - Site Inspection Report (15 April 2020); </w:t>
            </w:r>
          </w:p>
          <w:p w14:paraId="6A75771D" w14:textId="77777777" w:rsidR="00E338F6" w:rsidRDefault="00E338F6" w:rsidP="00E338F6">
            <w:pPr>
              <w:pStyle w:val="ListParagraph"/>
              <w:numPr>
                <w:ilvl w:val="0"/>
                <w:numId w:val="1"/>
              </w:numPr>
              <w:tabs>
                <w:tab w:val="left" w:pos="360"/>
                <w:tab w:val="left" w:pos="720"/>
              </w:tabs>
              <w:autoSpaceDE w:val="0"/>
              <w:autoSpaceDN w:val="0"/>
              <w:adjustRightInd w:val="0"/>
              <w:spacing w:after="0" w:line="240" w:lineRule="auto"/>
              <w:rPr>
                <w:rFonts w:ascii="Arial" w:hAnsi="Arial" w:cs="Arial"/>
                <w:sz w:val="24"/>
                <w:szCs w:val="24"/>
              </w:rPr>
            </w:pPr>
            <w:r w:rsidRPr="009232EA">
              <w:rPr>
                <w:rFonts w:ascii="Arial" w:hAnsi="Arial" w:cs="Arial"/>
                <w:sz w:val="24"/>
                <w:szCs w:val="24"/>
              </w:rPr>
              <w:t>Site photographs, dated 15 April 2020.</w:t>
            </w:r>
          </w:p>
          <w:p w14:paraId="37677564" w14:textId="77777777" w:rsidR="001C14F3" w:rsidRDefault="001C14F3" w:rsidP="001C14F3">
            <w:pPr>
              <w:pStyle w:val="ListParagraph"/>
              <w:numPr>
                <w:ilvl w:val="0"/>
                <w:numId w:val="1"/>
              </w:numPr>
              <w:tabs>
                <w:tab w:val="left" w:pos="360"/>
                <w:tab w:val="left" w:pos="720"/>
              </w:tabs>
              <w:autoSpaceDE w:val="0"/>
              <w:autoSpaceDN w:val="0"/>
              <w:adjustRightInd w:val="0"/>
              <w:spacing w:after="0" w:line="240" w:lineRule="auto"/>
              <w:rPr>
                <w:rFonts w:ascii="Arial" w:hAnsi="Arial" w:cs="Arial"/>
                <w:sz w:val="24"/>
                <w:szCs w:val="24"/>
              </w:rPr>
            </w:pPr>
            <w:r w:rsidRPr="001C14F3">
              <w:rPr>
                <w:rFonts w:ascii="Arial" w:hAnsi="Arial" w:cs="Arial"/>
                <w:sz w:val="24"/>
                <w:szCs w:val="24"/>
              </w:rPr>
              <w:t>CIL Com</w:t>
            </w:r>
            <w:r>
              <w:rPr>
                <w:rFonts w:ascii="Arial" w:hAnsi="Arial" w:cs="Arial"/>
                <w:sz w:val="24"/>
                <w:szCs w:val="24"/>
              </w:rPr>
              <w:t>mencement notice dated 7 April</w:t>
            </w:r>
          </w:p>
          <w:p w14:paraId="170F5FB6" w14:textId="77777777" w:rsidR="001C14F3" w:rsidRDefault="001C14F3" w:rsidP="001C14F3">
            <w:pPr>
              <w:pStyle w:val="ListParagraph"/>
              <w:numPr>
                <w:ilvl w:val="0"/>
                <w:numId w:val="1"/>
              </w:numPr>
              <w:tabs>
                <w:tab w:val="left" w:pos="360"/>
                <w:tab w:val="left" w:pos="720"/>
              </w:tabs>
              <w:autoSpaceDE w:val="0"/>
              <w:autoSpaceDN w:val="0"/>
              <w:adjustRightInd w:val="0"/>
              <w:spacing w:after="0" w:line="240" w:lineRule="auto"/>
              <w:rPr>
                <w:rFonts w:ascii="Arial" w:hAnsi="Arial" w:cs="Arial"/>
                <w:sz w:val="24"/>
                <w:szCs w:val="24"/>
              </w:rPr>
            </w:pPr>
            <w:r w:rsidRPr="001C14F3">
              <w:rPr>
                <w:rFonts w:ascii="Arial" w:hAnsi="Arial" w:cs="Arial"/>
                <w:sz w:val="24"/>
                <w:szCs w:val="24"/>
              </w:rPr>
              <w:t>CIL Dem</w:t>
            </w:r>
            <w:r>
              <w:rPr>
                <w:rFonts w:ascii="Arial" w:hAnsi="Arial" w:cs="Arial"/>
                <w:sz w:val="24"/>
                <w:szCs w:val="24"/>
              </w:rPr>
              <w:t>and Notice dated 20 March 2020</w:t>
            </w:r>
          </w:p>
          <w:p w14:paraId="43D78F8D" w14:textId="77777777" w:rsidR="001C14F3" w:rsidRDefault="001C14F3" w:rsidP="001C14F3">
            <w:pPr>
              <w:pStyle w:val="ListParagraph"/>
              <w:numPr>
                <w:ilvl w:val="0"/>
                <w:numId w:val="1"/>
              </w:num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Cover letter dated 18 June 2020</w:t>
            </w:r>
          </w:p>
          <w:p w14:paraId="3FAAE42C"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1A003E8F" w14:textId="77777777" w:rsidR="00134E8B" w:rsidRDefault="00134E8B" w:rsidP="00E338F6">
            <w:pPr>
              <w:tabs>
                <w:tab w:val="left" w:pos="360"/>
                <w:tab w:val="left" w:pos="720"/>
              </w:tabs>
              <w:autoSpaceDE w:val="0"/>
              <w:autoSpaceDN w:val="0"/>
              <w:adjustRightInd w:val="0"/>
              <w:spacing w:after="0" w:line="240" w:lineRule="auto"/>
              <w:rPr>
                <w:rFonts w:ascii="Arial" w:hAnsi="Arial" w:cs="Arial"/>
                <w:sz w:val="24"/>
                <w:szCs w:val="24"/>
              </w:rPr>
            </w:pPr>
          </w:p>
          <w:p w14:paraId="166CADDF" w14:textId="77777777" w:rsidR="00E338F6" w:rsidRPr="001F1F75" w:rsidRDefault="00E338F6" w:rsidP="00E338F6">
            <w:pPr>
              <w:tabs>
                <w:tab w:val="left" w:pos="360"/>
                <w:tab w:val="left" w:pos="720"/>
              </w:tabs>
              <w:autoSpaceDE w:val="0"/>
              <w:autoSpaceDN w:val="0"/>
              <w:adjustRightInd w:val="0"/>
              <w:spacing w:after="0" w:line="240" w:lineRule="auto"/>
              <w:rPr>
                <w:rFonts w:ascii="Arial" w:hAnsi="Arial" w:cs="Arial"/>
                <w:b/>
                <w:sz w:val="24"/>
                <w:szCs w:val="24"/>
              </w:rPr>
            </w:pPr>
            <w:r w:rsidRPr="001F1F75">
              <w:rPr>
                <w:rFonts w:ascii="Arial" w:hAnsi="Arial" w:cs="Arial"/>
                <w:b/>
                <w:sz w:val="24"/>
                <w:szCs w:val="24"/>
              </w:rPr>
              <w:t xml:space="preserve">Council’s evidence </w:t>
            </w:r>
          </w:p>
          <w:p w14:paraId="62570725"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3FBA0D0E" w14:textId="1BD30C6F" w:rsidR="00E338F6" w:rsidRDefault="001B0EE4"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T</w:t>
            </w:r>
            <w:r w:rsidR="00E338F6">
              <w:rPr>
                <w:rFonts w:ascii="Arial" w:hAnsi="Arial" w:cs="Arial"/>
                <w:sz w:val="24"/>
                <w:szCs w:val="24"/>
              </w:rPr>
              <w:t>he applicant has discharged all of the pre-commencement conditions</w:t>
            </w:r>
            <w:r w:rsidR="00992E5B">
              <w:rPr>
                <w:rFonts w:ascii="Arial" w:hAnsi="Arial" w:cs="Arial"/>
                <w:sz w:val="24"/>
                <w:szCs w:val="24"/>
              </w:rPr>
              <w:t xml:space="preserve"> under ref: 2020/013</w:t>
            </w:r>
            <w:r w:rsidR="00DF2FD7">
              <w:rPr>
                <w:rFonts w:ascii="Arial" w:hAnsi="Arial" w:cs="Arial"/>
                <w:sz w:val="24"/>
                <w:szCs w:val="24"/>
              </w:rPr>
              <w:t>8/P(Hard and soft landscaping)</w:t>
            </w:r>
            <w:r w:rsidR="00992E5B">
              <w:rPr>
                <w:rFonts w:ascii="Arial" w:hAnsi="Arial" w:cs="Arial"/>
                <w:sz w:val="24"/>
                <w:szCs w:val="24"/>
              </w:rPr>
              <w:t>, 2020/0343/P</w:t>
            </w:r>
            <w:r w:rsidR="00DF2FD7">
              <w:rPr>
                <w:rFonts w:ascii="Arial" w:hAnsi="Arial" w:cs="Arial"/>
                <w:sz w:val="24"/>
                <w:szCs w:val="24"/>
              </w:rPr>
              <w:t xml:space="preserve"> </w:t>
            </w:r>
            <w:r w:rsidR="00992E5B">
              <w:rPr>
                <w:rFonts w:ascii="Arial" w:hAnsi="Arial" w:cs="Arial"/>
                <w:sz w:val="24"/>
                <w:szCs w:val="24"/>
              </w:rPr>
              <w:t>(</w:t>
            </w:r>
            <w:r w:rsidR="00992E5B">
              <w:t xml:space="preserve"> </w:t>
            </w:r>
            <w:r w:rsidR="00992E5B" w:rsidRPr="00992E5B">
              <w:rPr>
                <w:rFonts w:ascii="Arial" w:hAnsi="Arial" w:cs="Arial"/>
                <w:sz w:val="24"/>
                <w:szCs w:val="24"/>
              </w:rPr>
              <w:t xml:space="preserve">Tree protection </w:t>
            </w:r>
            <w:r w:rsidR="00DF2FD7">
              <w:rPr>
                <w:rFonts w:ascii="Arial" w:hAnsi="Arial" w:cs="Arial"/>
                <w:sz w:val="24"/>
                <w:szCs w:val="24"/>
              </w:rPr>
              <w:t xml:space="preserve">) </w:t>
            </w:r>
            <w:r w:rsidR="00992E5B">
              <w:rPr>
                <w:rFonts w:ascii="Arial" w:hAnsi="Arial" w:cs="Arial"/>
                <w:sz w:val="24"/>
                <w:szCs w:val="24"/>
              </w:rPr>
              <w:t>and 2020/0109</w:t>
            </w:r>
            <w:r w:rsidR="00DF2FD7">
              <w:rPr>
                <w:rFonts w:ascii="Arial" w:hAnsi="Arial" w:cs="Arial"/>
                <w:sz w:val="24"/>
                <w:szCs w:val="24"/>
              </w:rPr>
              <w:t>/P (Professional qualifications</w:t>
            </w:r>
            <w:r w:rsidR="00992E5B">
              <w:rPr>
                <w:rFonts w:ascii="Arial" w:hAnsi="Arial" w:cs="Arial"/>
                <w:sz w:val="24"/>
                <w:szCs w:val="24"/>
              </w:rPr>
              <w:t xml:space="preserve">) </w:t>
            </w:r>
            <w:r>
              <w:rPr>
                <w:rFonts w:ascii="Arial" w:hAnsi="Arial" w:cs="Arial"/>
                <w:sz w:val="24"/>
                <w:szCs w:val="24"/>
              </w:rPr>
              <w:t>that required details to be agreed by the Council prior to commencement of any development</w:t>
            </w:r>
            <w:r w:rsidR="00C24CF7">
              <w:rPr>
                <w:rFonts w:ascii="Arial" w:hAnsi="Arial" w:cs="Arial"/>
                <w:sz w:val="24"/>
                <w:szCs w:val="24"/>
              </w:rPr>
              <w:t>,</w:t>
            </w:r>
            <w:r w:rsidR="00992E5B">
              <w:rPr>
                <w:rFonts w:ascii="Arial" w:hAnsi="Arial" w:cs="Arial"/>
                <w:sz w:val="24"/>
                <w:szCs w:val="24"/>
              </w:rPr>
              <w:t xml:space="preserve"> which were all approved</w:t>
            </w:r>
            <w:r w:rsidR="00C24CF7">
              <w:rPr>
                <w:rFonts w:ascii="Arial" w:hAnsi="Arial" w:cs="Arial"/>
                <w:sz w:val="24"/>
                <w:szCs w:val="24"/>
              </w:rPr>
              <w:t xml:space="preserve"> by the council</w:t>
            </w:r>
            <w:r>
              <w:rPr>
                <w:rFonts w:ascii="Arial" w:hAnsi="Arial" w:cs="Arial"/>
                <w:sz w:val="24"/>
                <w:szCs w:val="24"/>
              </w:rPr>
              <w:t>.</w:t>
            </w:r>
            <w:r w:rsidR="00E338F6">
              <w:rPr>
                <w:rFonts w:ascii="Arial" w:hAnsi="Arial" w:cs="Arial"/>
                <w:sz w:val="24"/>
                <w:szCs w:val="24"/>
              </w:rPr>
              <w:t xml:space="preserve"> </w:t>
            </w:r>
            <w:r>
              <w:rPr>
                <w:rFonts w:ascii="Arial" w:hAnsi="Arial" w:cs="Arial"/>
                <w:sz w:val="24"/>
                <w:szCs w:val="24"/>
              </w:rPr>
              <w:t xml:space="preserve">The </w:t>
            </w:r>
            <w:r w:rsidR="00E338F6">
              <w:rPr>
                <w:rFonts w:ascii="Arial" w:hAnsi="Arial" w:cs="Arial"/>
                <w:sz w:val="24"/>
                <w:szCs w:val="24"/>
              </w:rPr>
              <w:t xml:space="preserve">other conditions </w:t>
            </w:r>
            <w:r>
              <w:rPr>
                <w:rFonts w:ascii="Arial" w:hAnsi="Arial" w:cs="Arial"/>
                <w:sz w:val="24"/>
                <w:szCs w:val="24"/>
              </w:rPr>
              <w:t>require details to be submitted to the Council either</w:t>
            </w:r>
            <w:r w:rsidR="00E338F6">
              <w:rPr>
                <w:rFonts w:ascii="Arial" w:hAnsi="Arial" w:cs="Arial"/>
                <w:sz w:val="24"/>
                <w:szCs w:val="24"/>
              </w:rPr>
              <w:t xml:space="preserve"> prior to the relevant part of the works o</w:t>
            </w:r>
            <w:r>
              <w:rPr>
                <w:rFonts w:ascii="Arial" w:hAnsi="Arial" w:cs="Arial"/>
                <w:sz w:val="24"/>
                <w:szCs w:val="24"/>
              </w:rPr>
              <w:t>r</w:t>
            </w:r>
            <w:r w:rsidR="00E338F6">
              <w:rPr>
                <w:rFonts w:ascii="Arial" w:hAnsi="Arial" w:cs="Arial"/>
                <w:sz w:val="24"/>
                <w:szCs w:val="24"/>
              </w:rPr>
              <w:t xml:space="preserve"> prior to occupation/use.</w:t>
            </w:r>
          </w:p>
          <w:p w14:paraId="5F939A2A"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3C8E336C" w14:textId="7DF2CD98"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Building </w:t>
            </w:r>
            <w:r w:rsidR="001B0EE4">
              <w:rPr>
                <w:rFonts w:ascii="Arial" w:hAnsi="Arial" w:cs="Arial"/>
                <w:sz w:val="24"/>
                <w:szCs w:val="24"/>
              </w:rPr>
              <w:t>C</w:t>
            </w:r>
            <w:r>
              <w:rPr>
                <w:rFonts w:ascii="Arial" w:hAnsi="Arial" w:cs="Arial"/>
                <w:sz w:val="24"/>
                <w:szCs w:val="24"/>
              </w:rPr>
              <w:t xml:space="preserve">ontrol records state </w:t>
            </w:r>
            <w:r w:rsidR="00956CB5">
              <w:rPr>
                <w:rFonts w:ascii="Arial" w:hAnsi="Arial" w:cs="Arial"/>
                <w:sz w:val="24"/>
                <w:szCs w:val="24"/>
              </w:rPr>
              <w:t xml:space="preserve">that </w:t>
            </w:r>
            <w:r w:rsidR="00862A8E">
              <w:rPr>
                <w:rFonts w:ascii="Arial" w:hAnsi="Arial" w:cs="Arial"/>
                <w:sz w:val="24"/>
                <w:szCs w:val="24"/>
              </w:rPr>
              <w:t xml:space="preserve">works have </w:t>
            </w:r>
            <w:r w:rsidR="00DF2FD7">
              <w:rPr>
                <w:rFonts w:ascii="Arial" w:hAnsi="Arial" w:cs="Arial"/>
                <w:sz w:val="24"/>
                <w:szCs w:val="24"/>
              </w:rPr>
              <w:t xml:space="preserve">commencement under ref: </w:t>
            </w:r>
            <w:r w:rsidRPr="001F1F75">
              <w:rPr>
                <w:rFonts w:ascii="Arial" w:hAnsi="Arial" w:cs="Arial"/>
                <w:sz w:val="24"/>
                <w:szCs w:val="24"/>
              </w:rPr>
              <w:t>20/2L/02855</w:t>
            </w:r>
            <w:r w:rsidR="00956CB5">
              <w:rPr>
                <w:rFonts w:ascii="Arial" w:hAnsi="Arial" w:cs="Arial"/>
                <w:sz w:val="24"/>
                <w:szCs w:val="24"/>
              </w:rPr>
              <w:t xml:space="preserve"> </w:t>
            </w:r>
            <w:r w:rsidR="00DF2FD7">
              <w:rPr>
                <w:rFonts w:ascii="Arial" w:hAnsi="Arial" w:cs="Arial"/>
                <w:sz w:val="24"/>
                <w:szCs w:val="24"/>
              </w:rPr>
              <w:t xml:space="preserve">which </w:t>
            </w:r>
            <w:r w:rsidR="00956CB5">
              <w:rPr>
                <w:rFonts w:ascii="Arial" w:hAnsi="Arial" w:cs="Arial"/>
                <w:sz w:val="24"/>
                <w:szCs w:val="24"/>
              </w:rPr>
              <w:t xml:space="preserve">confirms that works have </w:t>
            </w:r>
            <w:r>
              <w:rPr>
                <w:rFonts w:ascii="Arial" w:hAnsi="Arial" w:cs="Arial"/>
                <w:sz w:val="24"/>
                <w:szCs w:val="24"/>
              </w:rPr>
              <w:t xml:space="preserve">‘Commenced’ </w:t>
            </w:r>
            <w:r w:rsidR="00956CB5">
              <w:rPr>
                <w:rFonts w:ascii="Arial" w:hAnsi="Arial" w:cs="Arial"/>
                <w:sz w:val="24"/>
                <w:szCs w:val="24"/>
              </w:rPr>
              <w:t>in relation to</w:t>
            </w:r>
            <w:r>
              <w:rPr>
                <w:rFonts w:ascii="Arial" w:hAnsi="Arial" w:cs="Arial"/>
                <w:sz w:val="24"/>
                <w:szCs w:val="24"/>
              </w:rPr>
              <w:t xml:space="preserve"> the works </w:t>
            </w:r>
            <w:r w:rsidR="00956CB5">
              <w:rPr>
                <w:rFonts w:ascii="Arial" w:hAnsi="Arial" w:cs="Arial"/>
                <w:sz w:val="24"/>
                <w:szCs w:val="24"/>
              </w:rPr>
              <w:t>that form part of the 2016 permission</w:t>
            </w:r>
            <w:r>
              <w:rPr>
                <w:rFonts w:ascii="Arial" w:hAnsi="Arial" w:cs="Arial"/>
                <w:sz w:val="24"/>
                <w:szCs w:val="24"/>
              </w:rPr>
              <w:t>.</w:t>
            </w:r>
          </w:p>
          <w:p w14:paraId="36577ADF" w14:textId="77777777" w:rsidR="001C14F3" w:rsidRDefault="001C14F3" w:rsidP="00E338F6">
            <w:pPr>
              <w:tabs>
                <w:tab w:val="left" w:pos="360"/>
                <w:tab w:val="left" w:pos="720"/>
              </w:tabs>
              <w:autoSpaceDE w:val="0"/>
              <w:autoSpaceDN w:val="0"/>
              <w:adjustRightInd w:val="0"/>
              <w:spacing w:after="0" w:line="240" w:lineRule="auto"/>
              <w:rPr>
                <w:rFonts w:ascii="Arial" w:hAnsi="Arial" w:cs="Arial"/>
                <w:sz w:val="24"/>
                <w:szCs w:val="24"/>
              </w:rPr>
            </w:pPr>
            <w:bookmarkStart w:id="0" w:name="_GoBack"/>
            <w:bookmarkEnd w:id="0"/>
          </w:p>
          <w:p w14:paraId="55117F2C" w14:textId="6BB855B7" w:rsidR="001C14F3" w:rsidRPr="001F1F75" w:rsidRDefault="001C14F3"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Camden Council issued a</w:t>
            </w:r>
            <w:r w:rsidR="00992E5B">
              <w:rPr>
                <w:rFonts w:ascii="Arial" w:hAnsi="Arial" w:cs="Arial"/>
                <w:sz w:val="24"/>
                <w:szCs w:val="24"/>
              </w:rPr>
              <w:t xml:space="preserve"> CIL</w:t>
            </w:r>
            <w:r>
              <w:rPr>
                <w:rFonts w:ascii="Arial" w:hAnsi="Arial" w:cs="Arial"/>
                <w:sz w:val="24"/>
                <w:szCs w:val="24"/>
              </w:rPr>
              <w:t xml:space="preserve"> demand notice dated 20 March 2020 </w:t>
            </w:r>
            <w:r w:rsidR="001B0EE4">
              <w:rPr>
                <w:rFonts w:ascii="Arial" w:hAnsi="Arial" w:cs="Arial"/>
                <w:sz w:val="24"/>
                <w:szCs w:val="24"/>
              </w:rPr>
              <w:t>following the receipt of</w:t>
            </w:r>
            <w:r>
              <w:rPr>
                <w:rFonts w:ascii="Arial" w:hAnsi="Arial" w:cs="Arial"/>
                <w:sz w:val="24"/>
                <w:szCs w:val="24"/>
              </w:rPr>
              <w:t xml:space="preserve"> </w:t>
            </w:r>
            <w:r w:rsidR="001B0EE4">
              <w:rPr>
                <w:rFonts w:ascii="Arial" w:hAnsi="Arial" w:cs="Arial"/>
                <w:sz w:val="24"/>
                <w:szCs w:val="24"/>
              </w:rPr>
              <w:t xml:space="preserve">a </w:t>
            </w:r>
            <w:r>
              <w:rPr>
                <w:rFonts w:ascii="Arial" w:hAnsi="Arial" w:cs="Arial"/>
                <w:sz w:val="24"/>
                <w:szCs w:val="24"/>
              </w:rPr>
              <w:t>notice of commencement</w:t>
            </w:r>
            <w:r w:rsidR="001B0EE4">
              <w:rPr>
                <w:rFonts w:ascii="Arial" w:hAnsi="Arial" w:cs="Arial"/>
                <w:sz w:val="24"/>
                <w:szCs w:val="24"/>
              </w:rPr>
              <w:t xml:space="preserve"> by the applicant</w:t>
            </w:r>
            <w:r>
              <w:rPr>
                <w:rFonts w:ascii="Arial" w:hAnsi="Arial" w:cs="Arial"/>
                <w:sz w:val="24"/>
                <w:szCs w:val="24"/>
              </w:rPr>
              <w:t>.</w:t>
            </w:r>
          </w:p>
          <w:p w14:paraId="1B48A3BD"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4CBE3A96" w14:textId="77777777" w:rsidR="00E338F6" w:rsidRDefault="00E338F6" w:rsidP="00E338F6">
            <w:pPr>
              <w:tabs>
                <w:tab w:val="left" w:pos="360"/>
                <w:tab w:val="left" w:pos="72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Assessment </w:t>
            </w:r>
          </w:p>
          <w:p w14:paraId="38DA7DC9"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31185413"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Secretary of State has advised local planning authorities that the burden of proof in applications for a Certificate of Lawfulness is firmly with the applicant (DOE Circular 10/97, Enforcing Planning Control: Legislative Provisions and Procedural Requirements, Annex 8, para 8.12). The relevant test is the “balance of probability”, and authorities are advised that if they have no evidence of their own to contradict or undermine the applicant’s version of events, there is no good reason to refuse the application provided the applicant’s evidence is sufficiently precise and unambiguous to justify the grant of a certificate. The planning merits of the use are not relevant to the consideration of an application for a certificate of lawfulness; purely legal issues are involved in determining an application. </w:t>
            </w:r>
          </w:p>
          <w:p w14:paraId="0D5E1E65"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6EC0B2B9"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The Council does not have any evidence to contradict or undermine the applicant’s version of events.</w:t>
            </w:r>
          </w:p>
          <w:p w14:paraId="71955F96"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0A80EB6A"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information provided by the applicant is deemed to be sufficiently precise and unambiguous to demonstrate that the development has commenced prior to the date mentioned above. </w:t>
            </w:r>
          </w:p>
          <w:p w14:paraId="0ED406F8"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771C1A2D" w14:textId="77777777" w:rsidR="00E338F6" w:rsidRP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Furthermore, the Council’s evidence does not contradict or undermine the applicant’s version of events.</w:t>
            </w:r>
          </w:p>
          <w:p w14:paraId="0C25387F" w14:textId="77777777" w:rsidR="00E338F6" w:rsidRDefault="00E338F6" w:rsidP="00E338F6">
            <w:pPr>
              <w:autoSpaceDE w:val="0"/>
              <w:autoSpaceDN w:val="0"/>
              <w:adjustRightInd w:val="0"/>
              <w:spacing w:after="0" w:line="240" w:lineRule="auto"/>
              <w:rPr>
                <w:rFonts w:ascii="Arial" w:hAnsi="Arial" w:cs="Arial"/>
                <w:b/>
                <w:bCs/>
                <w:sz w:val="24"/>
                <w:szCs w:val="24"/>
              </w:rPr>
            </w:pPr>
          </w:p>
          <w:p w14:paraId="0AF51544"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p>
        </w:tc>
      </w:tr>
      <w:tr w:rsidR="00E338F6" w14:paraId="556C932F" w14:textId="77777777" w:rsidTr="005B4346">
        <w:trPr>
          <w:gridAfter w:val="1"/>
          <w:wAfter w:w="128" w:type="dxa"/>
        </w:trPr>
        <w:tc>
          <w:tcPr>
            <w:tcW w:w="10765" w:type="dxa"/>
            <w:gridSpan w:val="3"/>
            <w:tcBorders>
              <w:top w:val="single" w:sz="6" w:space="0" w:color="000000"/>
              <w:left w:val="single" w:sz="6" w:space="0" w:color="000000"/>
              <w:bottom w:val="single" w:sz="6" w:space="0" w:color="000000"/>
              <w:right w:val="single" w:sz="6" w:space="0" w:color="000000"/>
            </w:tcBorders>
          </w:tcPr>
          <w:p w14:paraId="0CEBF5BE" w14:textId="77777777" w:rsidR="00E338F6" w:rsidRDefault="00E338F6" w:rsidP="00E338F6">
            <w:pPr>
              <w:autoSpaceDE w:val="0"/>
              <w:autoSpaceDN w:val="0"/>
              <w:adjustRightInd w:val="0"/>
              <w:spacing w:after="0" w:line="240" w:lineRule="auto"/>
              <w:rPr>
                <w:rFonts w:ascii="Arial" w:hAnsi="Arial" w:cs="Arial"/>
                <w:sz w:val="24"/>
                <w:szCs w:val="24"/>
              </w:rPr>
            </w:pPr>
          </w:p>
          <w:p w14:paraId="533F2A34"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3942DEDD" w14:textId="77777777" w:rsidR="00E338F6" w:rsidRDefault="00E338F6" w:rsidP="00E338F6">
            <w:pPr>
              <w:tabs>
                <w:tab w:val="left" w:pos="360"/>
                <w:tab w:val="left" w:pos="72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Recommendation: Approve</w:t>
            </w:r>
          </w:p>
        </w:tc>
      </w:tr>
    </w:tbl>
    <w:p w14:paraId="4157562E" w14:textId="77777777" w:rsidR="00C4512C" w:rsidRDefault="00C4512C"/>
    <w:sectPr w:rsidR="00C451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C310" w14:textId="77777777" w:rsidR="00E338F6" w:rsidRDefault="00E338F6" w:rsidP="00E338F6">
      <w:pPr>
        <w:spacing w:after="0" w:line="240" w:lineRule="auto"/>
      </w:pPr>
      <w:r>
        <w:separator/>
      </w:r>
    </w:p>
  </w:endnote>
  <w:endnote w:type="continuationSeparator" w:id="0">
    <w:p w14:paraId="2E462E82" w14:textId="77777777" w:rsidR="00E338F6" w:rsidRDefault="00E338F6" w:rsidP="00E3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2E2D2" w14:textId="77777777" w:rsidR="00E338F6" w:rsidRDefault="00E338F6" w:rsidP="00E338F6">
      <w:pPr>
        <w:spacing w:after="0" w:line="240" w:lineRule="auto"/>
      </w:pPr>
      <w:r>
        <w:separator/>
      </w:r>
    </w:p>
  </w:footnote>
  <w:footnote w:type="continuationSeparator" w:id="0">
    <w:p w14:paraId="40EA2811" w14:textId="77777777" w:rsidR="00E338F6" w:rsidRDefault="00E338F6" w:rsidP="00E33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E5E5F"/>
    <w:multiLevelType w:val="hybridMultilevel"/>
    <w:tmpl w:val="6340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897554"/>
    <w:multiLevelType w:val="hybridMultilevel"/>
    <w:tmpl w:val="B4F6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F6"/>
    <w:rsid w:val="00062695"/>
    <w:rsid w:val="00134E8B"/>
    <w:rsid w:val="001B0EE4"/>
    <w:rsid w:val="001C14F3"/>
    <w:rsid w:val="005B0C24"/>
    <w:rsid w:val="005B4346"/>
    <w:rsid w:val="005C3B61"/>
    <w:rsid w:val="00862A8E"/>
    <w:rsid w:val="00956CB5"/>
    <w:rsid w:val="00992E5B"/>
    <w:rsid w:val="00C24CF7"/>
    <w:rsid w:val="00C4512C"/>
    <w:rsid w:val="00DF2FD7"/>
    <w:rsid w:val="00E33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10CC"/>
  <w15:chartTrackingRefBased/>
  <w15:docId w15:val="{16C11CF4-5F8D-4B29-843B-CACA5426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8F6"/>
    <w:pPr>
      <w:ind w:left="720"/>
      <w:contextualSpacing/>
    </w:pPr>
  </w:style>
  <w:style w:type="character" w:styleId="CommentReference">
    <w:name w:val="annotation reference"/>
    <w:basedOn w:val="DefaultParagraphFont"/>
    <w:uiPriority w:val="99"/>
    <w:semiHidden/>
    <w:unhideWhenUsed/>
    <w:rsid w:val="001B0EE4"/>
    <w:rPr>
      <w:sz w:val="16"/>
      <w:szCs w:val="16"/>
    </w:rPr>
  </w:style>
  <w:style w:type="paragraph" w:styleId="CommentText">
    <w:name w:val="annotation text"/>
    <w:basedOn w:val="Normal"/>
    <w:link w:val="CommentTextChar"/>
    <w:uiPriority w:val="99"/>
    <w:semiHidden/>
    <w:unhideWhenUsed/>
    <w:rsid w:val="001B0EE4"/>
    <w:pPr>
      <w:spacing w:line="240" w:lineRule="auto"/>
    </w:pPr>
    <w:rPr>
      <w:sz w:val="20"/>
      <w:szCs w:val="20"/>
    </w:rPr>
  </w:style>
  <w:style w:type="character" w:customStyle="1" w:styleId="CommentTextChar">
    <w:name w:val="Comment Text Char"/>
    <w:basedOn w:val="DefaultParagraphFont"/>
    <w:link w:val="CommentText"/>
    <w:uiPriority w:val="99"/>
    <w:semiHidden/>
    <w:rsid w:val="001B0EE4"/>
    <w:rPr>
      <w:sz w:val="20"/>
      <w:szCs w:val="20"/>
    </w:rPr>
  </w:style>
  <w:style w:type="paragraph" w:styleId="CommentSubject">
    <w:name w:val="annotation subject"/>
    <w:basedOn w:val="CommentText"/>
    <w:next w:val="CommentText"/>
    <w:link w:val="CommentSubjectChar"/>
    <w:uiPriority w:val="99"/>
    <w:semiHidden/>
    <w:unhideWhenUsed/>
    <w:rsid w:val="001B0EE4"/>
    <w:rPr>
      <w:b/>
      <w:bCs/>
    </w:rPr>
  </w:style>
  <w:style w:type="character" w:customStyle="1" w:styleId="CommentSubjectChar">
    <w:name w:val="Comment Subject Char"/>
    <w:basedOn w:val="CommentTextChar"/>
    <w:link w:val="CommentSubject"/>
    <w:uiPriority w:val="99"/>
    <w:semiHidden/>
    <w:rsid w:val="001B0EE4"/>
    <w:rPr>
      <w:b/>
      <w:bCs/>
      <w:sz w:val="20"/>
      <w:szCs w:val="20"/>
    </w:rPr>
  </w:style>
  <w:style w:type="paragraph" w:styleId="BalloonText">
    <w:name w:val="Balloon Text"/>
    <w:basedOn w:val="Normal"/>
    <w:link w:val="BalloonTextChar"/>
    <w:uiPriority w:val="99"/>
    <w:semiHidden/>
    <w:unhideWhenUsed/>
    <w:rsid w:val="001B0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7196d37ccc166b8407bcefa010ccf51">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dc29e6e8eaa24d0d1982427b55945f4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733BD-E7A2-4BAB-9AE0-9CDDC18CB350}">
  <ds:schemaRefs>
    <ds:schemaRef ds:uri="http://schemas.microsoft.com/sharepoint/v3/contenttype/forms"/>
  </ds:schemaRefs>
</ds:datastoreItem>
</file>

<file path=customXml/itemProps2.xml><?xml version="1.0" encoding="utf-8"?>
<ds:datastoreItem xmlns:ds="http://schemas.openxmlformats.org/officeDocument/2006/customXml" ds:itemID="{40B9D7C0-8414-44D4-9D87-0CB2094B7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FA6C8-F0D6-4CA1-9A4B-86CE41FA078D}">
  <ds:schemaRefs>
    <ds:schemaRef ds:uri="1848a915-f24d-4e68-9840-56e7bc0b9b3f"/>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360c65b0-1cc5-427a-8427-4bd291ec2a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Yeung, Raymond</dc:creator>
  <cp:keywords/>
  <dc:description/>
  <cp:lastModifiedBy>Quigley, Elaine</cp:lastModifiedBy>
  <cp:revision>2</cp:revision>
  <dcterms:created xsi:type="dcterms:W3CDTF">2020-07-10T15:52:00Z</dcterms:created>
  <dcterms:modified xsi:type="dcterms:W3CDTF">2020-07-10T15:52:00Z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