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0FCC" w14:textId="202B856D" w:rsidR="00145A01" w:rsidRDefault="00990337" w:rsidP="00145A01">
      <w:pPr>
        <w:autoSpaceDE w:val="0"/>
        <w:autoSpaceDN w:val="0"/>
        <w:adjustRightInd w:val="0"/>
        <w:rPr>
          <w:rFonts w:cs="Arial"/>
          <w:b/>
          <w:color w:val="595959" w:themeColor="text1" w:themeTint="A6"/>
          <w:sz w:val="20"/>
          <w:szCs w:val="20"/>
        </w:rPr>
      </w:pPr>
      <w:r>
        <w:rPr>
          <w:rFonts w:cs="Arial"/>
          <w:b/>
          <w:color w:val="595959" w:themeColor="text1" w:themeTint="A6"/>
          <w:sz w:val="20"/>
          <w:szCs w:val="20"/>
        </w:rPr>
        <w:t>H</w:t>
      </w:r>
      <w:bookmarkStart w:id="0" w:name="_GoBack"/>
      <w:bookmarkEnd w:id="0"/>
      <w:r w:rsidR="00145A01" w:rsidRPr="00BF2574">
        <w:rPr>
          <w:rFonts w:cs="Arial"/>
          <w:b/>
          <w:color w:val="595959" w:themeColor="text1" w:themeTint="A6"/>
          <w:sz w:val="20"/>
          <w:szCs w:val="20"/>
        </w:rPr>
        <w:t xml:space="preserve">EALTH AND MOBILE PHONE BASE STATIONS         </w:t>
      </w:r>
    </w:p>
    <w:p w14:paraId="53D3E1DF"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 xml:space="preserve">                                    </w:t>
      </w:r>
    </w:p>
    <w:p w14:paraId="028CFCE9"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We recognise that the growth in mobile </w:t>
      </w:r>
      <w:r>
        <w:rPr>
          <w:rFonts w:cs="Arial"/>
          <w:color w:val="595959" w:themeColor="text1" w:themeTint="A6"/>
          <w:sz w:val="20"/>
          <w:szCs w:val="20"/>
        </w:rPr>
        <w:t>communication</w:t>
      </w:r>
      <w:r w:rsidRPr="00BF2574">
        <w:rPr>
          <w:rFonts w:cs="Arial"/>
          <w:color w:val="595959" w:themeColor="text1" w:themeTint="A6"/>
          <w:sz w:val="20"/>
          <w:szCs w:val="20"/>
        </w:rPr>
        <w:t xml:space="preserve"> has led, in some cases, to public concern about perceived health effects of</w:t>
      </w:r>
      <w:r>
        <w:rPr>
          <w:rFonts w:cs="Arial"/>
          <w:color w:val="595959" w:themeColor="text1" w:themeTint="A6"/>
          <w:sz w:val="20"/>
          <w:szCs w:val="20"/>
        </w:rPr>
        <w:t xml:space="preserve"> mobile technology</w:t>
      </w:r>
      <w:r w:rsidRPr="00BF2574">
        <w:rPr>
          <w:rFonts w:cs="Arial"/>
          <w:color w:val="595959" w:themeColor="text1" w:themeTint="A6"/>
          <w:sz w:val="20"/>
          <w:szCs w:val="20"/>
        </w:rPr>
        <w:t xml:space="preserve">, in particular about siting masts close to local communities. Quite naturally, the public seeks reassurance that masts are not in any way harmful or dangerous.  </w:t>
      </w:r>
    </w:p>
    <w:p w14:paraId="75CF2266" w14:textId="77777777" w:rsidR="00145A01" w:rsidRPr="00BF2574" w:rsidRDefault="00145A01" w:rsidP="00145A01">
      <w:pPr>
        <w:autoSpaceDE w:val="0"/>
        <w:autoSpaceDN w:val="0"/>
        <w:adjustRightInd w:val="0"/>
        <w:rPr>
          <w:rFonts w:cs="Arial"/>
          <w:color w:val="595959" w:themeColor="text1" w:themeTint="A6"/>
          <w:sz w:val="20"/>
          <w:szCs w:val="20"/>
        </w:rPr>
      </w:pPr>
    </w:p>
    <w:p w14:paraId="2667A642"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We are committed to providing the latest independent peer-reviewed research findings, information, advice and guidance from national and international agencies on radiofrequency (RF) electromagnetic fields. </w:t>
      </w:r>
    </w:p>
    <w:p w14:paraId="7161FE7A" w14:textId="77777777" w:rsidR="00145A01" w:rsidRPr="00BF2574" w:rsidRDefault="00145A01" w:rsidP="00145A01">
      <w:pPr>
        <w:autoSpaceDE w:val="0"/>
        <w:autoSpaceDN w:val="0"/>
        <w:adjustRightInd w:val="0"/>
        <w:rPr>
          <w:rFonts w:cs="Arial"/>
          <w:color w:val="595959" w:themeColor="text1" w:themeTint="A6"/>
          <w:sz w:val="20"/>
          <w:szCs w:val="20"/>
        </w:rPr>
      </w:pPr>
    </w:p>
    <w:p w14:paraId="576C799E" w14:textId="2C1AF7F8" w:rsidR="00145A01" w:rsidRPr="00BF2574" w:rsidRDefault="00145A01" w:rsidP="00145A01">
      <w:pPr>
        <w:autoSpaceDE w:val="0"/>
        <w:autoSpaceDN w:val="0"/>
        <w:adjustRightInd w:val="0"/>
        <w:jc w:val="both"/>
        <w:rPr>
          <w:rFonts w:cs="Arial"/>
          <w:color w:val="595959" w:themeColor="text1" w:themeTint="A6"/>
          <w:sz w:val="20"/>
          <w:szCs w:val="20"/>
        </w:rPr>
      </w:pPr>
      <w:r>
        <w:rPr>
          <w:rFonts w:cs="Arial"/>
          <w:color w:val="595959" w:themeColor="text1" w:themeTint="A6"/>
          <w:sz w:val="20"/>
          <w:szCs w:val="20"/>
        </w:rPr>
        <w:t>Cornerstone</w:t>
      </w:r>
      <w:r w:rsidRPr="00BF2574">
        <w:rPr>
          <w:rFonts w:cs="Arial"/>
          <w:color w:val="595959" w:themeColor="text1" w:themeTint="A6"/>
          <w:sz w:val="20"/>
          <w:szCs w:val="20"/>
        </w:rPr>
        <w:t xml:space="preserve"> ensure that our radio base stations are designed</w:t>
      </w:r>
      <w:r w:rsidR="001A74A2">
        <w:rPr>
          <w:rFonts w:cs="Arial"/>
          <w:color w:val="595959" w:themeColor="text1" w:themeTint="A6"/>
          <w:sz w:val="20"/>
          <w:szCs w:val="20"/>
        </w:rPr>
        <w:t xml:space="preserve"> and</w:t>
      </w:r>
      <w:r w:rsidRPr="00BF2574">
        <w:rPr>
          <w:rFonts w:cs="Arial"/>
          <w:color w:val="595959" w:themeColor="text1" w:themeTint="A6"/>
          <w:sz w:val="20"/>
          <w:szCs w:val="20"/>
        </w:rPr>
        <w:t xml:space="preserve">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7782806E" w14:textId="77777777" w:rsidR="00145A01" w:rsidRPr="00BF2574" w:rsidRDefault="00145A01" w:rsidP="00145A01">
      <w:pPr>
        <w:autoSpaceDE w:val="0"/>
        <w:autoSpaceDN w:val="0"/>
        <w:adjustRightInd w:val="0"/>
        <w:rPr>
          <w:rFonts w:cs="Arial"/>
          <w:color w:val="595959" w:themeColor="text1" w:themeTint="A6"/>
          <w:sz w:val="20"/>
          <w:szCs w:val="20"/>
        </w:rPr>
      </w:pPr>
    </w:p>
    <w:p w14:paraId="6485FA96"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R</w:t>
      </w:r>
      <w:r>
        <w:rPr>
          <w:rFonts w:cs="Arial"/>
          <w:b/>
          <w:color w:val="595959" w:themeColor="text1" w:themeTint="A6"/>
          <w:sz w:val="20"/>
          <w:szCs w:val="20"/>
        </w:rPr>
        <w:t>ESEARCH REVIEWS</w:t>
      </w:r>
    </w:p>
    <w:p w14:paraId="02EB4BCD" w14:textId="77777777" w:rsidR="00145A01" w:rsidRDefault="00145A01" w:rsidP="00145A01">
      <w:pPr>
        <w:autoSpaceDE w:val="0"/>
        <w:autoSpaceDN w:val="0"/>
        <w:adjustRightInd w:val="0"/>
        <w:rPr>
          <w:rFonts w:cs="Arial"/>
          <w:color w:val="595959" w:themeColor="text1" w:themeTint="A6"/>
          <w:sz w:val="20"/>
          <w:szCs w:val="20"/>
        </w:rPr>
      </w:pPr>
    </w:p>
    <w:p w14:paraId="17C79BE4"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w:t>
      </w:r>
      <w:r>
        <w:rPr>
          <w:rFonts w:cs="Arial"/>
          <w:color w:val="595959" w:themeColor="text1" w:themeTint="A6"/>
          <w:sz w:val="20"/>
          <w:szCs w:val="20"/>
        </w:rPr>
        <w:t xml:space="preserve">: </w:t>
      </w:r>
    </w:p>
    <w:p w14:paraId="5FB437F2"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w:t>
      </w:r>
      <w:hyperlink r:id="rId10" w:history="1">
        <w:r w:rsidRPr="00BF2574">
          <w:rPr>
            <w:rFonts w:cs="Arial"/>
            <w:color w:val="595959" w:themeColor="text1" w:themeTint="A6"/>
            <w:sz w:val="20"/>
            <w:szCs w:val="20"/>
          </w:rPr>
          <w:t>http://www.who.int/peh-emf/about/WhatisEMF/en/index1.html</w:t>
        </w:r>
      </w:hyperlink>
      <w:r w:rsidRPr="00BF2574">
        <w:rPr>
          <w:rFonts w:cs="Arial"/>
          <w:color w:val="595959" w:themeColor="text1" w:themeTint="A6"/>
          <w:sz w:val="20"/>
          <w:szCs w:val="20"/>
        </w:rPr>
        <w:t xml:space="preserve">). </w:t>
      </w:r>
    </w:p>
    <w:p w14:paraId="1FD31FA6" w14:textId="77777777" w:rsidR="00145A01" w:rsidRDefault="00145A01" w:rsidP="00145A01">
      <w:pPr>
        <w:autoSpaceDE w:val="0"/>
        <w:autoSpaceDN w:val="0"/>
        <w:adjustRightInd w:val="0"/>
        <w:jc w:val="both"/>
        <w:rPr>
          <w:rFonts w:cs="Arial"/>
          <w:color w:val="595959" w:themeColor="text1" w:themeTint="A6"/>
          <w:sz w:val="20"/>
          <w:szCs w:val="20"/>
        </w:rPr>
      </w:pPr>
    </w:p>
    <w:p w14:paraId="0171E9E4"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scientific community have collated, summarised and assessed these publications into research reviews. The most influential in the UK being the Mobile Phones and Health Report (also known as the Stewart Report)</w:t>
      </w:r>
      <w:r>
        <w:rPr>
          <w:rFonts w:cs="Arial"/>
          <w:color w:val="595959" w:themeColor="text1" w:themeTint="A6"/>
          <w:sz w:val="20"/>
          <w:szCs w:val="20"/>
        </w:rPr>
        <w:t>.</w:t>
      </w:r>
      <w:r w:rsidRPr="00BF2574">
        <w:rPr>
          <w:rFonts w:cs="Arial"/>
          <w:color w:val="595959" w:themeColor="text1" w:themeTint="A6"/>
          <w:sz w:val="20"/>
          <w:szCs w:val="20"/>
        </w:rPr>
        <w:t xml:space="preserve"> These research reviews are used by Governments to develop policy on exposure to radiofrequency signals.</w:t>
      </w:r>
    </w:p>
    <w:p w14:paraId="0A26875B" w14:textId="77777777" w:rsidR="00145A01" w:rsidRPr="00BF2574" w:rsidRDefault="00145A01" w:rsidP="00145A01">
      <w:pPr>
        <w:autoSpaceDE w:val="0"/>
        <w:autoSpaceDN w:val="0"/>
        <w:adjustRightInd w:val="0"/>
        <w:rPr>
          <w:rFonts w:cs="Arial"/>
          <w:color w:val="595959" w:themeColor="text1" w:themeTint="A6"/>
          <w:sz w:val="20"/>
          <w:szCs w:val="20"/>
        </w:rPr>
      </w:pPr>
    </w:p>
    <w:p w14:paraId="03235208"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7D0E9CB6" w14:textId="77777777" w:rsidR="00145A01" w:rsidRDefault="00145A01" w:rsidP="00145A01">
      <w:pPr>
        <w:autoSpaceDE w:val="0"/>
        <w:autoSpaceDN w:val="0"/>
        <w:adjustRightInd w:val="0"/>
        <w:rPr>
          <w:rFonts w:cs="Arial"/>
          <w:color w:val="595959" w:themeColor="text1" w:themeTint="A6"/>
          <w:sz w:val="20"/>
          <w:szCs w:val="20"/>
        </w:rPr>
      </w:pPr>
    </w:p>
    <w:p w14:paraId="349EE33A"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Since the Stewart Report, over 30 further reviews have been carried out, carefully considering many hundreds of pieces of research. Most have made similar recommendations and have come to </w:t>
      </w:r>
      <w:r>
        <w:rPr>
          <w:rFonts w:cs="Arial"/>
          <w:color w:val="595959" w:themeColor="text1" w:themeTint="A6"/>
          <w:sz w:val="20"/>
          <w:szCs w:val="20"/>
        </w:rPr>
        <w:t xml:space="preserve">comparable </w:t>
      </w:r>
      <w:r w:rsidRPr="00BF2574">
        <w:rPr>
          <w:rFonts w:cs="Arial"/>
          <w:color w:val="595959" w:themeColor="text1" w:themeTint="A6"/>
          <w:sz w:val="20"/>
          <w:szCs w:val="20"/>
        </w:rPr>
        <w:t xml:space="preserve">conclusions: that research should continue to address any gaps in the knowledge and that overall, the possibility of adverse health effects from mobile communications remains unproven.    </w:t>
      </w:r>
    </w:p>
    <w:p w14:paraId="4E7FE6A3" w14:textId="77777777" w:rsidR="00145A01" w:rsidRDefault="00145A01" w:rsidP="00145A01">
      <w:pPr>
        <w:autoSpaceDE w:val="0"/>
        <w:autoSpaceDN w:val="0"/>
        <w:adjustRightInd w:val="0"/>
        <w:rPr>
          <w:rFonts w:cs="Arial"/>
          <w:color w:val="595959" w:themeColor="text1" w:themeTint="A6"/>
          <w:sz w:val="20"/>
          <w:szCs w:val="20"/>
        </w:rPr>
      </w:pPr>
    </w:p>
    <w:p w14:paraId="1BBFC865"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In April 2012 the Health Protection Agency’s independent Advisory Group on Non-ionising Radiation (AGNIR) published a report entitled “Health Effects from Radiofrequency Electromagnetic Fields”.  This report concluded that there is no convincing evidence that mobile phone technologies cause adverse effects on human health.  </w:t>
      </w:r>
    </w:p>
    <w:p w14:paraId="2777819E" w14:textId="77777777" w:rsidR="00145A01" w:rsidRDefault="00145A01" w:rsidP="00145A01">
      <w:pPr>
        <w:autoSpaceDE w:val="0"/>
        <w:autoSpaceDN w:val="0"/>
        <w:adjustRightInd w:val="0"/>
        <w:rPr>
          <w:rFonts w:cs="Arial"/>
          <w:color w:val="595959" w:themeColor="text1" w:themeTint="A6"/>
          <w:sz w:val="20"/>
          <w:szCs w:val="20"/>
        </w:rPr>
      </w:pPr>
    </w:p>
    <w:p w14:paraId="2EB44358"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5488629B" w14:textId="77777777" w:rsidR="00145A01" w:rsidRDefault="00145A01" w:rsidP="00145A01">
      <w:pPr>
        <w:autoSpaceDE w:val="0"/>
        <w:autoSpaceDN w:val="0"/>
        <w:adjustRightInd w:val="0"/>
        <w:jc w:val="both"/>
        <w:rPr>
          <w:rFonts w:cs="Arial"/>
          <w:color w:val="595959" w:themeColor="text1" w:themeTint="A6"/>
          <w:sz w:val="20"/>
          <w:szCs w:val="20"/>
        </w:rPr>
      </w:pPr>
    </w:p>
    <w:p w14:paraId="0F3BB3C5"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In 2019 Public Health England (PHE) noted that “Exposure to radio waves is not new and health-related research has been conducted on this topic over several decades. In particular, a large amount of new scientific evidence has emerged since the year 2000 through dedicated national and international research programmes” </w:t>
      </w:r>
      <w:hyperlink r:id="rId11" w:history="1">
        <w:r w:rsidRPr="00BF2574">
          <w:rPr>
            <w:rFonts w:cs="Arial"/>
            <w:color w:val="595959" w:themeColor="text1" w:themeTint="A6"/>
            <w:sz w:val="20"/>
            <w:szCs w:val="20"/>
          </w:rPr>
          <w:t>https://www.gov.uk/government/publications/5g-technologies-radio-waves-and-health/5g-technologies-radio-waves-and-health</w:t>
        </w:r>
      </w:hyperlink>
      <w:r w:rsidRPr="00BF2574">
        <w:rPr>
          <w:rFonts w:cs="Arial"/>
          <w:color w:val="595959" w:themeColor="text1" w:themeTint="A6"/>
          <w:sz w:val="20"/>
          <w:szCs w:val="20"/>
        </w:rPr>
        <w:t xml:space="preserve">.  </w:t>
      </w:r>
    </w:p>
    <w:p w14:paraId="006C4FC8" w14:textId="77777777" w:rsidR="00145A01" w:rsidRDefault="00145A01" w:rsidP="00145A01">
      <w:pPr>
        <w:autoSpaceDE w:val="0"/>
        <w:autoSpaceDN w:val="0"/>
        <w:adjustRightInd w:val="0"/>
        <w:jc w:val="both"/>
        <w:rPr>
          <w:rFonts w:cs="Arial"/>
          <w:color w:val="595959" w:themeColor="text1" w:themeTint="A6"/>
          <w:sz w:val="20"/>
          <w:szCs w:val="20"/>
        </w:rPr>
      </w:pPr>
    </w:p>
    <w:p w14:paraId="563D5C82" w14:textId="77777777" w:rsidR="00145A01" w:rsidRPr="00BF2574" w:rsidRDefault="00145A01" w:rsidP="00145A01">
      <w:pPr>
        <w:autoSpaceDE w:val="0"/>
        <w:autoSpaceDN w:val="0"/>
        <w:adjustRightInd w:val="0"/>
        <w:jc w:val="both"/>
        <w:rPr>
          <w:rFonts w:cs="Arial"/>
          <w:b/>
          <w:color w:val="595959" w:themeColor="text1" w:themeTint="A6"/>
          <w:sz w:val="20"/>
          <w:szCs w:val="20"/>
        </w:rPr>
      </w:pPr>
      <w:r w:rsidRPr="00BF2574">
        <w:rPr>
          <w:rFonts w:cs="Arial"/>
          <w:b/>
          <w:color w:val="595959" w:themeColor="text1" w:themeTint="A6"/>
          <w:sz w:val="20"/>
          <w:szCs w:val="20"/>
        </w:rPr>
        <w:t>ICNIRP GUIDELINES</w:t>
      </w:r>
    </w:p>
    <w:p w14:paraId="0B12D18E"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6BFDE9DC"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The radiofrequency public exposure limits for EMF fields were developed by the International Commission on Non-Ionizing Radiation Protection (ICNIRP) http://www.icnirp.org following evaluation of all the peer-reviewed scientific literature, including thermal and non-thermal effects. </w:t>
      </w:r>
      <w:r>
        <w:rPr>
          <w:rFonts w:cs="Arial"/>
          <w:color w:val="595959" w:themeColor="text1" w:themeTint="A6"/>
          <w:sz w:val="20"/>
          <w:szCs w:val="20"/>
        </w:rPr>
        <w:t xml:space="preserve"> </w:t>
      </w:r>
      <w:r w:rsidRPr="00BF2574">
        <w:rPr>
          <w:rFonts w:cs="Arial"/>
          <w:color w:val="595959" w:themeColor="text1" w:themeTint="A6"/>
          <w:sz w:val="20"/>
          <w:szCs w:val="20"/>
        </w:rPr>
        <w:t>ICNIRP is a non-governmental organisation formally recognised by WHO. Established biological and health effects have been used as the basis for the ICNIRP exposure restrictions. The</w:t>
      </w:r>
      <w:r>
        <w:rPr>
          <w:rFonts w:cs="Arial"/>
          <w:color w:val="595959" w:themeColor="text1" w:themeTint="A6"/>
          <w:sz w:val="20"/>
          <w:szCs w:val="20"/>
        </w:rPr>
        <w:t>se</w:t>
      </w:r>
      <w:r w:rsidRPr="00BF2574">
        <w:rPr>
          <w:rFonts w:cs="Arial"/>
          <w:color w:val="595959" w:themeColor="text1" w:themeTint="A6"/>
          <w:sz w:val="20"/>
          <w:szCs w:val="20"/>
        </w:rPr>
        <w:t xml:space="preserve"> guidelines have been adopted for use in the European Union and the UK.</w:t>
      </w:r>
    </w:p>
    <w:p w14:paraId="07017C62"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5F0D7EF6"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D703D2">
        <w:rPr>
          <w:rFonts w:cs="Arial"/>
          <w:color w:val="595959" w:themeColor="text1" w:themeTint="A6"/>
          <w:sz w:val="20"/>
          <w:szCs w:val="20"/>
        </w:rPr>
        <w:t>In 2017 ICNIRP reaffirmed that their safety guidelines provide protection against all known health effects of radiofrequency signals.</w:t>
      </w:r>
      <w:r>
        <w:rPr>
          <w:rFonts w:cs="Arial"/>
          <w:color w:val="595959" w:themeColor="text1" w:themeTint="A6"/>
          <w:sz w:val="20"/>
          <w:szCs w:val="20"/>
        </w:rPr>
        <w:t xml:space="preserve"> </w:t>
      </w:r>
    </w:p>
    <w:p w14:paraId="23CC8886" w14:textId="77777777" w:rsidR="00145A01" w:rsidRDefault="00145A01" w:rsidP="00145A01">
      <w:pPr>
        <w:autoSpaceDE w:val="0"/>
        <w:autoSpaceDN w:val="0"/>
        <w:adjustRightInd w:val="0"/>
        <w:rPr>
          <w:rFonts w:cs="Arial"/>
          <w:color w:val="595959" w:themeColor="text1" w:themeTint="A6"/>
          <w:sz w:val="20"/>
          <w:szCs w:val="20"/>
        </w:rPr>
      </w:pPr>
    </w:p>
    <w:p w14:paraId="789E3865"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COMPLIANCE WITH INTERNATIONAL EXPOSURE GUIDELINES</w:t>
      </w:r>
    </w:p>
    <w:p w14:paraId="68E671FA" w14:textId="77777777" w:rsidR="00145A01" w:rsidRDefault="00145A01" w:rsidP="00145A01">
      <w:pPr>
        <w:autoSpaceDE w:val="0"/>
        <w:autoSpaceDN w:val="0"/>
        <w:adjustRightInd w:val="0"/>
        <w:jc w:val="both"/>
        <w:rPr>
          <w:rFonts w:cs="Arial"/>
          <w:color w:val="595959" w:themeColor="text1" w:themeTint="A6"/>
          <w:sz w:val="20"/>
          <w:szCs w:val="20"/>
        </w:rPr>
      </w:pPr>
    </w:p>
    <w:p w14:paraId="6BAF6440" w14:textId="44AC07FE"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All </w:t>
      </w:r>
      <w:r>
        <w:rPr>
          <w:rFonts w:cs="Arial"/>
          <w:color w:val="595959" w:themeColor="text1" w:themeTint="A6"/>
          <w:sz w:val="20"/>
          <w:szCs w:val="20"/>
        </w:rPr>
        <w:t>Cornerstone</w:t>
      </w:r>
      <w:r w:rsidRPr="00BF2574">
        <w:rPr>
          <w:rFonts w:cs="Arial"/>
          <w:color w:val="595959" w:themeColor="text1" w:themeTint="A6"/>
          <w:sz w:val="20"/>
          <w:szCs w:val="20"/>
        </w:rPr>
        <w:t xml:space="preserve"> installations are designed</w:t>
      </w:r>
      <w:r w:rsidR="001A74A2">
        <w:rPr>
          <w:rFonts w:cs="Arial"/>
          <w:color w:val="595959" w:themeColor="text1" w:themeTint="A6"/>
          <w:sz w:val="20"/>
          <w:szCs w:val="20"/>
        </w:rPr>
        <w:t xml:space="preserve"> and</w:t>
      </w:r>
      <w:r w:rsidRPr="00BF2574">
        <w:rPr>
          <w:rFonts w:cs="Arial"/>
          <w:color w:val="595959" w:themeColor="text1" w:themeTint="A6"/>
          <w:sz w:val="20"/>
          <w:szCs w:val="20"/>
        </w:rPr>
        <w:t xml:space="preserve">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w:t>
      </w:r>
      <w:r>
        <w:rPr>
          <w:rFonts w:cs="Arial"/>
          <w:color w:val="595959" w:themeColor="text1" w:themeTint="A6"/>
          <w:sz w:val="20"/>
          <w:szCs w:val="20"/>
        </w:rPr>
        <w:t xml:space="preserve"> </w:t>
      </w:r>
      <w:r w:rsidRPr="00BF2574">
        <w:rPr>
          <w:rFonts w:cs="Arial"/>
          <w:color w:val="595959" w:themeColor="text1" w:themeTint="A6"/>
          <w:sz w:val="20"/>
          <w:szCs w:val="20"/>
        </w:rPr>
        <w:t>In addition, precautionary measures have been taken into account when setting relevant guideline limits for the public (i.e. in the UK a safety factor of 50 times is applied to the public exposure guideline).</w:t>
      </w:r>
    </w:p>
    <w:p w14:paraId="42A5E2B0"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70F64217"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When measured, field strengths are many times lower than the precautionary ICNIRP general public guidelines.</w:t>
      </w:r>
    </w:p>
    <w:p w14:paraId="3252697D" w14:textId="77777777" w:rsidR="00145A01" w:rsidRDefault="00145A01" w:rsidP="00145A01">
      <w:pPr>
        <w:autoSpaceDE w:val="0"/>
        <w:autoSpaceDN w:val="0"/>
        <w:adjustRightInd w:val="0"/>
        <w:jc w:val="both"/>
        <w:rPr>
          <w:rFonts w:cs="Arial"/>
          <w:color w:val="595959" w:themeColor="text1" w:themeTint="A6"/>
          <w:sz w:val="20"/>
          <w:szCs w:val="20"/>
        </w:rPr>
      </w:pPr>
    </w:p>
    <w:p w14:paraId="1EA5A113"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53212660"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39CA0DDD" w14:textId="77777777" w:rsidR="00145A01" w:rsidRPr="00BF2574" w:rsidRDefault="00145A01" w:rsidP="00145A01">
      <w:pPr>
        <w:autoSpaceDE w:val="0"/>
        <w:autoSpaceDN w:val="0"/>
        <w:adjustRightInd w:val="0"/>
        <w:rPr>
          <w:rFonts w:cs="Arial"/>
          <w:color w:val="595959" w:themeColor="text1" w:themeTint="A6"/>
          <w:sz w:val="20"/>
          <w:szCs w:val="20"/>
        </w:rPr>
      </w:pPr>
      <w:r w:rsidRPr="00BF2574">
        <w:rPr>
          <w:rFonts w:cs="Arial"/>
          <w:color w:val="595959" w:themeColor="text1" w:themeTint="A6"/>
          <w:sz w:val="20"/>
          <w:szCs w:val="20"/>
        </w:rPr>
        <w:t>Further Information:</w:t>
      </w:r>
    </w:p>
    <w:p w14:paraId="17829AB9" w14:textId="77777777" w:rsidR="00145A01" w:rsidRPr="00BF2574" w:rsidRDefault="00145A01" w:rsidP="00145A01">
      <w:pPr>
        <w:autoSpaceDE w:val="0"/>
        <w:autoSpaceDN w:val="0"/>
        <w:adjustRightInd w:val="0"/>
        <w:rPr>
          <w:rFonts w:cs="Arial"/>
          <w:color w:val="595959" w:themeColor="text1" w:themeTint="A6"/>
          <w:sz w:val="20"/>
          <w:szCs w:val="20"/>
        </w:rPr>
      </w:pPr>
    </w:p>
    <w:tbl>
      <w:tblPr>
        <w:tblW w:w="8789" w:type="dxa"/>
        <w:tblCellSpacing w:w="0" w:type="dxa"/>
        <w:tblLayout w:type="fixed"/>
        <w:tblCellMar>
          <w:left w:w="0" w:type="dxa"/>
          <w:right w:w="0" w:type="dxa"/>
        </w:tblCellMar>
        <w:tblLook w:val="0000" w:firstRow="0" w:lastRow="0" w:firstColumn="0" w:lastColumn="0" w:noHBand="0" w:noVBand="0"/>
      </w:tblPr>
      <w:tblGrid>
        <w:gridCol w:w="20"/>
        <w:gridCol w:w="8769"/>
      </w:tblGrid>
      <w:tr w:rsidR="00145A01" w:rsidRPr="00BF2574" w14:paraId="0FBD4A9B" w14:textId="77777777" w:rsidTr="00492DB6">
        <w:trPr>
          <w:tblCellSpacing w:w="0" w:type="dxa"/>
        </w:trPr>
        <w:tc>
          <w:tcPr>
            <w:tcW w:w="20" w:type="dxa"/>
            <w:vAlign w:val="center"/>
          </w:tcPr>
          <w:p w14:paraId="087670F8"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7B081FC4" wp14:editId="01B7A914">
                  <wp:extent cx="96520" cy="102870"/>
                  <wp:effectExtent l="0" t="0" r="0" b="0"/>
                  <wp:docPr id="2" name="Picture 2"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42D891B1" w14:textId="77777777" w:rsidR="00145A01" w:rsidRDefault="00990337" w:rsidP="00492DB6">
            <w:pPr>
              <w:autoSpaceDE w:val="0"/>
              <w:autoSpaceDN w:val="0"/>
              <w:adjustRightInd w:val="0"/>
              <w:rPr>
                <w:rFonts w:cs="Arial"/>
                <w:color w:val="595959" w:themeColor="text1" w:themeTint="A6"/>
                <w:sz w:val="20"/>
                <w:szCs w:val="20"/>
              </w:rPr>
            </w:pPr>
            <w:hyperlink r:id="rId13" w:tgtFrame="_blank" w:history="1">
              <w:r w:rsidR="00145A01" w:rsidRPr="00896B19">
                <w:rPr>
                  <w:color w:val="595959" w:themeColor="text1" w:themeTint="A6"/>
                  <w:sz w:val="20"/>
                  <w:szCs w:val="20"/>
                </w:rPr>
                <w:t>World Health Organisation</w:t>
              </w:r>
            </w:hyperlink>
            <w:r w:rsidR="00145A01" w:rsidRPr="00896B19">
              <w:rPr>
                <w:rFonts w:cs="Arial"/>
                <w:color w:val="595959" w:themeColor="text1" w:themeTint="A6"/>
                <w:sz w:val="20"/>
                <w:szCs w:val="20"/>
              </w:rPr>
              <w:t xml:space="preserve"> EMF Project </w:t>
            </w:r>
          </w:p>
          <w:p w14:paraId="095A049A" w14:textId="77777777" w:rsidR="00145A01" w:rsidRPr="00896B19" w:rsidRDefault="00990337" w:rsidP="00492DB6">
            <w:pPr>
              <w:autoSpaceDE w:val="0"/>
              <w:autoSpaceDN w:val="0"/>
              <w:adjustRightInd w:val="0"/>
              <w:rPr>
                <w:rFonts w:cs="Arial"/>
                <w:color w:val="595959" w:themeColor="text1" w:themeTint="A6"/>
                <w:sz w:val="20"/>
                <w:szCs w:val="20"/>
              </w:rPr>
            </w:pPr>
            <w:hyperlink r:id="rId14" w:history="1">
              <w:r w:rsidR="00145A01" w:rsidRPr="006D4700">
                <w:rPr>
                  <w:rStyle w:val="Hyperlink"/>
                  <w:sz w:val="20"/>
                  <w:szCs w:val="20"/>
                </w:rPr>
                <w:t>http://www.who.int/peh-emf/en/</w:t>
              </w:r>
            </w:hyperlink>
          </w:p>
          <w:p w14:paraId="5D6F3E7E" w14:textId="77777777" w:rsidR="00145A01" w:rsidRPr="00896B19" w:rsidRDefault="00145A01" w:rsidP="00492DB6">
            <w:pPr>
              <w:autoSpaceDE w:val="0"/>
              <w:autoSpaceDN w:val="0"/>
              <w:adjustRightInd w:val="0"/>
              <w:rPr>
                <w:rFonts w:cs="Arial"/>
                <w:color w:val="595959" w:themeColor="text1" w:themeTint="A6"/>
                <w:sz w:val="20"/>
                <w:szCs w:val="20"/>
              </w:rPr>
            </w:pPr>
          </w:p>
        </w:tc>
      </w:tr>
      <w:tr w:rsidR="00145A01" w:rsidRPr="00BF2574" w14:paraId="3FACC604" w14:textId="77777777" w:rsidTr="00492DB6">
        <w:trPr>
          <w:tblCellSpacing w:w="0" w:type="dxa"/>
        </w:trPr>
        <w:tc>
          <w:tcPr>
            <w:tcW w:w="20" w:type="dxa"/>
            <w:vAlign w:val="center"/>
          </w:tcPr>
          <w:p w14:paraId="6BE3E62F"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7DDE15F1" wp14:editId="4BFCA8CD">
                  <wp:extent cx="96520" cy="102870"/>
                  <wp:effectExtent l="0" t="0" r="0" b="0"/>
                  <wp:docPr id="3" name="Picture 3"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21029D06" w14:textId="77777777" w:rsidR="00145A01" w:rsidRDefault="00145A01" w:rsidP="00492DB6">
            <w:pPr>
              <w:autoSpaceDE w:val="0"/>
              <w:autoSpaceDN w:val="0"/>
              <w:adjustRightInd w:val="0"/>
              <w:rPr>
                <w:color w:val="595959" w:themeColor="text1" w:themeTint="A6"/>
                <w:sz w:val="20"/>
                <w:szCs w:val="20"/>
              </w:rPr>
            </w:pPr>
            <w:r w:rsidRPr="00896B19">
              <w:rPr>
                <w:rFonts w:cs="Arial"/>
                <w:color w:val="595959" w:themeColor="text1" w:themeTint="A6"/>
                <w:sz w:val="20"/>
                <w:szCs w:val="20"/>
              </w:rPr>
              <w:t>International Commission on Non-Ionizing Radiation</w:t>
            </w:r>
            <w:r>
              <w:rPr>
                <w:rFonts w:cs="Arial"/>
                <w:color w:val="595959" w:themeColor="text1" w:themeTint="A6"/>
                <w:sz w:val="20"/>
                <w:szCs w:val="20"/>
              </w:rPr>
              <w:t xml:space="preserve"> </w:t>
            </w:r>
            <w:r w:rsidRPr="00896B19">
              <w:rPr>
                <w:rFonts w:cs="Arial"/>
                <w:color w:val="595959" w:themeColor="text1" w:themeTint="A6"/>
                <w:sz w:val="20"/>
                <w:szCs w:val="20"/>
              </w:rPr>
              <w:t>Protection</w:t>
            </w:r>
            <w:r>
              <w:rPr>
                <w:rFonts w:cs="Arial"/>
                <w:color w:val="595959" w:themeColor="text1" w:themeTint="A6"/>
                <w:sz w:val="20"/>
                <w:szCs w:val="20"/>
              </w:rPr>
              <w:t xml:space="preserve"> </w:t>
            </w:r>
            <w:r w:rsidRPr="00896B19">
              <w:rPr>
                <w:rFonts w:cs="Arial"/>
                <w:color w:val="595959" w:themeColor="text1" w:themeTint="A6"/>
                <w:sz w:val="20"/>
                <w:szCs w:val="20"/>
              </w:rPr>
              <w:t>(</w:t>
            </w:r>
            <w:hyperlink r:id="rId15" w:tgtFrame="_blank" w:history="1">
              <w:r w:rsidRPr="00896B19">
                <w:rPr>
                  <w:color w:val="595959" w:themeColor="text1" w:themeTint="A6"/>
                  <w:sz w:val="20"/>
                  <w:szCs w:val="20"/>
                </w:rPr>
                <w:t>ICNIRP</w:t>
              </w:r>
            </w:hyperlink>
            <w:r>
              <w:rPr>
                <w:color w:val="595959" w:themeColor="text1" w:themeTint="A6"/>
                <w:sz w:val="20"/>
                <w:szCs w:val="20"/>
              </w:rPr>
              <w:t>)</w:t>
            </w:r>
          </w:p>
          <w:p w14:paraId="7C4EC412" w14:textId="77777777" w:rsidR="00145A01" w:rsidRPr="00896B19" w:rsidRDefault="00990337" w:rsidP="00492DB6">
            <w:pPr>
              <w:autoSpaceDE w:val="0"/>
              <w:autoSpaceDN w:val="0"/>
              <w:adjustRightInd w:val="0"/>
              <w:rPr>
                <w:rFonts w:cs="Arial"/>
                <w:color w:val="595959" w:themeColor="text1" w:themeTint="A6"/>
                <w:sz w:val="20"/>
                <w:szCs w:val="20"/>
              </w:rPr>
            </w:pPr>
            <w:hyperlink r:id="rId16" w:history="1">
              <w:r w:rsidR="00145A01" w:rsidRPr="006D4700">
                <w:rPr>
                  <w:rStyle w:val="Hyperlink"/>
                  <w:sz w:val="20"/>
                  <w:szCs w:val="20"/>
                </w:rPr>
                <w:t>http://www.icnirp.org/</w:t>
              </w:r>
            </w:hyperlink>
          </w:p>
          <w:p w14:paraId="74C4DF05" w14:textId="77777777" w:rsidR="00145A01" w:rsidRPr="00896B19" w:rsidRDefault="00145A01" w:rsidP="00492DB6">
            <w:pPr>
              <w:autoSpaceDE w:val="0"/>
              <w:autoSpaceDN w:val="0"/>
              <w:adjustRightInd w:val="0"/>
              <w:rPr>
                <w:rFonts w:cs="Arial"/>
                <w:color w:val="595959" w:themeColor="text1" w:themeTint="A6"/>
                <w:sz w:val="20"/>
                <w:szCs w:val="20"/>
              </w:rPr>
            </w:pPr>
          </w:p>
        </w:tc>
      </w:tr>
      <w:tr w:rsidR="00145A01" w:rsidRPr="00BF2574" w14:paraId="58857842" w14:textId="77777777" w:rsidTr="00492DB6">
        <w:trPr>
          <w:tblCellSpacing w:w="0" w:type="dxa"/>
        </w:trPr>
        <w:tc>
          <w:tcPr>
            <w:tcW w:w="20" w:type="dxa"/>
            <w:vAlign w:val="center"/>
          </w:tcPr>
          <w:p w14:paraId="62356363"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36E4A0C2" wp14:editId="7BF7F59C">
                  <wp:extent cx="96520" cy="102870"/>
                  <wp:effectExtent l="0" t="0" r="0" b="0"/>
                  <wp:docPr id="4" name="Picture 4"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3532C84C" w14:textId="77777777" w:rsidR="00145A01" w:rsidRDefault="00145A01" w:rsidP="00492DB6">
            <w:pPr>
              <w:autoSpaceDE w:val="0"/>
              <w:autoSpaceDN w:val="0"/>
              <w:adjustRightInd w:val="0"/>
              <w:rPr>
                <w:color w:val="595959" w:themeColor="text1" w:themeTint="A6"/>
                <w:sz w:val="20"/>
                <w:szCs w:val="20"/>
              </w:rPr>
            </w:pPr>
            <w:r w:rsidRPr="00896B19">
              <w:rPr>
                <w:rFonts w:cs="Arial"/>
                <w:color w:val="595959" w:themeColor="text1" w:themeTint="A6"/>
                <w:sz w:val="20"/>
                <w:szCs w:val="20"/>
              </w:rPr>
              <w:t xml:space="preserve">Public Health England (formally </w:t>
            </w:r>
            <w:hyperlink r:id="rId17" w:tgtFrame="_blank" w:history="1">
              <w:r w:rsidRPr="00896B19">
                <w:rPr>
                  <w:color w:val="595959" w:themeColor="text1" w:themeTint="A6"/>
                  <w:sz w:val="20"/>
                  <w:szCs w:val="20"/>
                </w:rPr>
                <w:t>HPA</w:t>
              </w:r>
            </w:hyperlink>
            <w:r w:rsidRPr="00896B19">
              <w:rPr>
                <w:color w:val="595959" w:themeColor="text1" w:themeTint="A6"/>
                <w:sz w:val="20"/>
                <w:szCs w:val="20"/>
              </w:rPr>
              <w:t>)</w:t>
            </w:r>
          </w:p>
          <w:p w14:paraId="783AE4B2" w14:textId="77777777" w:rsidR="00145A01" w:rsidRPr="00896B19" w:rsidRDefault="00990337" w:rsidP="00492DB6">
            <w:pPr>
              <w:autoSpaceDE w:val="0"/>
              <w:autoSpaceDN w:val="0"/>
              <w:adjustRightInd w:val="0"/>
              <w:rPr>
                <w:color w:val="595959" w:themeColor="text1" w:themeTint="A6"/>
                <w:sz w:val="20"/>
                <w:szCs w:val="20"/>
              </w:rPr>
            </w:pPr>
            <w:hyperlink r:id="rId18" w:history="1">
              <w:r w:rsidR="00145A01" w:rsidRPr="006D4700">
                <w:rPr>
                  <w:rStyle w:val="Hyperlink"/>
                  <w:sz w:val="20"/>
                  <w:szCs w:val="20"/>
                </w:rPr>
                <w:t>https://www.gov.uk/government/collections/electromagnetic-fields</w:t>
              </w:r>
            </w:hyperlink>
          </w:p>
          <w:p w14:paraId="06647FBF" w14:textId="77777777" w:rsidR="00145A01" w:rsidRPr="00896B19" w:rsidRDefault="00145A01" w:rsidP="00492DB6">
            <w:pPr>
              <w:autoSpaceDE w:val="0"/>
              <w:autoSpaceDN w:val="0"/>
              <w:adjustRightInd w:val="0"/>
              <w:rPr>
                <w:rFonts w:cs="Arial"/>
                <w:color w:val="595959" w:themeColor="text1" w:themeTint="A6"/>
                <w:sz w:val="20"/>
                <w:szCs w:val="20"/>
              </w:rPr>
            </w:pPr>
          </w:p>
        </w:tc>
      </w:tr>
    </w:tbl>
    <w:p w14:paraId="13636CD2" w14:textId="77777777" w:rsidR="00145A01" w:rsidRPr="00D703D2" w:rsidRDefault="00145A01" w:rsidP="00145A01">
      <w:pPr>
        <w:pStyle w:val="NormalWeb"/>
        <w:jc w:val="both"/>
        <w:rPr>
          <w:rFonts w:ascii="Century Gothic" w:hAnsi="Century Gothic" w:cs="Arial"/>
          <w:b/>
          <w:color w:val="595959" w:themeColor="text1" w:themeTint="A6"/>
          <w:sz w:val="20"/>
          <w:szCs w:val="20"/>
        </w:rPr>
      </w:pPr>
      <w:r>
        <w:rPr>
          <w:rFonts w:ascii="Century Gothic" w:hAnsi="Century Gothic" w:cs="Arial"/>
          <w:b/>
          <w:color w:val="595959" w:themeColor="text1" w:themeTint="A6"/>
          <w:sz w:val="20"/>
          <w:szCs w:val="20"/>
        </w:rPr>
        <w:t xml:space="preserve">Or </w:t>
      </w:r>
      <w:r w:rsidRPr="00D703D2">
        <w:rPr>
          <w:rFonts w:ascii="Century Gothic" w:hAnsi="Century Gothic" w:cs="Arial"/>
          <w:b/>
          <w:color w:val="595959" w:themeColor="text1" w:themeTint="A6"/>
          <w:sz w:val="20"/>
          <w:szCs w:val="20"/>
        </w:rPr>
        <w:t>contact:</w:t>
      </w:r>
    </w:p>
    <w:p w14:paraId="68527CE4" w14:textId="77777777" w:rsidR="00145A01" w:rsidRDefault="00145A01" w:rsidP="00145A01">
      <w:pPr>
        <w:pStyle w:val="NormalWeb"/>
        <w:spacing w:before="0" w:beforeAutospacing="0" w:after="0" w:afterAutospacing="0"/>
        <w:jc w:val="both"/>
        <w:rPr>
          <w:rFonts w:ascii="Century Gothic" w:hAnsi="Century Gothic" w:cs="Arial"/>
          <w:color w:val="595959" w:themeColor="text1" w:themeTint="A6"/>
          <w:sz w:val="20"/>
          <w:szCs w:val="20"/>
        </w:rPr>
      </w:pPr>
      <w:r w:rsidRPr="00D703D2">
        <w:rPr>
          <w:rFonts w:ascii="Century Gothic" w:hAnsi="Century Gothic" w:cs="Arial"/>
          <w:color w:val="595959" w:themeColor="text1" w:themeTint="A6"/>
          <w:sz w:val="20"/>
          <w:szCs w:val="20"/>
        </w:rPr>
        <w:t>Community, Cornerstone</w:t>
      </w:r>
    </w:p>
    <w:p w14:paraId="3F8E3768" w14:textId="77777777" w:rsidR="00145A01" w:rsidRPr="00D703D2" w:rsidRDefault="00145A01" w:rsidP="00145A01">
      <w:pPr>
        <w:pStyle w:val="NormalWeb"/>
        <w:spacing w:before="0" w:beforeAutospacing="0" w:after="0" w:afterAutospacing="0"/>
        <w:jc w:val="both"/>
        <w:rPr>
          <w:rFonts w:ascii="Century Gothic" w:hAnsi="Century Gothic" w:cs="Arial"/>
          <w:color w:val="595959" w:themeColor="text1" w:themeTint="A6"/>
          <w:sz w:val="20"/>
          <w:szCs w:val="20"/>
        </w:rPr>
      </w:pPr>
      <w:r w:rsidRPr="00D703D2">
        <w:rPr>
          <w:rFonts w:ascii="Century Gothic" w:hAnsi="Century Gothic" w:cs="Arial"/>
          <w:color w:val="595959" w:themeColor="text1" w:themeTint="A6"/>
          <w:sz w:val="20"/>
          <w:szCs w:val="20"/>
        </w:rPr>
        <w:t>The Hive 2, 1530 Arlington Business Park, Theale, Berks, RG7 4SA</w:t>
      </w:r>
    </w:p>
    <w:p w14:paraId="1988A4EE" w14:textId="1F80C4EE" w:rsidR="00726AD9" w:rsidRPr="00EC23DA" w:rsidRDefault="00145A01" w:rsidP="00145A01">
      <w:pPr>
        <w:pStyle w:val="NormalWeb"/>
        <w:spacing w:before="0" w:beforeAutospacing="0" w:after="0" w:afterAutospacing="0"/>
        <w:jc w:val="both"/>
      </w:pPr>
      <w:r w:rsidRPr="00D703D2">
        <w:rPr>
          <w:rFonts w:ascii="Century Gothic" w:hAnsi="Century Gothic" w:cs="Arial"/>
          <w:color w:val="595959" w:themeColor="text1" w:themeTint="A6"/>
          <w:sz w:val="20"/>
          <w:szCs w:val="20"/>
        </w:rPr>
        <w:t>Tel. 01753 564306, community@ctil.co.u</w:t>
      </w:r>
      <w:r>
        <w:rPr>
          <w:rFonts w:ascii="Century Gothic" w:hAnsi="Century Gothic" w:cs="Arial"/>
          <w:color w:val="595959" w:themeColor="text1" w:themeTint="A6"/>
          <w:sz w:val="20"/>
          <w:szCs w:val="20"/>
        </w:rPr>
        <w:t>k</w:t>
      </w:r>
    </w:p>
    <w:sectPr w:rsidR="00726AD9" w:rsidRPr="00EC23DA" w:rsidSect="000C2A1C">
      <w:headerReference w:type="default" r:id="rId19"/>
      <w:footerReference w:type="default" r:id="rId20"/>
      <w:pgSz w:w="11900" w:h="16840"/>
      <w:pgMar w:top="2268"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9728" w14:textId="77777777" w:rsidR="00651AE2" w:rsidRDefault="00651AE2" w:rsidP="007D0EB2">
      <w:pPr>
        <w:spacing w:before="0" w:after="0" w:line="240" w:lineRule="auto"/>
      </w:pPr>
      <w:r>
        <w:separator/>
      </w:r>
    </w:p>
  </w:endnote>
  <w:endnote w:type="continuationSeparator" w:id="0">
    <w:p w14:paraId="226E3957" w14:textId="77777777" w:rsidR="00651AE2" w:rsidRDefault="00651AE2"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FD6" w14:textId="5BB55484" w:rsidR="00961171" w:rsidRDefault="004C5592">
    <w:pPr>
      <w:pStyle w:val="Footer"/>
    </w:pPr>
    <w:r>
      <w:rPr>
        <w:noProof/>
      </w:rPr>
      <mc:AlternateContent>
        <mc:Choice Requires="wps">
          <w:drawing>
            <wp:anchor distT="0" distB="0" distL="114300" distR="114300" simplePos="0" relativeHeight="251665408" behindDoc="0" locked="0" layoutInCell="0" allowOverlap="1" wp14:anchorId="56784111" wp14:editId="7752A9F7">
              <wp:simplePos x="0" y="0"/>
              <wp:positionH relativeFrom="page">
                <wp:posOffset>0</wp:posOffset>
              </wp:positionH>
              <wp:positionV relativeFrom="page">
                <wp:posOffset>10236200</wp:posOffset>
              </wp:positionV>
              <wp:extent cx="7556500" cy="266700"/>
              <wp:effectExtent l="0" t="0" r="0" b="0"/>
              <wp:wrapNone/>
              <wp:docPr id="1" name="MSIPCMf73b4048bb374bf2dc7ed219"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2A550A56" w:rsidR="004C5592" w:rsidRPr="004C5592" w:rsidRDefault="004C5592" w:rsidP="004C5592">
                          <w:pPr>
                            <w:spacing w:before="0" w:after="0"/>
                            <w:rPr>
                              <w:rFonts w:ascii="Calibri" w:hAnsi="Calibri" w:cs="Calibri"/>
                              <w:color w:val="737373"/>
                              <w:sz w:val="20"/>
                            </w:rPr>
                          </w:pPr>
                          <w:r w:rsidRPr="004C5592">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f73b4048bb374bf2dc7ed219"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AARjgdGgMAADYGAAAOAAAAAAAAAAAAAAAA&#10;AC4CAABkcnMvZTJvRG9jLnhtbFBLAQItABQABgAIAAAAIQDsnSVs3AAAAAsBAAAPAAAAAAAAAAAA&#10;AAAAAHQFAABkcnMvZG93bnJldi54bWxQSwUGAAAAAAQABADzAAAAfQYAAAAA&#10;" o:allowincell="f" filled="f" stroked="f" strokeweight=".5pt">
              <v:textbox inset="20pt,0,,0">
                <w:txbxContent>
                  <w:p w14:paraId="233210BF" w14:textId="2A550A56" w:rsidR="004C5592" w:rsidRPr="004C5592" w:rsidRDefault="004C5592" w:rsidP="004C5592">
                    <w:pPr>
                      <w:spacing w:before="0" w:after="0"/>
                      <w:rPr>
                        <w:rFonts w:ascii="Calibri" w:hAnsi="Calibri" w:cs="Calibri"/>
                        <w:color w:val="737373"/>
                        <w:sz w:val="20"/>
                      </w:rPr>
                    </w:pPr>
                    <w:r w:rsidRPr="004C5592">
                      <w:rPr>
                        <w:rFonts w:ascii="Calibri" w:hAnsi="Calibri" w:cs="Calibri"/>
                        <w:color w:val="737373"/>
                        <w:sz w:val="20"/>
                      </w:rPr>
                      <w:t>Classification: Unrestricted</w:t>
                    </w:r>
                  </w:p>
                </w:txbxContent>
              </v:textbox>
              <w10:wrap anchorx="page" anchory="page"/>
            </v:shape>
          </w:pict>
        </mc:Fallback>
      </mc:AlternateContent>
    </w:r>
    <w:r w:rsidR="00C26BA1">
      <w:rPr>
        <w:noProof/>
      </w:rPr>
      <w:drawing>
        <wp:anchor distT="0" distB="0" distL="114300" distR="114300" simplePos="0" relativeHeight="251664384" behindDoc="0" locked="0" layoutInCell="1" allowOverlap="0" wp14:anchorId="3F0C3B5F" wp14:editId="57EA5422">
          <wp:simplePos x="0" y="0"/>
          <wp:positionH relativeFrom="column">
            <wp:posOffset>-545390</wp:posOffset>
          </wp:positionH>
          <wp:positionV relativeFrom="page">
            <wp:posOffset>9421906</wp:posOffset>
          </wp:positionV>
          <wp:extent cx="7534800" cy="12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05561_CTIL_Address_Footer2.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26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AC2A" w14:textId="77777777" w:rsidR="00651AE2" w:rsidRDefault="00651AE2" w:rsidP="007D0EB2">
      <w:pPr>
        <w:spacing w:before="0" w:after="0" w:line="240" w:lineRule="auto"/>
      </w:pPr>
      <w:r>
        <w:separator/>
      </w:r>
    </w:p>
  </w:footnote>
  <w:footnote w:type="continuationSeparator" w:id="0">
    <w:p w14:paraId="0415AC39" w14:textId="77777777" w:rsidR="00651AE2" w:rsidRDefault="00651AE2"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BB5D" w14:textId="168D7B4F" w:rsidR="007D0EB2" w:rsidRDefault="00961171" w:rsidP="00961171">
    <w:pPr>
      <w:pStyle w:val="Header"/>
      <w:tabs>
        <w:tab w:val="clear" w:pos="9360"/>
      </w:tabs>
      <w:ind w:left="-426" w:right="-903"/>
    </w:pPr>
    <w:r>
      <w:rPr>
        <w:noProof/>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2"/>
    <w:rsid w:val="00063BDB"/>
    <w:rsid w:val="000A07BA"/>
    <w:rsid w:val="000C2A1C"/>
    <w:rsid w:val="000C2DC0"/>
    <w:rsid w:val="000D7675"/>
    <w:rsid w:val="000F3714"/>
    <w:rsid w:val="00145A01"/>
    <w:rsid w:val="001866FC"/>
    <w:rsid w:val="001A74A2"/>
    <w:rsid w:val="001E319E"/>
    <w:rsid w:val="001F79F0"/>
    <w:rsid w:val="002007B9"/>
    <w:rsid w:val="00222295"/>
    <w:rsid w:val="00224CD0"/>
    <w:rsid w:val="002723D9"/>
    <w:rsid w:val="002C098A"/>
    <w:rsid w:val="003557A9"/>
    <w:rsid w:val="0036555D"/>
    <w:rsid w:val="00400FAB"/>
    <w:rsid w:val="004665E1"/>
    <w:rsid w:val="00487FCE"/>
    <w:rsid w:val="004A71F9"/>
    <w:rsid w:val="004C5592"/>
    <w:rsid w:val="004D5902"/>
    <w:rsid w:val="00522BF7"/>
    <w:rsid w:val="005638BF"/>
    <w:rsid w:val="00651AE2"/>
    <w:rsid w:val="00652A95"/>
    <w:rsid w:val="00655F2B"/>
    <w:rsid w:val="006E6D9E"/>
    <w:rsid w:val="00726AD9"/>
    <w:rsid w:val="007C64FD"/>
    <w:rsid w:val="007D0EB2"/>
    <w:rsid w:val="0082169C"/>
    <w:rsid w:val="00857F09"/>
    <w:rsid w:val="00860378"/>
    <w:rsid w:val="008A4DAE"/>
    <w:rsid w:val="008F535D"/>
    <w:rsid w:val="00905B1D"/>
    <w:rsid w:val="00961171"/>
    <w:rsid w:val="00990337"/>
    <w:rsid w:val="00A43E4F"/>
    <w:rsid w:val="00AD17AA"/>
    <w:rsid w:val="00AE6062"/>
    <w:rsid w:val="00B47F09"/>
    <w:rsid w:val="00BB0836"/>
    <w:rsid w:val="00BE7ED6"/>
    <w:rsid w:val="00C26BA1"/>
    <w:rsid w:val="00C520E0"/>
    <w:rsid w:val="00C70796"/>
    <w:rsid w:val="00CB6843"/>
    <w:rsid w:val="00D4244C"/>
    <w:rsid w:val="00DA0BED"/>
    <w:rsid w:val="00DB6E1B"/>
    <w:rsid w:val="00DC7609"/>
    <w:rsid w:val="00DF1DE3"/>
    <w:rsid w:val="00DF568D"/>
    <w:rsid w:val="00E50D03"/>
    <w:rsid w:val="00EB6B90"/>
    <w:rsid w:val="00EC23DA"/>
    <w:rsid w:val="00ED2AA6"/>
    <w:rsid w:val="00F01BA9"/>
    <w:rsid w:val="00F127D9"/>
    <w:rsid w:val="00F322E2"/>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character" w:styleId="Hyperlink">
    <w:name w:val="Hyperlink"/>
    <w:basedOn w:val="DefaultParagraphFont"/>
    <w:rsid w:val="00145A01"/>
    <w:rPr>
      <w:color w:val="0000FF"/>
      <w:u w:val="single"/>
    </w:rPr>
  </w:style>
  <w:style w:type="paragraph" w:styleId="NormalWeb">
    <w:name w:val="Normal (Web)"/>
    <w:basedOn w:val="Normal"/>
    <w:uiPriority w:val="99"/>
    <w:rsid w:val="00145A01"/>
    <w:pPr>
      <w:spacing w:before="100" w:beforeAutospacing="1" w:after="100" w:afterAutospacing="1" w:line="240" w:lineRule="auto"/>
    </w:pPr>
    <w:rPr>
      <w:rFonts w:ascii="Times New Roman" w:eastAsia="Times New Roman" w:hAnsi="Times New Roman" w:cs="Times New Roman"/>
      <w:color w:val="auto"/>
      <w:sz w:val="24"/>
    </w:rPr>
  </w:style>
  <w:style w:type="paragraph" w:styleId="BalloonText">
    <w:name w:val="Balloon Text"/>
    <w:basedOn w:val="Normal"/>
    <w:link w:val="BalloonTextChar"/>
    <w:uiPriority w:val="99"/>
    <w:semiHidden/>
    <w:unhideWhenUsed/>
    <w:rsid w:val="00145A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01"/>
    <w:rPr>
      <w:rFonts w:ascii="Segoe UI" w:hAnsi="Segoe UI" w:cs="Segoe UI"/>
      <w:color w:val="54565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o.int/peh-emf/en/" TargetMode="External"/><Relationship Id="rId18" Type="http://schemas.openxmlformats.org/officeDocument/2006/relationships/hyperlink" Target="https://www.gov.uk/government/collections/electromagnetic-fiel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hpa.org.uk/radiation/" TargetMode="External"/><Relationship Id="rId2" Type="http://schemas.openxmlformats.org/officeDocument/2006/relationships/customXml" Target="../customXml/item2.xml"/><Relationship Id="rId16" Type="http://schemas.openxmlformats.org/officeDocument/2006/relationships/hyperlink" Target="http://www.icnir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5g-technologies-radio-waves-and-health/5g-technologies-radio-waves-and-health" TargetMode="External"/><Relationship Id="rId5" Type="http://schemas.openxmlformats.org/officeDocument/2006/relationships/styles" Target="styles.xml"/><Relationship Id="rId15" Type="http://schemas.openxmlformats.org/officeDocument/2006/relationships/hyperlink" Target="http://www.icnirp.de/" TargetMode="External"/><Relationship Id="rId10" Type="http://schemas.openxmlformats.org/officeDocument/2006/relationships/hyperlink" Target="http://www.who.int/peh-emf/about/WhatisEMF/en/index1.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o.int/peh-emf/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638C75469764E866D298FA806756E" ma:contentTypeVersion="2" ma:contentTypeDescription="Create a new document." ma:contentTypeScope="" ma:versionID="58bc7231a8c2cb440c87f73d574fb7f9">
  <xsd:schema xmlns:xsd="http://www.w3.org/2001/XMLSchema" xmlns:xs="http://www.w3.org/2001/XMLSchema" xmlns:p="http://schemas.microsoft.com/office/2006/metadata/properties" xmlns:ns2="c8f17976-d9df-4017-8af9-73c728eeac1c" targetNamespace="http://schemas.microsoft.com/office/2006/metadata/properties" ma:root="true" ma:fieldsID="e85251047c91553a470d5f2a4ba03064" ns2:_="">
    <xsd:import namespace="c8f17976-d9df-4017-8af9-73c728eeac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17976-d9df-4017-8af9-73c728ee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FFA1B-4EF9-48E2-A750-F42D113B13BB}">
  <ds:schemaRefs>
    <ds:schemaRef ds:uri="http://purl.org/dc/terms/"/>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EA483ED-6A5C-442A-8E0B-2A803EB10B8E}">
  <ds:schemaRefs>
    <ds:schemaRef ds:uri="http://schemas.microsoft.com/sharepoint/v3/contenttype/forms"/>
  </ds:schemaRefs>
</ds:datastoreItem>
</file>

<file path=customXml/itemProps3.xml><?xml version="1.0" encoding="utf-8"?>
<ds:datastoreItem xmlns:ds="http://schemas.openxmlformats.org/officeDocument/2006/customXml" ds:itemID="{BD4FF3B5-7846-4FF3-A4AD-76AD176F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Moore</cp:lastModifiedBy>
  <cp:revision>3</cp:revision>
  <cp:lastPrinted>2019-01-25T14:20:00Z</cp:lastPrinted>
  <dcterms:created xsi:type="dcterms:W3CDTF">2019-10-18T14:16:00Z</dcterms:created>
  <dcterms:modified xsi:type="dcterms:W3CDTF">2020-03-13T14:57:00Z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3bc30-6f71-42b2-b2de-9bc04a7eb646_Enabled">
    <vt:lpwstr>True</vt:lpwstr>
  </property>
  <property fmtid="{D5CDD505-2E9C-101B-9397-08002B2CF9AE}" pid="3" name="MSIP_Label_fc43bc30-6f71-42b2-b2de-9bc04a7eb646_SiteId">
    <vt:lpwstr>85ff012d-0598-4213-8554-2eb62b238f2f</vt:lpwstr>
  </property>
  <property fmtid="{D5CDD505-2E9C-101B-9397-08002B2CF9AE}" pid="4" name="MSIP_Label_fc43bc30-6f71-42b2-b2de-9bc04a7eb646_Owner">
    <vt:lpwstr>liz.gardner@ctil.co.uk</vt:lpwstr>
  </property>
  <property fmtid="{D5CDD505-2E9C-101B-9397-08002B2CF9AE}" pid="5" name="MSIP_Label_fc43bc30-6f71-42b2-b2de-9bc04a7eb646_SetDate">
    <vt:lpwstr>2019-02-28T12:51:48.9722342Z</vt:lpwstr>
  </property>
  <property fmtid="{D5CDD505-2E9C-101B-9397-08002B2CF9AE}" pid="6" name="MSIP_Label_fc43bc30-6f71-42b2-b2de-9bc04a7eb646_Name">
    <vt:lpwstr>Unrestricted</vt:lpwstr>
  </property>
  <property fmtid="{D5CDD505-2E9C-101B-9397-08002B2CF9AE}" pid="7" name="MSIP_Label_fc43bc30-6f71-42b2-b2de-9bc04a7eb646_Application">
    <vt:lpwstr>Microsoft Azure Information Protection</vt:lpwstr>
  </property>
  <property fmtid="{D5CDD505-2E9C-101B-9397-08002B2CF9AE}" pid="8" name="MSIP_Label_fc43bc30-6f71-42b2-b2de-9bc04a7eb646_Extended_MSFT_Method">
    <vt:lpwstr>Manual</vt:lpwstr>
  </property>
  <property fmtid="{D5CDD505-2E9C-101B-9397-08002B2CF9AE}" pid="9" name="Sensitivity">
    <vt:lpwstr>Unrestricted</vt:lpwstr>
  </property>
  <property fmtid="{D5CDD505-2E9C-101B-9397-08002B2CF9AE}" pid="10" name="ContentTypeId">
    <vt:lpwstr>0x010100EEF638C75469764E866D298FA806756E</vt:lpwstr>
  </property>
</Properties>
</file>