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026AF" w14:textId="1F7CDE8E" w:rsidR="00140DE9" w:rsidRPr="00291BE4" w:rsidRDefault="00697B36" w:rsidP="00011819">
      <w:pPr>
        <w:spacing w:line="276" w:lineRule="auto"/>
        <w:jc w:val="center"/>
        <w:rPr>
          <w:rFonts w:asciiTheme="minorHAnsi" w:hAnsiTheme="minorHAnsi"/>
          <w:b/>
          <w:sz w:val="22"/>
          <w:szCs w:val="22"/>
        </w:rPr>
      </w:pPr>
      <w:r>
        <w:rPr>
          <w:rFonts w:asciiTheme="minorHAnsi" w:hAnsiTheme="minorHAnsi"/>
          <w:b/>
          <w:sz w:val="22"/>
          <w:szCs w:val="22"/>
        </w:rPr>
        <w:t xml:space="preserve">DRAFT </w:t>
      </w:r>
      <w:r w:rsidR="00CC394F" w:rsidRPr="00291BE4">
        <w:rPr>
          <w:rFonts w:asciiTheme="minorHAnsi" w:hAnsiTheme="minorHAnsi"/>
          <w:b/>
          <w:sz w:val="22"/>
          <w:szCs w:val="22"/>
        </w:rPr>
        <w:t>STATEMENT OF COMMON GROUND</w:t>
      </w:r>
      <w:r w:rsidR="00AF17A5" w:rsidRPr="00291BE4">
        <w:rPr>
          <w:rFonts w:asciiTheme="minorHAnsi" w:hAnsiTheme="minorHAnsi"/>
          <w:b/>
          <w:sz w:val="22"/>
          <w:szCs w:val="22"/>
        </w:rPr>
        <w:t xml:space="preserve"> </w:t>
      </w:r>
    </w:p>
    <w:p w14:paraId="1B98EB88" w14:textId="77777777" w:rsidR="004436CF" w:rsidRPr="00291BE4" w:rsidRDefault="004436CF" w:rsidP="00011819">
      <w:pPr>
        <w:pStyle w:val="Normal0"/>
        <w:spacing w:line="276" w:lineRule="auto"/>
        <w:jc w:val="both"/>
        <w:rPr>
          <w:rFonts w:asciiTheme="minorHAnsi" w:hAnsiTheme="minorHAnsi"/>
          <w:b/>
          <w:sz w:val="22"/>
          <w:szCs w:val="22"/>
        </w:rPr>
      </w:pPr>
    </w:p>
    <w:p w14:paraId="54907FB8" w14:textId="4042FC75" w:rsidR="00AF17A5" w:rsidRPr="001F3409" w:rsidRDefault="001F3409" w:rsidP="00011819">
      <w:pPr>
        <w:pStyle w:val="Normal0"/>
        <w:spacing w:line="276" w:lineRule="auto"/>
        <w:jc w:val="both"/>
      </w:pPr>
      <w:r>
        <w:rPr>
          <w:rFonts w:asciiTheme="minorHAnsi" w:hAnsiTheme="minorHAnsi"/>
          <w:b/>
          <w:sz w:val="22"/>
          <w:szCs w:val="22"/>
        </w:rPr>
        <w:t xml:space="preserve">APPLICATION REFERENCES: </w:t>
      </w:r>
      <w:r w:rsidR="00C25D33" w:rsidRPr="00C25D33">
        <w:rPr>
          <w:rFonts w:asciiTheme="minorHAnsi" w:hAnsiTheme="minorHAnsi" w:cs="Times New Roman"/>
          <w:sz w:val="22"/>
          <w:szCs w:val="22"/>
        </w:rPr>
        <w:t>2017/7051/P</w:t>
      </w:r>
      <w:r w:rsidR="00C25D33">
        <w:rPr>
          <w:rFonts w:asciiTheme="minorHAnsi" w:hAnsiTheme="minorHAnsi" w:cs="Times New Roman"/>
          <w:sz w:val="22"/>
          <w:szCs w:val="22"/>
        </w:rPr>
        <w:t xml:space="preserve"> and 2018/0037/L</w:t>
      </w:r>
    </w:p>
    <w:p w14:paraId="4FE0BE0B" w14:textId="77777777" w:rsidR="00CC394F" w:rsidRPr="00291BE4" w:rsidRDefault="00CC394F" w:rsidP="00011819">
      <w:pPr>
        <w:spacing w:line="276" w:lineRule="auto"/>
        <w:rPr>
          <w:rFonts w:asciiTheme="minorHAnsi" w:hAnsiTheme="minorHAnsi"/>
          <w:sz w:val="22"/>
          <w:szCs w:val="22"/>
        </w:rPr>
      </w:pPr>
    </w:p>
    <w:p w14:paraId="10EA8087" w14:textId="6877468F" w:rsidR="00AF17A5" w:rsidRPr="00291BE4" w:rsidRDefault="009F2D7A" w:rsidP="00011819">
      <w:pPr>
        <w:spacing w:line="276" w:lineRule="auto"/>
        <w:rPr>
          <w:rFonts w:asciiTheme="minorHAnsi" w:hAnsiTheme="minorHAnsi"/>
          <w:b/>
          <w:sz w:val="22"/>
          <w:szCs w:val="22"/>
        </w:rPr>
      </w:pPr>
      <w:r>
        <w:rPr>
          <w:rFonts w:asciiTheme="minorHAnsi" w:hAnsiTheme="minorHAnsi"/>
          <w:b/>
          <w:sz w:val="22"/>
          <w:szCs w:val="22"/>
        </w:rPr>
        <w:t>SITE ADDRESS</w:t>
      </w:r>
      <w:r w:rsidR="008D5471">
        <w:rPr>
          <w:rFonts w:asciiTheme="minorHAnsi" w:hAnsiTheme="minorHAnsi"/>
          <w:b/>
          <w:sz w:val="22"/>
          <w:szCs w:val="22"/>
        </w:rPr>
        <w:t xml:space="preserve">: </w:t>
      </w:r>
      <w:r w:rsidR="00C25D33" w:rsidRPr="00C25D33">
        <w:rPr>
          <w:rFonts w:asciiTheme="minorHAnsi" w:hAnsiTheme="minorHAnsi"/>
          <w:b/>
          <w:sz w:val="22"/>
          <w:szCs w:val="22"/>
        </w:rPr>
        <w:t xml:space="preserve">135-149 Shaftesbury Avenue London WC2H 8AH </w:t>
      </w:r>
      <w:r>
        <w:rPr>
          <w:rFonts w:asciiTheme="minorHAnsi" w:hAnsiTheme="minorHAnsi"/>
          <w:b/>
          <w:sz w:val="22"/>
          <w:szCs w:val="22"/>
        </w:rPr>
        <w:t>(the “Site”)</w:t>
      </w:r>
    </w:p>
    <w:p w14:paraId="0F5171AB" w14:textId="77777777" w:rsidR="002E2033" w:rsidRPr="00291BE4" w:rsidRDefault="002E2033" w:rsidP="00011819">
      <w:pPr>
        <w:spacing w:line="276" w:lineRule="auto"/>
        <w:jc w:val="both"/>
        <w:rPr>
          <w:rFonts w:asciiTheme="minorHAnsi" w:hAnsiTheme="minorHAnsi"/>
          <w:sz w:val="22"/>
          <w:szCs w:val="22"/>
        </w:rPr>
      </w:pPr>
    </w:p>
    <w:p w14:paraId="40CDCF7F" w14:textId="77777777" w:rsidR="006640BA" w:rsidRPr="006640BA" w:rsidRDefault="002E2033" w:rsidP="00011819">
      <w:pPr>
        <w:spacing w:line="276" w:lineRule="auto"/>
        <w:jc w:val="both"/>
        <w:rPr>
          <w:rFonts w:asciiTheme="minorHAnsi" w:hAnsiTheme="minorHAnsi" w:cs="Arial"/>
          <w:b/>
          <w:sz w:val="22"/>
          <w:szCs w:val="22"/>
        </w:rPr>
      </w:pPr>
      <w:r w:rsidRPr="006640BA">
        <w:rPr>
          <w:rFonts w:asciiTheme="minorHAnsi" w:hAnsiTheme="minorHAnsi"/>
          <w:b/>
          <w:sz w:val="22"/>
          <w:szCs w:val="22"/>
        </w:rPr>
        <w:t>DESCRIPTION OF THE DEVELOPMENT</w:t>
      </w:r>
      <w:r w:rsidRPr="006640BA">
        <w:rPr>
          <w:rFonts w:asciiTheme="minorHAnsi" w:hAnsiTheme="minorHAnsi" w:cs="Arial"/>
          <w:b/>
          <w:sz w:val="22"/>
          <w:szCs w:val="22"/>
        </w:rPr>
        <w:t xml:space="preserve"> </w:t>
      </w:r>
    </w:p>
    <w:p w14:paraId="2472B9FA" w14:textId="264F2CA8" w:rsidR="00FA691C" w:rsidRDefault="00C25D33" w:rsidP="00011819">
      <w:pPr>
        <w:spacing w:line="276" w:lineRule="auto"/>
        <w:jc w:val="both"/>
        <w:rPr>
          <w:rFonts w:asciiTheme="minorHAnsi" w:hAnsiTheme="minorHAnsi"/>
          <w:i/>
          <w:sz w:val="22"/>
          <w:szCs w:val="22"/>
          <w:u w:val="single"/>
        </w:rPr>
      </w:pPr>
      <w:r w:rsidRPr="00C25D33">
        <w:rPr>
          <w:rFonts w:asciiTheme="minorHAnsi" w:hAnsiTheme="minorHAnsi"/>
          <w:i/>
          <w:sz w:val="22"/>
          <w:szCs w:val="22"/>
          <w:u w:val="single"/>
        </w:rPr>
        <w:t>The comprehensive refurbishment of the existing Grade II listed building and the provision of a new two storey roof extension and new basement level, providing a new four-screen cinema (Class D2) and spa (sui generis) at basement levels, a restaurant/bar (Class A3/A4) at ground floor level, a 94-bed hotel (Class C1) at part ground and first to sixth floors and associated terrace and bar (Class A4) at roof level, together with associated public realm and highways improvements</w:t>
      </w:r>
    </w:p>
    <w:p w14:paraId="4670FA2E" w14:textId="77777777" w:rsidR="00C25D33" w:rsidRPr="00291BE4" w:rsidRDefault="00C25D33" w:rsidP="00011819">
      <w:pPr>
        <w:spacing w:line="276" w:lineRule="auto"/>
        <w:jc w:val="both"/>
        <w:rPr>
          <w:rFonts w:asciiTheme="minorHAnsi" w:hAnsiTheme="minorHAnsi" w:cs="Arial"/>
          <w:sz w:val="22"/>
          <w:szCs w:val="22"/>
        </w:rPr>
      </w:pPr>
    </w:p>
    <w:p w14:paraId="06CA61C8" w14:textId="679EEC90" w:rsidR="00AF17A5" w:rsidRPr="00291BE4" w:rsidRDefault="00CC394F" w:rsidP="00011819">
      <w:pPr>
        <w:spacing w:line="276" w:lineRule="auto"/>
        <w:jc w:val="both"/>
        <w:rPr>
          <w:rFonts w:asciiTheme="minorHAnsi" w:hAnsiTheme="minorHAnsi"/>
          <w:b/>
          <w:sz w:val="22"/>
          <w:szCs w:val="22"/>
        </w:rPr>
      </w:pPr>
      <w:r w:rsidRPr="00291BE4">
        <w:rPr>
          <w:rFonts w:asciiTheme="minorHAnsi" w:hAnsiTheme="minorHAnsi"/>
          <w:b/>
          <w:sz w:val="22"/>
          <w:szCs w:val="22"/>
        </w:rPr>
        <w:t>APPELLANT</w:t>
      </w:r>
      <w:r w:rsidR="00C07034">
        <w:rPr>
          <w:rFonts w:asciiTheme="minorHAnsi" w:hAnsiTheme="minorHAnsi"/>
          <w:b/>
          <w:sz w:val="22"/>
          <w:szCs w:val="22"/>
        </w:rPr>
        <w:t>:</w:t>
      </w:r>
      <w:r w:rsidRPr="00291BE4">
        <w:rPr>
          <w:rFonts w:asciiTheme="minorHAnsi" w:hAnsiTheme="minorHAnsi"/>
          <w:b/>
          <w:sz w:val="22"/>
          <w:szCs w:val="22"/>
        </w:rPr>
        <w:t xml:space="preserve"> </w:t>
      </w:r>
      <w:r w:rsidR="00A86EFC">
        <w:rPr>
          <w:rFonts w:asciiTheme="minorHAnsi" w:hAnsiTheme="minorHAnsi"/>
          <w:b/>
          <w:sz w:val="22"/>
          <w:szCs w:val="22"/>
        </w:rPr>
        <w:t>Capitals</w:t>
      </w:r>
      <w:r w:rsidR="00C25D33">
        <w:rPr>
          <w:rFonts w:asciiTheme="minorHAnsi" w:hAnsiTheme="minorHAnsi"/>
          <w:b/>
          <w:sz w:val="22"/>
          <w:szCs w:val="22"/>
        </w:rPr>
        <w:t>tart</w:t>
      </w:r>
      <w:r w:rsidR="000607E9">
        <w:rPr>
          <w:rFonts w:asciiTheme="minorHAnsi" w:hAnsiTheme="minorHAnsi"/>
          <w:b/>
          <w:sz w:val="22"/>
          <w:szCs w:val="22"/>
        </w:rPr>
        <w:t xml:space="preserve"> Limited</w:t>
      </w:r>
      <w:r w:rsidR="00C07034">
        <w:rPr>
          <w:rFonts w:asciiTheme="minorHAnsi" w:hAnsiTheme="minorHAnsi"/>
          <w:b/>
          <w:sz w:val="22"/>
          <w:szCs w:val="22"/>
        </w:rPr>
        <w:t xml:space="preserve"> (“the Appellant”)</w:t>
      </w:r>
    </w:p>
    <w:p w14:paraId="1D15EC35" w14:textId="77777777" w:rsidR="00CC394F" w:rsidRPr="00291BE4" w:rsidRDefault="00CC394F" w:rsidP="00011819">
      <w:pPr>
        <w:spacing w:line="276" w:lineRule="auto"/>
        <w:rPr>
          <w:rFonts w:asciiTheme="minorHAnsi" w:hAnsiTheme="minorHAnsi"/>
          <w:b/>
          <w:sz w:val="22"/>
          <w:szCs w:val="22"/>
        </w:rPr>
      </w:pPr>
    </w:p>
    <w:p w14:paraId="6D1369B8" w14:textId="379C5475" w:rsidR="00CC394F" w:rsidRPr="00291BE4" w:rsidRDefault="00CC394F" w:rsidP="00011819">
      <w:pPr>
        <w:spacing w:line="276" w:lineRule="auto"/>
        <w:rPr>
          <w:rFonts w:asciiTheme="minorHAnsi" w:hAnsiTheme="minorHAnsi"/>
          <w:b/>
          <w:sz w:val="22"/>
          <w:szCs w:val="22"/>
        </w:rPr>
      </w:pPr>
      <w:r w:rsidRPr="00291BE4">
        <w:rPr>
          <w:rFonts w:asciiTheme="minorHAnsi" w:hAnsiTheme="minorHAnsi"/>
          <w:b/>
          <w:sz w:val="22"/>
          <w:szCs w:val="22"/>
        </w:rPr>
        <w:t>LOCAL PLANNING AUTHORITY</w:t>
      </w:r>
      <w:r w:rsidR="00C07034">
        <w:rPr>
          <w:rFonts w:asciiTheme="minorHAnsi" w:hAnsiTheme="minorHAnsi"/>
          <w:b/>
          <w:sz w:val="22"/>
          <w:szCs w:val="22"/>
        </w:rPr>
        <w:t>:</w:t>
      </w:r>
      <w:r w:rsidR="00AF17A5" w:rsidRPr="00291BE4">
        <w:rPr>
          <w:rFonts w:asciiTheme="minorHAnsi" w:hAnsiTheme="minorHAnsi"/>
          <w:b/>
          <w:sz w:val="22"/>
          <w:szCs w:val="22"/>
        </w:rPr>
        <w:t xml:space="preserve"> London Borough of </w:t>
      </w:r>
      <w:r w:rsidR="008D5471">
        <w:rPr>
          <w:rFonts w:asciiTheme="minorHAnsi" w:hAnsiTheme="minorHAnsi"/>
          <w:b/>
          <w:sz w:val="22"/>
          <w:szCs w:val="22"/>
        </w:rPr>
        <w:t>Camden</w:t>
      </w:r>
      <w:r w:rsidR="00C07034">
        <w:rPr>
          <w:rFonts w:asciiTheme="minorHAnsi" w:hAnsiTheme="minorHAnsi"/>
          <w:b/>
          <w:sz w:val="22"/>
          <w:szCs w:val="22"/>
        </w:rPr>
        <w:t xml:space="preserve"> </w:t>
      </w:r>
      <w:r w:rsidR="008E5DBE">
        <w:rPr>
          <w:rFonts w:asciiTheme="minorHAnsi" w:hAnsiTheme="minorHAnsi"/>
          <w:b/>
          <w:sz w:val="22"/>
          <w:szCs w:val="22"/>
        </w:rPr>
        <w:t>(“</w:t>
      </w:r>
      <w:r w:rsidR="00C07034">
        <w:rPr>
          <w:rFonts w:asciiTheme="minorHAnsi" w:hAnsiTheme="minorHAnsi"/>
          <w:b/>
          <w:sz w:val="22"/>
          <w:szCs w:val="22"/>
        </w:rPr>
        <w:t>the Council”)</w:t>
      </w:r>
    </w:p>
    <w:p w14:paraId="1CCBA817" w14:textId="77777777" w:rsidR="00CC394F" w:rsidRPr="00291BE4" w:rsidRDefault="00CC394F" w:rsidP="00011819">
      <w:pPr>
        <w:spacing w:line="276" w:lineRule="auto"/>
        <w:rPr>
          <w:rFonts w:asciiTheme="minorHAnsi" w:hAnsiTheme="minorHAnsi"/>
          <w:sz w:val="22"/>
          <w:szCs w:val="22"/>
        </w:rPr>
      </w:pPr>
    </w:p>
    <w:p w14:paraId="4BFC31BA" w14:textId="77777777" w:rsidR="00CC394F" w:rsidRPr="00291BE4" w:rsidRDefault="00CC394F" w:rsidP="00011819">
      <w:pPr>
        <w:spacing w:line="276" w:lineRule="auto"/>
        <w:rPr>
          <w:rFonts w:asciiTheme="minorHAnsi" w:hAnsiTheme="minorHAnsi"/>
          <w:sz w:val="22"/>
          <w:szCs w:val="22"/>
        </w:rPr>
      </w:pPr>
      <w:r w:rsidRPr="00291BE4">
        <w:rPr>
          <w:rFonts w:asciiTheme="minorHAnsi" w:hAnsiTheme="minorHAnsi"/>
          <w:sz w:val="22"/>
          <w:szCs w:val="22"/>
        </w:rPr>
        <w:t>This statement addresses the following areas of common ground:</w:t>
      </w:r>
    </w:p>
    <w:p w14:paraId="250C8F54" w14:textId="0360EB11" w:rsidR="00CC394F" w:rsidRPr="00291BE4" w:rsidRDefault="00CC394F" w:rsidP="00C208E9">
      <w:pPr>
        <w:pStyle w:val="ListParagraph"/>
        <w:numPr>
          <w:ilvl w:val="0"/>
          <w:numId w:val="1"/>
        </w:numPr>
        <w:spacing w:line="276" w:lineRule="auto"/>
        <w:rPr>
          <w:rFonts w:asciiTheme="minorHAnsi" w:hAnsiTheme="minorHAnsi"/>
          <w:sz w:val="22"/>
          <w:szCs w:val="22"/>
        </w:rPr>
      </w:pPr>
      <w:r w:rsidRPr="00291BE4">
        <w:rPr>
          <w:rFonts w:asciiTheme="minorHAnsi" w:hAnsiTheme="minorHAnsi"/>
          <w:sz w:val="22"/>
          <w:szCs w:val="22"/>
        </w:rPr>
        <w:t xml:space="preserve">Description of the site </w:t>
      </w:r>
      <w:r w:rsidR="008E5DBE">
        <w:rPr>
          <w:rFonts w:asciiTheme="minorHAnsi" w:hAnsiTheme="minorHAnsi"/>
          <w:sz w:val="22"/>
          <w:szCs w:val="22"/>
        </w:rPr>
        <w:t>and area</w:t>
      </w:r>
    </w:p>
    <w:p w14:paraId="6DE34C6D" w14:textId="0BCA6F09" w:rsidR="00CC394F" w:rsidRPr="00291BE4" w:rsidRDefault="008E5DBE" w:rsidP="00C208E9">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Designations</w:t>
      </w:r>
    </w:p>
    <w:p w14:paraId="43F7D34E" w14:textId="77777777" w:rsidR="00CC394F" w:rsidRPr="00291BE4" w:rsidRDefault="004436CF" w:rsidP="00C208E9">
      <w:pPr>
        <w:pStyle w:val="ListParagraph"/>
        <w:numPr>
          <w:ilvl w:val="0"/>
          <w:numId w:val="1"/>
        </w:numPr>
        <w:spacing w:line="276" w:lineRule="auto"/>
        <w:rPr>
          <w:rFonts w:asciiTheme="minorHAnsi" w:hAnsiTheme="minorHAnsi"/>
          <w:sz w:val="22"/>
          <w:szCs w:val="22"/>
        </w:rPr>
      </w:pPr>
      <w:r w:rsidRPr="00291BE4">
        <w:rPr>
          <w:rFonts w:asciiTheme="minorHAnsi" w:hAnsiTheme="minorHAnsi"/>
          <w:sz w:val="22"/>
          <w:szCs w:val="22"/>
        </w:rPr>
        <w:t>Planning h</w:t>
      </w:r>
      <w:r w:rsidR="00CC394F" w:rsidRPr="00291BE4">
        <w:rPr>
          <w:rFonts w:asciiTheme="minorHAnsi" w:hAnsiTheme="minorHAnsi"/>
          <w:sz w:val="22"/>
          <w:szCs w:val="22"/>
        </w:rPr>
        <w:t>istory of the site</w:t>
      </w:r>
      <w:r w:rsidR="00291BE4">
        <w:rPr>
          <w:rFonts w:asciiTheme="minorHAnsi" w:hAnsiTheme="minorHAnsi"/>
          <w:sz w:val="22"/>
          <w:szCs w:val="22"/>
        </w:rPr>
        <w:t xml:space="preserve"> and the application</w:t>
      </w:r>
    </w:p>
    <w:p w14:paraId="15722BC8" w14:textId="5665383B" w:rsidR="00CC394F" w:rsidRPr="00291BE4" w:rsidRDefault="00CC394F" w:rsidP="00C208E9">
      <w:pPr>
        <w:pStyle w:val="ListParagraph"/>
        <w:numPr>
          <w:ilvl w:val="0"/>
          <w:numId w:val="1"/>
        </w:numPr>
        <w:spacing w:line="276" w:lineRule="auto"/>
        <w:rPr>
          <w:rFonts w:asciiTheme="minorHAnsi" w:hAnsiTheme="minorHAnsi"/>
          <w:sz w:val="22"/>
          <w:szCs w:val="22"/>
        </w:rPr>
      </w:pPr>
      <w:r w:rsidRPr="00291BE4">
        <w:rPr>
          <w:rFonts w:asciiTheme="minorHAnsi" w:hAnsiTheme="minorHAnsi"/>
          <w:sz w:val="22"/>
          <w:szCs w:val="22"/>
        </w:rPr>
        <w:t xml:space="preserve">Development plan (including relevant policies) </w:t>
      </w:r>
    </w:p>
    <w:p w14:paraId="58066654" w14:textId="70125F98" w:rsidR="00CC394F" w:rsidRPr="00291BE4" w:rsidRDefault="00CC394F" w:rsidP="00C208E9">
      <w:pPr>
        <w:pStyle w:val="ListParagraph"/>
        <w:numPr>
          <w:ilvl w:val="0"/>
          <w:numId w:val="1"/>
        </w:numPr>
        <w:spacing w:line="276" w:lineRule="auto"/>
        <w:rPr>
          <w:rFonts w:asciiTheme="minorHAnsi" w:hAnsiTheme="minorHAnsi"/>
          <w:sz w:val="22"/>
          <w:szCs w:val="22"/>
        </w:rPr>
      </w:pPr>
      <w:r w:rsidRPr="00291BE4">
        <w:rPr>
          <w:rFonts w:asciiTheme="minorHAnsi" w:hAnsiTheme="minorHAnsi"/>
          <w:sz w:val="22"/>
          <w:szCs w:val="22"/>
        </w:rPr>
        <w:t xml:space="preserve">Relevance of any supplementary planning guidance published by LPA </w:t>
      </w:r>
    </w:p>
    <w:p w14:paraId="08909A15" w14:textId="77777777" w:rsidR="004436CF" w:rsidRDefault="00C30851" w:rsidP="00C208E9">
      <w:pPr>
        <w:pStyle w:val="ListParagraph"/>
        <w:numPr>
          <w:ilvl w:val="0"/>
          <w:numId w:val="1"/>
        </w:numPr>
        <w:spacing w:line="276" w:lineRule="auto"/>
        <w:rPr>
          <w:rFonts w:asciiTheme="minorHAnsi" w:hAnsiTheme="minorHAnsi"/>
          <w:sz w:val="22"/>
          <w:szCs w:val="22"/>
        </w:rPr>
      </w:pPr>
      <w:r w:rsidRPr="00291BE4">
        <w:rPr>
          <w:rFonts w:asciiTheme="minorHAnsi" w:hAnsiTheme="minorHAnsi"/>
          <w:sz w:val="22"/>
          <w:szCs w:val="22"/>
        </w:rPr>
        <w:t>Relevant national policy</w:t>
      </w:r>
    </w:p>
    <w:p w14:paraId="2E73CAE2" w14:textId="77777777" w:rsidR="00002990" w:rsidRDefault="00002990" w:rsidP="00C208E9">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Evidence</w:t>
      </w:r>
    </w:p>
    <w:p w14:paraId="2B3AFCDF" w14:textId="77777777" w:rsidR="00D12778" w:rsidRPr="00002990" w:rsidRDefault="00D12778" w:rsidP="00C208E9">
      <w:pPr>
        <w:pStyle w:val="ListParagraph"/>
        <w:numPr>
          <w:ilvl w:val="0"/>
          <w:numId w:val="1"/>
        </w:numPr>
        <w:spacing w:line="276" w:lineRule="auto"/>
        <w:rPr>
          <w:rFonts w:asciiTheme="minorHAnsi" w:hAnsiTheme="minorHAnsi"/>
          <w:sz w:val="22"/>
          <w:szCs w:val="22"/>
        </w:rPr>
      </w:pPr>
      <w:r w:rsidRPr="00002990">
        <w:rPr>
          <w:rFonts w:asciiTheme="minorHAnsi" w:hAnsiTheme="minorHAnsi"/>
          <w:sz w:val="22"/>
          <w:szCs w:val="22"/>
        </w:rPr>
        <w:t>Areas of agreement</w:t>
      </w:r>
    </w:p>
    <w:p w14:paraId="1103B667" w14:textId="77777777" w:rsidR="00D12778" w:rsidRPr="00291BE4" w:rsidRDefault="00D12778" w:rsidP="00C208E9">
      <w:pPr>
        <w:pStyle w:val="ListParagraph"/>
        <w:numPr>
          <w:ilvl w:val="0"/>
          <w:numId w:val="1"/>
        </w:numPr>
        <w:spacing w:line="276" w:lineRule="auto"/>
        <w:rPr>
          <w:rFonts w:asciiTheme="minorHAnsi" w:hAnsiTheme="minorHAnsi"/>
          <w:sz w:val="22"/>
          <w:szCs w:val="22"/>
        </w:rPr>
      </w:pPr>
      <w:r w:rsidRPr="00291BE4">
        <w:rPr>
          <w:rFonts w:asciiTheme="minorHAnsi" w:hAnsiTheme="minorHAnsi"/>
          <w:sz w:val="22"/>
          <w:szCs w:val="22"/>
        </w:rPr>
        <w:t>Areas of disagreement</w:t>
      </w:r>
    </w:p>
    <w:p w14:paraId="56795A85" w14:textId="77777777" w:rsidR="009E7805" w:rsidRPr="009E7805" w:rsidRDefault="009E7805" w:rsidP="00C208E9">
      <w:pPr>
        <w:pStyle w:val="ListParagraph"/>
        <w:numPr>
          <w:ilvl w:val="0"/>
          <w:numId w:val="1"/>
        </w:numPr>
        <w:spacing w:line="276" w:lineRule="auto"/>
        <w:rPr>
          <w:rFonts w:asciiTheme="minorHAnsi" w:hAnsiTheme="minorHAnsi"/>
          <w:sz w:val="22"/>
          <w:szCs w:val="22"/>
        </w:rPr>
      </w:pPr>
      <w:r w:rsidRPr="00291BE4">
        <w:rPr>
          <w:rFonts w:asciiTheme="minorHAnsi" w:hAnsiTheme="minorHAnsi"/>
          <w:sz w:val="22"/>
          <w:szCs w:val="22"/>
        </w:rPr>
        <w:t>Conditions</w:t>
      </w:r>
    </w:p>
    <w:p w14:paraId="089276A3" w14:textId="77777777" w:rsidR="009E7805" w:rsidRPr="009E7805" w:rsidRDefault="00CC394F" w:rsidP="00C208E9">
      <w:pPr>
        <w:pStyle w:val="ListParagraph"/>
        <w:numPr>
          <w:ilvl w:val="0"/>
          <w:numId w:val="1"/>
        </w:numPr>
        <w:spacing w:line="276" w:lineRule="auto"/>
        <w:rPr>
          <w:rFonts w:asciiTheme="minorHAnsi" w:hAnsiTheme="minorHAnsi"/>
          <w:sz w:val="22"/>
          <w:szCs w:val="22"/>
          <w:u w:val="single"/>
        </w:rPr>
      </w:pPr>
      <w:r w:rsidRPr="00291BE4">
        <w:rPr>
          <w:rFonts w:asciiTheme="minorHAnsi" w:hAnsiTheme="minorHAnsi"/>
          <w:sz w:val="22"/>
          <w:szCs w:val="22"/>
        </w:rPr>
        <w:t>Section 106 agreement</w:t>
      </w:r>
      <w:r w:rsidR="004436CF" w:rsidRPr="00291BE4">
        <w:rPr>
          <w:rFonts w:asciiTheme="minorHAnsi" w:hAnsiTheme="minorHAnsi"/>
          <w:sz w:val="22"/>
          <w:szCs w:val="22"/>
        </w:rPr>
        <w:t>s</w:t>
      </w:r>
    </w:p>
    <w:p w14:paraId="75DE0847" w14:textId="77777777" w:rsidR="004436CF" w:rsidRPr="009E7805" w:rsidRDefault="00002990" w:rsidP="00C208E9">
      <w:pPr>
        <w:pStyle w:val="ListParagraph"/>
        <w:numPr>
          <w:ilvl w:val="0"/>
          <w:numId w:val="1"/>
        </w:numPr>
        <w:spacing w:line="276" w:lineRule="auto"/>
        <w:rPr>
          <w:rFonts w:asciiTheme="minorHAnsi" w:hAnsiTheme="minorHAnsi"/>
          <w:sz w:val="22"/>
          <w:szCs w:val="22"/>
          <w:u w:val="single"/>
        </w:rPr>
      </w:pPr>
      <w:r>
        <w:rPr>
          <w:rFonts w:asciiTheme="minorHAnsi" w:hAnsiTheme="minorHAnsi"/>
          <w:sz w:val="22"/>
          <w:szCs w:val="22"/>
        </w:rPr>
        <w:t>CIL</w:t>
      </w:r>
    </w:p>
    <w:p w14:paraId="61F08D6B" w14:textId="77777777" w:rsidR="004436CF" w:rsidRPr="00291BE4" w:rsidRDefault="004436CF" w:rsidP="00011819">
      <w:pPr>
        <w:pStyle w:val="ListParagraph"/>
        <w:spacing w:line="276" w:lineRule="auto"/>
        <w:ind w:left="360"/>
        <w:rPr>
          <w:rFonts w:asciiTheme="minorHAnsi" w:hAnsiTheme="minorHAnsi"/>
          <w:sz w:val="22"/>
          <w:szCs w:val="22"/>
          <w:u w:val="single"/>
        </w:rPr>
      </w:pPr>
    </w:p>
    <w:p w14:paraId="646E2500" w14:textId="3D244706" w:rsidR="004436CF" w:rsidRPr="00291BE4" w:rsidRDefault="00CC394F" w:rsidP="00C208E9">
      <w:pPr>
        <w:pStyle w:val="ListParagraph"/>
        <w:numPr>
          <w:ilvl w:val="0"/>
          <w:numId w:val="2"/>
        </w:numPr>
        <w:spacing w:line="276" w:lineRule="auto"/>
        <w:rPr>
          <w:rFonts w:asciiTheme="minorHAnsi" w:hAnsiTheme="minorHAnsi"/>
          <w:sz w:val="22"/>
          <w:szCs w:val="22"/>
          <w:u w:val="single"/>
        </w:rPr>
      </w:pPr>
      <w:r w:rsidRPr="00291BE4">
        <w:rPr>
          <w:rFonts w:asciiTheme="minorHAnsi" w:hAnsiTheme="minorHAnsi"/>
          <w:sz w:val="22"/>
          <w:szCs w:val="22"/>
          <w:u w:val="single"/>
        </w:rPr>
        <w:t xml:space="preserve">Description of the </w:t>
      </w:r>
      <w:r w:rsidR="000607E9">
        <w:rPr>
          <w:rFonts w:asciiTheme="minorHAnsi" w:hAnsiTheme="minorHAnsi"/>
          <w:sz w:val="22"/>
          <w:szCs w:val="22"/>
          <w:u w:val="single"/>
        </w:rPr>
        <w:t>site and area</w:t>
      </w:r>
    </w:p>
    <w:p w14:paraId="74BE4E2B" w14:textId="46B5BDAF" w:rsidR="00C07034" w:rsidRDefault="00C25D33" w:rsidP="00C25D33">
      <w:pPr>
        <w:pStyle w:val="ListParagraph"/>
        <w:numPr>
          <w:ilvl w:val="1"/>
          <w:numId w:val="2"/>
        </w:numPr>
        <w:autoSpaceDE w:val="0"/>
        <w:autoSpaceDN w:val="0"/>
        <w:adjustRightInd w:val="0"/>
        <w:spacing w:line="276" w:lineRule="auto"/>
        <w:rPr>
          <w:rFonts w:asciiTheme="minorHAnsi" w:hAnsiTheme="minorHAnsi" w:cs="Arial"/>
          <w:sz w:val="22"/>
          <w:szCs w:val="22"/>
        </w:rPr>
      </w:pPr>
      <w:r w:rsidRPr="00C25D33">
        <w:rPr>
          <w:rFonts w:asciiTheme="minorHAnsi" w:hAnsiTheme="minorHAnsi" w:cs="Arial"/>
          <w:sz w:val="22"/>
          <w:szCs w:val="22"/>
        </w:rPr>
        <w:t>The application site is located on the north side of Shaftesbury Avenue and comprises a standalone Listed building in use as a cinema (Class D2). Historically in use as the Saville Theatre (Class Sui Generis), the building fronts four streets, namely New Compton Street to the north, St Giles Passage to the east, Shaftesbury Avenue to the south, and Stacey Street to the west.</w:t>
      </w:r>
    </w:p>
    <w:p w14:paraId="416A33F3" w14:textId="77777777" w:rsidR="00C25D33" w:rsidRPr="00C25D33" w:rsidRDefault="00C25D33" w:rsidP="00C25D33">
      <w:pPr>
        <w:pStyle w:val="ListParagraph"/>
        <w:autoSpaceDE w:val="0"/>
        <w:autoSpaceDN w:val="0"/>
        <w:adjustRightInd w:val="0"/>
        <w:spacing w:line="276" w:lineRule="auto"/>
        <w:ind w:left="644"/>
        <w:rPr>
          <w:rFonts w:asciiTheme="minorHAnsi" w:hAnsiTheme="minorHAnsi" w:cs="Arial"/>
          <w:sz w:val="22"/>
          <w:szCs w:val="22"/>
        </w:rPr>
      </w:pPr>
    </w:p>
    <w:p w14:paraId="43C9CC05" w14:textId="51445092" w:rsidR="001F276E" w:rsidRPr="00291BE4" w:rsidRDefault="008E5DBE" w:rsidP="00C208E9">
      <w:pPr>
        <w:pStyle w:val="ListParagraph"/>
        <w:numPr>
          <w:ilvl w:val="0"/>
          <w:numId w:val="2"/>
        </w:numPr>
        <w:spacing w:line="276" w:lineRule="auto"/>
        <w:rPr>
          <w:rFonts w:asciiTheme="minorHAnsi" w:hAnsiTheme="minorHAnsi"/>
          <w:sz w:val="22"/>
          <w:szCs w:val="22"/>
          <w:u w:val="single"/>
        </w:rPr>
      </w:pPr>
      <w:r>
        <w:rPr>
          <w:rFonts w:asciiTheme="minorHAnsi" w:hAnsiTheme="minorHAnsi"/>
          <w:sz w:val="22"/>
          <w:szCs w:val="22"/>
          <w:u w:val="single"/>
        </w:rPr>
        <w:t>Designations</w:t>
      </w:r>
    </w:p>
    <w:p w14:paraId="042FEEB6" w14:textId="77777777" w:rsidR="001E051E" w:rsidRDefault="00C25D33" w:rsidP="001E051E">
      <w:pPr>
        <w:pStyle w:val="ListParagraph"/>
        <w:numPr>
          <w:ilvl w:val="1"/>
          <w:numId w:val="2"/>
        </w:numPr>
        <w:autoSpaceDE w:val="0"/>
        <w:autoSpaceDN w:val="0"/>
        <w:adjustRightInd w:val="0"/>
        <w:spacing w:line="276" w:lineRule="auto"/>
        <w:rPr>
          <w:rFonts w:asciiTheme="minorHAnsi" w:hAnsiTheme="minorHAnsi" w:cs="Arial"/>
          <w:sz w:val="22"/>
          <w:szCs w:val="22"/>
        </w:rPr>
      </w:pPr>
      <w:r w:rsidRPr="001E051E">
        <w:rPr>
          <w:rFonts w:asciiTheme="minorHAnsi" w:hAnsiTheme="minorHAnsi" w:cs="Arial"/>
          <w:sz w:val="22"/>
          <w:szCs w:val="22"/>
        </w:rPr>
        <w:t>The Site</w:t>
      </w:r>
      <w:r w:rsidR="000607E9" w:rsidRPr="001E051E">
        <w:rPr>
          <w:rFonts w:asciiTheme="minorHAnsi" w:hAnsiTheme="minorHAnsi" w:cs="Arial"/>
          <w:sz w:val="22"/>
          <w:szCs w:val="22"/>
        </w:rPr>
        <w:t xml:space="preserve"> </w:t>
      </w:r>
      <w:r w:rsidR="001E051E" w:rsidRPr="001E051E">
        <w:rPr>
          <w:rFonts w:asciiTheme="minorHAnsi" w:hAnsiTheme="minorHAnsi" w:cs="Arial"/>
          <w:sz w:val="22"/>
          <w:szCs w:val="22"/>
        </w:rPr>
        <w:t>was first listed at Grade II in 1998</w:t>
      </w:r>
      <w:r w:rsidR="001E051E">
        <w:rPr>
          <w:rFonts w:asciiTheme="minorHAnsi" w:hAnsiTheme="minorHAnsi" w:cs="Arial"/>
          <w:sz w:val="22"/>
          <w:szCs w:val="22"/>
        </w:rPr>
        <w:t>.</w:t>
      </w:r>
    </w:p>
    <w:p w14:paraId="65179E35" w14:textId="3DE56FE5" w:rsidR="000607E9" w:rsidRPr="001E051E" w:rsidRDefault="00C25D33" w:rsidP="001E051E">
      <w:pPr>
        <w:pStyle w:val="ListParagraph"/>
        <w:numPr>
          <w:ilvl w:val="1"/>
          <w:numId w:val="2"/>
        </w:numPr>
        <w:autoSpaceDE w:val="0"/>
        <w:autoSpaceDN w:val="0"/>
        <w:adjustRightInd w:val="0"/>
        <w:spacing w:line="276" w:lineRule="auto"/>
        <w:rPr>
          <w:rFonts w:asciiTheme="minorHAnsi" w:hAnsiTheme="minorHAnsi" w:cs="Arial"/>
          <w:sz w:val="22"/>
          <w:szCs w:val="22"/>
        </w:rPr>
      </w:pPr>
      <w:r w:rsidRPr="001E051E">
        <w:rPr>
          <w:rFonts w:asciiTheme="minorHAnsi" w:hAnsiTheme="minorHAnsi" w:cs="Arial"/>
          <w:sz w:val="22"/>
          <w:szCs w:val="22"/>
        </w:rPr>
        <w:t>The site is not within a conservation area but adjoins the Seven Dials (Covent Garden) Conservation Area which covers the south side of Shaftesbury Avenue, and Denmark Street Conservation Area, which covers the north side of New Compton Street</w:t>
      </w:r>
    </w:p>
    <w:p w14:paraId="4768CEDF" w14:textId="72F87600" w:rsidR="00E14791" w:rsidRDefault="00E14791" w:rsidP="000607E9">
      <w:pPr>
        <w:pStyle w:val="ListParagraph"/>
        <w:rPr>
          <w:rFonts w:asciiTheme="minorHAnsi" w:hAnsiTheme="minorHAnsi" w:cs="Arial"/>
          <w:sz w:val="22"/>
          <w:szCs w:val="22"/>
        </w:rPr>
      </w:pPr>
    </w:p>
    <w:p w14:paraId="1AD50B45" w14:textId="77777777" w:rsidR="002D5F40" w:rsidRPr="00291BE4" w:rsidRDefault="00CC394F" w:rsidP="00C208E9">
      <w:pPr>
        <w:pStyle w:val="ListParagraph"/>
        <w:numPr>
          <w:ilvl w:val="0"/>
          <w:numId w:val="2"/>
        </w:numPr>
        <w:spacing w:line="276" w:lineRule="auto"/>
        <w:rPr>
          <w:rFonts w:asciiTheme="minorHAnsi" w:hAnsiTheme="minorHAnsi"/>
          <w:sz w:val="22"/>
          <w:szCs w:val="22"/>
          <w:u w:val="single"/>
        </w:rPr>
      </w:pPr>
      <w:r w:rsidRPr="00291BE4">
        <w:rPr>
          <w:rFonts w:asciiTheme="minorHAnsi" w:hAnsiTheme="minorHAnsi"/>
          <w:sz w:val="22"/>
          <w:szCs w:val="22"/>
          <w:u w:val="single"/>
        </w:rPr>
        <w:lastRenderedPageBreak/>
        <w:t>Planning History of the site</w:t>
      </w:r>
      <w:r w:rsidR="00291BE4">
        <w:rPr>
          <w:rFonts w:asciiTheme="minorHAnsi" w:hAnsiTheme="minorHAnsi"/>
          <w:sz w:val="22"/>
          <w:szCs w:val="22"/>
          <w:u w:val="single"/>
        </w:rPr>
        <w:t xml:space="preserve"> and the application</w:t>
      </w:r>
    </w:p>
    <w:p w14:paraId="7A6EEDEC" w14:textId="3038C824" w:rsidR="00C25D33" w:rsidRPr="00C25D33" w:rsidRDefault="00C25D33" w:rsidP="00C25D33">
      <w:pPr>
        <w:pStyle w:val="ListParagraph"/>
        <w:spacing w:line="276" w:lineRule="auto"/>
        <w:ind w:left="644"/>
        <w:jc w:val="both"/>
        <w:rPr>
          <w:rFonts w:asciiTheme="minorHAnsi" w:hAnsiTheme="minorHAnsi" w:cs="Arial"/>
          <w:sz w:val="22"/>
          <w:szCs w:val="22"/>
        </w:rPr>
      </w:pPr>
      <w:r w:rsidRPr="00C25D33">
        <w:rPr>
          <w:rFonts w:asciiTheme="minorHAnsi" w:hAnsiTheme="minorHAnsi" w:cs="Arial"/>
          <w:sz w:val="22"/>
          <w:szCs w:val="22"/>
        </w:rPr>
        <w:t>LSX0005257: Alterations to form four screen cinema. Granted 20/02/2001.</w:t>
      </w:r>
    </w:p>
    <w:p w14:paraId="70CF7F27" w14:textId="02F4AEBC" w:rsidR="00C25D33" w:rsidRPr="00C25D33" w:rsidRDefault="00C25D33" w:rsidP="00C25D33">
      <w:pPr>
        <w:pStyle w:val="ListParagraph"/>
        <w:spacing w:line="276" w:lineRule="auto"/>
        <w:ind w:left="644"/>
        <w:jc w:val="both"/>
        <w:rPr>
          <w:rFonts w:asciiTheme="minorHAnsi" w:hAnsiTheme="minorHAnsi" w:cs="Arial"/>
          <w:sz w:val="22"/>
          <w:szCs w:val="22"/>
        </w:rPr>
      </w:pPr>
      <w:r w:rsidRPr="00C25D33">
        <w:rPr>
          <w:rFonts w:asciiTheme="minorHAnsi" w:hAnsiTheme="minorHAnsi" w:cs="Arial"/>
          <w:sz w:val="22"/>
          <w:szCs w:val="22"/>
        </w:rPr>
        <w:t>LS9904804: Internal alterations for refurbishment, including creation of new partitions and</w:t>
      </w:r>
      <w:r>
        <w:rPr>
          <w:rFonts w:asciiTheme="minorHAnsi" w:hAnsiTheme="minorHAnsi" w:cs="Arial"/>
          <w:sz w:val="22"/>
          <w:szCs w:val="22"/>
        </w:rPr>
        <w:t xml:space="preserve"> </w:t>
      </w:r>
      <w:r w:rsidRPr="00C25D33">
        <w:rPr>
          <w:rFonts w:asciiTheme="minorHAnsi" w:hAnsiTheme="minorHAnsi" w:cs="Arial"/>
          <w:sz w:val="22"/>
          <w:szCs w:val="22"/>
        </w:rPr>
        <w:t>alterations to internal surfaces of walls including the provision of acoustic fabric to auditoria</w:t>
      </w:r>
      <w:r>
        <w:rPr>
          <w:rFonts w:asciiTheme="minorHAnsi" w:hAnsiTheme="minorHAnsi" w:cs="Arial"/>
          <w:sz w:val="22"/>
          <w:szCs w:val="22"/>
        </w:rPr>
        <w:t xml:space="preserve"> </w:t>
      </w:r>
      <w:r w:rsidRPr="00C25D33">
        <w:rPr>
          <w:rFonts w:asciiTheme="minorHAnsi" w:hAnsiTheme="minorHAnsi" w:cs="Arial"/>
          <w:sz w:val="22"/>
          <w:szCs w:val="22"/>
        </w:rPr>
        <w:t>wall. Granted 26/10/1999.</w:t>
      </w:r>
    </w:p>
    <w:p w14:paraId="19ED8637" w14:textId="1A9748A2" w:rsidR="00645809" w:rsidRPr="00645809" w:rsidRDefault="00C25D33" w:rsidP="00C25D33">
      <w:pPr>
        <w:pStyle w:val="ListParagraph"/>
        <w:spacing w:line="276" w:lineRule="auto"/>
        <w:ind w:left="644"/>
        <w:jc w:val="both"/>
        <w:rPr>
          <w:rFonts w:asciiTheme="minorHAnsi" w:hAnsiTheme="minorHAnsi" w:cs="Arial"/>
          <w:sz w:val="22"/>
          <w:szCs w:val="22"/>
        </w:rPr>
      </w:pPr>
      <w:r w:rsidRPr="00C25D33">
        <w:rPr>
          <w:rFonts w:asciiTheme="minorHAnsi" w:hAnsiTheme="minorHAnsi" w:cs="Arial"/>
          <w:sz w:val="22"/>
          <w:szCs w:val="22"/>
        </w:rPr>
        <w:t>9157: The alteration to the elevations of Saville Theatre, 135 Shaftesbury Avenue, Camden, in</w:t>
      </w:r>
      <w:r>
        <w:rPr>
          <w:rFonts w:asciiTheme="minorHAnsi" w:hAnsiTheme="minorHAnsi" w:cs="Arial"/>
          <w:sz w:val="22"/>
          <w:szCs w:val="22"/>
        </w:rPr>
        <w:t xml:space="preserve"> </w:t>
      </w:r>
      <w:r w:rsidRPr="00C25D33">
        <w:rPr>
          <w:rFonts w:asciiTheme="minorHAnsi" w:hAnsiTheme="minorHAnsi" w:cs="Arial"/>
          <w:sz w:val="22"/>
          <w:szCs w:val="22"/>
        </w:rPr>
        <w:t>connection with use as twin cinemas. Granted 07/10/1970.</w:t>
      </w:r>
      <w:r w:rsidRPr="00C25D33">
        <w:rPr>
          <w:rFonts w:asciiTheme="minorHAnsi" w:hAnsiTheme="minorHAnsi" w:cs="Arial"/>
          <w:sz w:val="22"/>
          <w:szCs w:val="22"/>
        </w:rPr>
        <w:cr/>
      </w:r>
    </w:p>
    <w:p w14:paraId="03914F4F" w14:textId="77777777" w:rsidR="00326E9B" w:rsidRDefault="004436CF" w:rsidP="00C208E9">
      <w:pPr>
        <w:pStyle w:val="ListParagraph"/>
        <w:numPr>
          <w:ilvl w:val="0"/>
          <w:numId w:val="2"/>
        </w:numPr>
        <w:spacing w:line="276" w:lineRule="auto"/>
        <w:rPr>
          <w:rFonts w:asciiTheme="minorHAnsi" w:hAnsiTheme="minorHAnsi"/>
          <w:sz w:val="22"/>
          <w:szCs w:val="22"/>
          <w:u w:val="single"/>
        </w:rPr>
      </w:pPr>
      <w:r w:rsidRPr="00291BE4">
        <w:rPr>
          <w:rFonts w:asciiTheme="minorHAnsi" w:hAnsiTheme="minorHAnsi"/>
          <w:sz w:val="22"/>
          <w:szCs w:val="22"/>
          <w:u w:val="single"/>
        </w:rPr>
        <w:t xml:space="preserve">Development plan </w:t>
      </w:r>
      <w:r w:rsidR="00D60F56" w:rsidRPr="00291BE4">
        <w:rPr>
          <w:rFonts w:asciiTheme="minorHAnsi" w:hAnsiTheme="minorHAnsi"/>
          <w:sz w:val="22"/>
          <w:szCs w:val="22"/>
          <w:u w:val="single"/>
        </w:rPr>
        <w:t>policies and designations</w:t>
      </w:r>
    </w:p>
    <w:p w14:paraId="789C366E" w14:textId="77777777" w:rsidR="00215101" w:rsidRDefault="00215101" w:rsidP="007A3F9B">
      <w:pPr>
        <w:pStyle w:val="ListParagraph"/>
        <w:spacing w:line="276" w:lineRule="auto"/>
        <w:ind w:left="360"/>
        <w:rPr>
          <w:rFonts w:asciiTheme="minorHAnsi" w:hAnsiTheme="minorHAnsi"/>
          <w:sz w:val="22"/>
          <w:szCs w:val="22"/>
          <w:u w:val="single"/>
        </w:rPr>
      </w:pPr>
    </w:p>
    <w:p w14:paraId="1BE104A9" w14:textId="4234E450" w:rsidR="00326E9B" w:rsidRPr="00326E9B" w:rsidRDefault="00326E9B" w:rsidP="00C208E9">
      <w:pPr>
        <w:pStyle w:val="ListParagraph"/>
        <w:numPr>
          <w:ilvl w:val="1"/>
          <w:numId w:val="2"/>
        </w:numPr>
        <w:spacing w:line="276" w:lineRule="auto"/>
        <w:rPr>
          <w:rFonts w:asciiTheme="minorHAnsi" w:hAnsiTheme="minorHAnsi"/>
          <w:sz w:val="22"/>
          <w:szCs w:val="22"/>
          <w:u w:val="single"/>
        </w:rPr>
      </w:pPr>
      <w:r w:rsidRPr="00326E9B">
        <w:rPr>
          <w:rFonts w:asciiTheme="minorHAnsi" w:hAnsiTheme="minorHAnsi"/>
          <w:sz w:val="22"/>
          <w:szCs w:val="22"/>
        </w:rPr>
        <w:t>For the purposes of Section 38</w:t>
      </w:r>
      <w:r w:rsidR="008A4287">
        <w:rPr>
          <w:rFonts w:asciiTheme="minorHAnsi" w:hAnsiTheme="minorHAnsi"/>
          <w:sz w:val="22"/>
          <w:szCs w:val="22"/>
        </w:rPr>
        <w:t xml:space="preserve"> of the Planning and Compulsory Purchase Act 2004</w:t>
      </w:r>
      <w:r w:rsidRPr="00326E9B">
        <w:rPr>
          <w:rFonts w:asciiTheme="minorHAnsi" w:hAnsiTheme="minorHAnsi"/>
          <w:sz w:val="22"/>
          <w:szCs w:val="22"/>
        </w:rPr>
        <w:t xml:space="preserve"> the Development Plan for the London Borough of </w:t>
      </w:r>
      <w:r w:rsidR="00B3785F">
        <w:rPr>
          <w:rFonts w:asciiTheme="minorHAnsi" w:hAnsiTheme="minorHAnsi"/>
          <w:sz w:val="22"/>
          <w:szCs w:val="22"/>
        </w:rPr>
        <w:t xml:space="preserve">Camden </w:t>
      </w:r>
      <w:r w:rsidRPr="00326E9B">
        <w:rPr>
          <w:rFonts w:asciiTheme="minorHAnsi" w:hAnsiTheme="minorHAnsi"/>
          <w:sz w:val="22"/>
          <w:szCs w:val="22"/>
        </w:rPr>
        <w:t>comprises:</w:t>
      </w:r>
    </w:p>
    <w:p w14:paraId="60D5EBD0" w14:textId="2FA289CD" w:rsidR="002512AC" w:rsidRPr="002512AC" w:rsidRDefault="00326E9B" w:rsidP="002512AC">
      <w:pPr>
        <w:pStyle w:val="ListParagraph"/>
        <w:numPr>
          <w:ilvl w:val="2"/>
          <w:numId w:val="2"/>
        </w:numPr>
        <w:spacing w:line="276" w:lineRule="auto"/>
        <w:rPr>
          <w:rFonts w:asciiTheme="minorHAnsi" w:hAnsiTheme="minorHAnsi"/>
          <w:sz w:val="22"/>
          <w:szCs w:val="22"/>
          <w:u w:val="single"/>
        </w:rPr>
      </w:pPr>
      <w:r w:rsidRPr="00326E9B">
        <w:rPr>
          <w:rFonts w:asciiTheme="minorHAnsi" w:hAnsiTheme="minorHAnsi"/>
          <w:sz w:val="22"/>
          <w:szCs w:val="22"/>
        </w:rPr>
        <w:t>The London Plan (201</w:t>
      </w:r>
      <w:r w:rsidR="00B3785F">
        <w:rPr>
          <w:rFonts w:asciiTheme="minorHAnsi" w:hAnsiTheme="minorHAnsi"/>
          <w:sz w:val="22"/>
          <w:szCs w:val="22"/>
        </w:rPr>
        <w:t>6</w:t>
      </w:r>
      <w:r w:rsidRPr="00326E9B">
        <w:rPr>
          <w:rFonts w:asciiTheme="minorHAnsi" w:hAnsiTheme="minorHAnsi"/>
          <w:sz w:val="22"/>
          <w:szCs w:val="22"/>
        </w:rPr>
        <w:t xml:space="preserve">) </w:t>
      </w:r>
    </w:p>
    <w:p w14:paraId="50901E16" w14:textId="2CF68FB0" w:rsidR="00326E9B" w:rsidRPr="000C4928" w:rsidRDefault="002512AC" w:rsidP="002512AC">
      <w:pPr>
        <w:pStyle w:val="ListParagraph"/>
        <w:numPr>
          <w:ilvl w:val="2"/>
          <w:numId w:val="2"/>
        </w:numPr>
        <w:spacing w:line="276" w:lineRule="auto"/>
        <w:rPr>
          <w:rFonts w:asciiTheme="minorHAnsi" w:hAnsiTheme="minorHAnsi"/>
          <w:sz w:val="22"/>
          <w:szCs w:val="22"/>
          <w:u w:val="single"/>
        </w:rPr>
      </w:pPr>
      <w:r>
        <w:rPr>
          <w:rFonts w:asciiTheme="minorHAnsi" w:hAnsiTheme="minorHAnsi"/>
          <w:sz w:val="22"/>
          <w:szCs w:val="22"/>
        </w:rPr>
        <w:t xml:space="preserve">Camden Local Plan (2017) </w:t>
      </w:r>
    </w:p>
    <w:p w14:paraId="4CE02B41" w14:textId="0CA77BB8" w:rsidR="00B3785F" w:rsidRPr="00B3785F" w:rsidRDefault="00B3785F" w:rsidP="00652290">
      <w:pPr>
        <w:pStyle w:val="ListParagraph"/>
        <w:numPr>
          <w:ilvl w:val="1"/>
          <w:numId w:val="2"/>
        </w:numPr>
        <w:spacing w:line="276" w:lineRule="auto"/>
        <w:rPr>
          <w:rFonts w:ascii="Calibri" w:hAnsi="Calibri"/>
          <w:color w:val="212121"/>
          <w:sz w:val="22"/>
          <w:szCs w:val="22"/>
        </w:rPr>
      </w:pPr>
      <w:r w:rsidRPr="007A7879">
        <w:rPr>
          <w:rFonts w:ascii="Calibri" w:hAnsi="Calibri"/>
          <w:color w:val="212121"/>
          <w:sz w:val="22"/>
          <w:szCs w:val="22"/>
        </w:rPr>
        <w:t xml:space="preserve">The Council has also adopted </w:t>
      </w:r>
      <w:r w:rsidR="002A3CFC">
        <w:rPr>
          <w:rFonts w:ascii="Calibri" w:hAnsi="Calibri"/>
          <w:color w:val="212121"/>
          <w:sz w:val="22"/>
          <w:szCs w:val="22"/>
        </w:rPr>
        <w:t>a number of</w:t>
      </w:r>
      <w:r w:rsidRPr="007A7879">
        <w:rPr>
          <w:rFonts w:ascii="Calibri" w:hAnsi="Calibri"/>
          <w:color w:val="212121"/>
          <w:sz w:val="22"/>
          <w:szCs w:val="22"/>
        </w:rPr>
        <w:t xml:space="preserve"> Planning Guidance documents.</w:t>
      </w:r>
    </w:p>
    <w:p w14:paraId="324A8524" w14:textId="771FD05A" w:rsidR="00652290" w:rsidRPr="00652290" w:rsidRDefault="00652290" w:rsidP="00652290">
      <w:pPr>
        <w:pStyle w:val="ListParagraph"/>
        <w:numPr>
          <w:ilvl w:val="1"/>
          <w:numId w:val="2"/>
        </w:numPr>
        <w:spacing w:line="276" w:lineRule="auto"/>
        <w:rPr>
          <w:rFonts w:cs="Arial"/>
          <w:color w:val="0B0C0C"/>
          <w:sz w:val="41"/>
          <w:szCs w:val="41"/>
        </w:rPr>
      </w:pPr>
      <w:r>
        <w:rPr>
          <w:rFonts w:ascii="Calibri" w:hAnsi="Calibri"/>
          <w:color w:val="212121"/>
          <w:sz w:val="22"/>
          <w:szCs w:val="22"/>
        </w:rPr>
        <w:t>The following</w:t>
      </w:r>
      <w:r w:rsidR="002A3CFC">
        <w:rPr>
          <w:rFonts w:ascii="Calibri" w:hAnsi="Calibri"/>
          <w:color w:val="212121"/>
          <w:sz w:val="22"/>
          <w:szCs w:val="22"/>
        </w:rPr>
        <w:t xml:space="preserve"> Local Plan</w:t>
      </w:r>
      <w:r>
        <w:rPr>
          <w:rFonts w:ascii="Calibri" w:hAnsi="Calibri"/>
          <w:color w:val="212121"/>
          <w:sz w:val="22"/>
          <w:szCs w:val="22"/>
        </w:rPr>
        <w:t xml:space="preserve"> </w:t>
      </w:r>
      <w:r w:rsidR="002A3CFC">
        <w:rPr>
          <w:rFonts w:ascii="Calibri" w:hAnsi="Calibri"/>
          <w:color w:val="212121"/>
          <w:sz w:val="22"/>
          <w:szCs w:val="22"/>
        </w:rPr>
        <w:t>policies</w:t>
      </w:r>
      <w:r>
        <w:rPr>
          <w:rFonts w:ascii="Calibri" w:hAnsi="Calibri"/>
          <w:color w:val="212121"/>
          <w:sz w:val="22"/>
          <w:szCs w:val="22"/>
        </w:rPr>
        <w:t xml:space="preserve"> are relevant to this appeal</w:t>
      </w:r>
    </w:p>
    <w:p w14:paraId="432408DD" w14:textId="77777777" w:rsidR="00326E9B" w:rsidRPr="00291BE4" w:rsidRDefault="00326E9B" w:rsidP="00011819">
      <w:pPr>
        <w:widowControl w:val="0"/>
        <w:autoSpaceDE w:val="0"/>
        <w:autoSpaceDN w:val="0"/>
        <w:adjustRightInd w:val="0"/>
        <w:spacing w:line="276" w:lineRule="auto"/>
        <w:ind w:left="709" w:right="-476"/>
        <w:contextualSpacing/>
        <w:jc w:val="both"/>
        <w:rPr>
          <w:rFonts w:asciiTheme="minorHAnsi" w:hAnsiTheme="minorHAnsi" w:cs="Arial"/>
          <w:sz w:val="22"/>
          <w:szCs w:val="22"/>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tblGrid>
      <w:tr w:rsidR="00326E9B" w:rsidRPr="00291BE4" w14:paraId="6F93AB3D" w14:textId="77777777" w:rsidTr="00326E9B">
        <w:tc>
          <w:tcPr>
            <w:tcW w:w="7796" w:type="dxa"/>
            <w:shd w:val="clear" w:color="auto" w:fill="auto"/>
          </w:tcPr>
          <w:p w14:paraId="0FFC1C02" w14:textId="3439E47F" w:rsidR="00326E9B" w:rsidRPr="00291BE4" w:rsidRDefault="007A7879" w:rsidP="00011819">
            <w:pPr>
              <w:spacing w:line="276" w:lineRule="auto"/>
              <w:rPr>
                <w:rFonts w:asciiTheme="minorHAnsi" w:hAnsiTheme="minorHAnsi" w:cs="Arial"/>
                <w:b/>
                <w:sz w:val="22"/>
                <w:szCs w:val="22"/>
              </w:rPr>
            </w:pPr>
            <w:r>
              <w:rPr>
                <w:rFonts w:asciiTheme="minorHAnsi" w:hAnsiTheme="minorHAnsi" w:cs="Arial"/>
                <w:b/>
                <w:sz w:val="22"/>
                <w:szCs w:val="22"/>
              </w:rPr>
              <w:t>Camden</w:t>
            </w:r>
            <w:r w:rsidR="00326E9B" w:rsidRPr="00291BE4">
              <w:rPr>
                <w:rFonts w:asciiTheme="minorHAnsi" w:hAnsiTheme="minorHAnsi" w:cs="Arial"/>
                <w:b/>
                <w:sz w:val="22"/>
                <w:szCs w:val="22"/>
              </w:rPr>
              <w:t xml:space="preserve"> </w:t>
            </w:r>
            <w:r w:rsidR="00C73639">
              <w:rPr>
                <w:rFonts w:asciiTheme="minorHAnsi" w:hAnsiTheme="minorHAnsi" w:cs="Arial"/>
                <w:b/>
                <w:sz w:val="22"/>
                <w:szCs w:val="22"/>
              </w:rPr>
              <w:t>Local Plan (2017)</w:t>
            </w:r>
          </w:p>
          <w:p w14:paraId="55CB33EB" w14:textId="77777777" w:rsidR="00326E9B" w:rsidRPr="00291BE4" w:rsidRDefault="00326E9B" w:rsidP="00011819">
            <w:pPr>
              <w:spacing w:line="276" w:lineRule="auto"/>
              <w:rPr>
                <w:rFonts w:asciiTheme="minorHAnsi" w:hAnsiTheme="minorHAnsi" w:cs="Arial"/>
                <w:sz w:val="22"/>
                <w:szCs w:val="22"/>
              </w:rPr>
            </w:pPr>
          </w:p>
        </w:tc>
      </w:tr>
      <w:tr w:rsidR="00326E9B" w:rsidRPr="00291BE4" w14:paraId="539B6B85" w14:textId="77777777" w:rsidTr="00326E9B">
        <w:tc>
          <w:tcPr>
            <w:tcW w:w="7796" w:type="dxa"/>
            <w:shd w:val="clear" w:color="auto" w:fill="auto"/>
          </w:tcPr>
          <w:p w14:paraId="1FD1FF05" w14:textId="4623A460"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G1 Delivery and location of growth</w:t>
            </w:r>
          </w:p>
          <w:p w14:paraId="36281649" w14:textId="69236606"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H1 Maximising housing supply</w:t>
            </w:r>
          </w:p>
          <w:p w14:paraId="3AEBCFA1" w14:textId="0E0DE94C"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H2 Maximising the supply of self-contained housing from mixed-use schemes</w:t>
            </w:r>
          </w:p>
          <w:p w14:paraId="0389168E" w14:textId="46BBB86A"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H4 Maximising the supply of affordable housing</w:t>
            </w:r>
          </w:p>
          <w:p w14:paraId="3D32E881" w14:textId="2A9E9001"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H6 Housing choice and mix</w:t>
            </w:r>
          </w:p>
          <w:p w14:paraId="74E18099" w14:textId="4D6F7ED3"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 xml:space="preserve">Policy C1 Health and wellbeing </w:t>
            </w:r>
          </w:p>
          <w:p w14:paraId="0A0F5C1B" w14:textId="49614BFA"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 xml:space="preserve">Policy C2 Community facilities </w:t>
            </w:r>
          </w:p>
          <w:p w14:paraId="0A4D284A" w14:textId="34ACA22B"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 xml:space="preserve">Policy C3 Cultural and leisure facilities </w:t>
            </w:r>
          </w:p>
          <w:p w14:paraId="4D0F665D" w14:textId="5DD6181F"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 xml:space="preserve">Policy C5 Safety and security </w:t>
            </w:r>
          </w:p>
          <w:p w14:paraId="62D6E290" w14:textId="7968488E"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C6 Access for all</w:t>
            </w:r>
          </w:p>
          <w:p w14:paraId="723D5D88" w14:textId="30B473FC"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E3 Tourism</w:t>
            </w:r>
          </w:p>
          <w:p w14:paraId="4E368C58" w14:textId="15D262E4"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A1 Managing the impact of development</w:t>
            </w:r>
          </w:p>
          <w:p w14:paraId="1DB2FC37" w14:textId="43287E39"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A2 Open space</w:t>
            </w:r>
          </w:p>
          <w:p w14:paraId="76828133" w14:textId="037F2FCC"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A3 Biodiversity</w:t>
            </w:r>
          </w:p>
          <w:p w14:paraId="07A37CB7" w14:textId="4159457B"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A4 Noise and vibration</w:t>
            </w:r>
          </w:p>
          <w:p w14:paraId="25F41D46" w14:textId="18CB4525"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A5 Basements</w:t>
            </w:r>
          </w:p>
          <w:p w14:paraId="0DE0DEAC" w14:textId="49285E87"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D1 Design</w:t>
            </w:r>
          </w:p>
          <w:p w14:paraId="06CB17A6" w14:textId="2CBF42D3"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D2 Heritage</w:t>
            </w:r>
          </w:p>
          <w:p w14:paraId="3856E065" w14:textId="40737411"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D3 Shopfronts</w:t>
            </w:r>
          </w:p>
          <w:p w14:paraId="1AC844E6" w14:textId="28387ABB"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CC1 Climate change mitigation</w:t>
            </w:r>
          </w:p>
          <w:p w14:paraId="1007FEA7" w14:textId="19C92783"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CC2 Adapting to climate change</w:t>
            </w:r>
          </w:p>
          <w:p w14:paraId="1DC11101" w14:textId="54FD7C51"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CC3 Water and flooding</w:t>
            </w:r>
          </w:p>
          <w:p w14:paraId="12B62005" w14:textId="1B972451"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CC4 Air quality</w:t>
            </w:r>
          </w:p>
          <w:p w14:paraId="6FF70C52" w14:textId="1058F8B1"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CC5 Waste</w:t>
            </w:r>
          </w:p>
          <w:p w14:paraId="74719A00" w14:textId="404959CB"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TC1 Quantity and location of retail development</w:t>
            </w:r>
          </w:p>
          <w:p w14:paraId="452DF127" w14:textId="5906A320"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TC2 Camden’s centres and other shopping areas</w:t>
            </w:r>
          </w:p>
          <w:p w14:paraId="0E894874" w14:textId="6EACEF6B"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TC4 Town centres uses</w:t>
            </w:r>
          </w:p>
          <w:p w14:paraId="66419DAA" w14:textId="7B69D22E"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T1 Prioritising walking, cycling and public transport</w:t>
            </w:r>
          </w:p>
          <w:p w14:paraId="7E4A802F" w14:textId="25B127B9"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T2 Parking and car-free development</w:t>
            </w:r>
          </w:p>
          <w:p w14:paraId="0B248DD4" w14:textId="184DA52C"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T3 Transport infrastructure</w:t>
            </w:r>
          </w:p>
          <w:p w14:paraId="1461B025" w14:textId="75C64EF7" w:rsidR="00C25D33" w:rsidRPr="00C25D33" w:rsidRDefault="00C25D33" w:rsidP="00C25D33">
            <w:pPr>
              <w:spacing w:line="276" w:lineRule="auto"/>
              <w:rPr>
                <w:rFonts w:asciiTheme="minorHAnsi" w:hAnsiTheme="minorHAnsi"/>
                <w:sz w:val="22"/>
                <w:szCs w:val="22"/>
              </w:rPr>
            </w:pPr>
            <w:r w:rsidRPr="00C25D33">
              <w:rPr>
                <w:rFonts w:asciiTheme="minorHAnsi" w:hAnsiTheme="minorHAnsi"/>
                <w:sz w:val="22"/>
                <w:szCs w:val="22"/>
              </w:rPr>
              <w:t>Policy T4 Sustainable movement of goods and materials</w:t>
            </w:r>
          </w:p>
          <w:p w14:paraId="79949169" w14:textId="53D04C98" w:rsidR="00326E9B" w:rsidRPr="00291BE4" w:rsidRDefault="00C25D33" w:rsidP="00C25D33">
            <w:pPr>
              <w:spacing w:line="276" w:lineRule="auto"/>
              <w:rPr>
                <w:rFonts w:asciiTheme="minorHAnsi" w:hAnsiTheme="minorHAnsi" w:cs="Arial"/>
                <w:sz w:val="22"/>
                <w:szCs w:val="22"/>
              </w:rPr>
            </w:pPr>
            <w:r w:rsidRPr="00C25D33">
              <w:rPr>
                <w:rFonts w:asciiTheme="minorHAnsi" w:hAnsiTheme="minorHAnsi"/>
                <w:sz w:val="22"/>
                <w:szCs w:val="22"/>
              </w:rPr>
              <w:t>Policy DM1 Delivery and monitoring</w:t>
            </w:r>
          </w:p>
        </w:tc>
      </w:tr>
    </w:tbl>
    <w:p w14:paraId="7F4DB15A" w14:textId="77777777" w:rsidR="00326E9B" w:rsidRPr="00326E9B" w:rsidRDefault="00326E9B" w:rsidP="00011819">
      <w:pPr>
        <w:spacing w:line="276" w:lineRule="auto"/>
        <w:ind w:right="-193"/>
        <w:jc w:val="both"/>
        <w:rPr>
          <w:rFonts w:asciiTheme="minorHAnsi" w:hAnsiTheme="minorHAnsi"/>
          <w:sz w:val="22"/>
          <w:szCs w:val="22"/>
        </w:rPr>
      </w:pPr>
    </w:p>
    <w:p w14:paraId="6299D8A8" w14:textId="77777777" w:rsidR="00326E9B" w:rsidRDefault="004436CF" w:rsidP="00C208E9">
      <w:pPr>
        <w:pStyle w:val="ListParagraph"/>
        <w:numPr>
          <w:ilvl w:val="0"/>
          <w:numId w:val="2"/>
        </w:numPr>
        <w:spacing w:line="276" w:lineRule="auto"/>
        <w:rPr>
          <w:rFonts w:asciiTheme="minorHAnsi" w:hAnsiTheme="minorHAnsi"/>
          <w:sz w:val="22"/>
          <w:szCs w:val="22"/>
          <w:u w:val="single"/>
        </w:rPr>
      </w:pPr>
      <w:r w:rsidRPr="00291BE4">
        <w:rPr>
          <w:rFonts w:asciiTheme="minorHAnsi" w:hAnsiTheme="minorHAnsi"/>
          <w:sz w:val="22"/>
          <w:szCs w:val="22"/>
          <w:u w:val="single"/>
        </w:rPr>
        <w:t>Supplementary Planning Guidance</w:t>
      </w:r>
    </w:p>
    <w:p w14:paraId="71EBC946" w14:textId="219BFE3C" w:rsidR="00326E9B" w:rsidRPr="00326E9B" w:rsidRDefault="007A7879" w:rsidP="00C208E9">
      <w:pPr>
        <w:pStyle w:val="ListParagraph"/>
        <w:numPr>
          <w:ilvl w:val="1"/>
          <w:numId w:val="2"/>
        </w:numPr>
        <w:spacing w:line="276" w:lineRule="auto"/>
        <w:rPr>
          <w:rFonts w:asciiTheme="minorHAnsi" w:hAnsiTheme="minorHAnsi"/>
          <w:sz w:val="22"/>
          <w:szCs w:val="22"/>
        </w:rPr>
      </w:pPr>
      <w:r>
        <w:rPr>
          <w:rFonts w:asciiTheme="minorHAnsi" w:hAnsiTheme="minorHAnsi"/>
          <w:sz w:val="22"/>
          <w:szCs w:val="22"/>
        </w:rPr>
        <w:t>Camden</w:t>
      </w:r>
      <w:r w:rsidR="00326E9B" w:rsidRPr="00326E9B">
        <w:rPr>
          <w:rFonts w:asciiTheme="minorHAnsi" w:hAnsiTheme="minorHAnsi"/>
          <w:sz w:val="22"/>
          <w:szCs w:val="22"/>
        </w:rPr>
        <w:t xml:space="preserve"> adopted Planning Guidance  </w:t>
      </w:r>
    </w:p>
    <w:p w14:paraId="5DD676FC" w14:textId="77777777" w:rsidR="00EC5DF6" w:rsidRPr="00EC5DF6" w:rsidRDefault="00EC5DF6" w:rsidP="00EC5DF6">
      <w:pPr>
        <w:pStyle w:val="ListParagraph"/>
        <w:spacing w:line="276" w:lineRule="auto"/>
        <w:ind w:left="1080"/>
        <w:rPr>
          <w:rFonts w:asciiTheme="minorHAnsi" w:hAnsiTheme="minorHAnsi"/>
          <w:sz w:val="22"/>
          <w:szCs w:val="22"/>
        </w:rPr>
      </w:pPr>
      <w:r w:rsidRPr="00EC5DF6">
        <w:rPr>
          <w:rFonts w:asciiTheme="minorHAnsi" w:hAnsiTheme="minorHAnsi"/>
          <w:sz w:val="22"/>
          <w:szCs w:val="22"/>
        </w:rPr>
        <w:t>CPG Access for all (2019)</w:t>
      </w:r>
    </w:p>
    <w:p w14:paraId="079F7F36" w14:textId="653C8B00" w:rsidR="00EC5DF6" w:rsidRPr="00EC5DF6" w:rsidRDefault="00EC5DF6" w:rsidP="00EC5DF6">
      <w:pPr>
        <w:pStyle w:val="ListParagraph"/>
        <w:spacing w:line="276" w:lineRule="auto"/>
        <w:ind w:left="1080"/>
        <w:rPr>
          <w:rFonts w:asciiTheme="minorHAnsi" w:hAnsiTheme="minorHAnsi"/>
          <w:sz w:val="22"/>
          <w:szCs w:val="22"/>
        </w:rPr>
      </w:pPr>
      <w:r w:rsidRPr="00EC5DF6">
        <w:rPr>
          <w:rFonts w:asciiTheme="minorHAnsi" w:hAnsiTheme="minorHAnsi"/>
          <w:sz w:val="22"/>
          <w:szCs w:val="22"/>
        </w:rPr>
        <w:t>CPG Design (2019)</w:t>
      </w:r>
    </w:p>
    <w:p w14:paraId="0CDFF00B" w14:textId="5EAD7277" w:rsidR="00EC5DF6" w:rsidRPr="00EC5DF6" w:rsidRDefault="00EC5DF6" w:rsidP="00EC5DF6">
      <w:pPr>
        <w:pStyle w:val="ListParagraph"/>
        <w:spacing w:line="276" w:lineRule="auto"/>
        <w:ind w:left="1080"/>
        <w:rPr>
          <w:rFonts w:asciiTheme="minorHAnsi" w:hAnsiTheme="minorHAnsi"/>
          <w:sz w:val="22"/>
          <w:szCs w:val="22"/>
        </w:rPr>
      </w:pPr>
      <w:r w:rsidRPr="00EC5DF6">
        <w:rPr>
          <w:rFonts w:asciiTheme="minorHAnsi" w:hAnsiTheme="minorHAnsi"/>
          <w:sz w:val="22"/>
          <w:szCs w:val="22"/>
        </w:rPr>
        <w:t>CPG Developer contributions (2019)</w:t>
      </w:r>
    </w:p>
    <w:p w14:paraId="06089D08" w14:textId="3F0D158C" w:rsidR="00EC5DF6" w:rsidRPr="00EC5DF6" w:rsidRDefault="00EC5DF6" w:rsidP="00EC5DF6">
      <w:pPr>
        <w:pStyle w:val="ListParagraph"/>
        <w:spacing w:line="276" w:lineRule="auto"/>
        <w:ind w:left="1080"/>
        <w:rPr>
          <w:rFonts w:asciiTheme="minorHAnsi" w:hAnsiTheme="minorHAnsi"/>
          <w:sz w:val="22"/>
          <w:szCs w:val="22"/>
        </w:rPr>
      </w:pPr>
      <w:r w:rsidRPr="00EC5DF6">
        <w:rPr>
          <w:rFonts w:asciiTheme="minorHAnsi" w:hAnsiTheme="minorHAnsi"/>
          <w:sz w:val="22"/>
          <w:szCs w:val="22"/>
        </w:rPr>
        <w:t>CPG Energy efficiency and adaptation (2019)</w:t>
      </w:r>
    </w:p>
    <w:p w14:paraId="137CF6E1" w14:textId="74007F49" w:rsidR="00EC5DF6" w:rsidRPr="00EC5DF6" w:rsidRDefault="00EC5DF6" w:rsidP="00EC5DF6">
      <w:pPr>
        <w:pStyle w:val="ListParagraph"/>
        <w:spacing w:line="276" w:lineRule="auto"/>
        <w:ind w:left="1080"/>
        <w:rPr>
          <w:rFonts w:asciiTheme="minorHAnsi" w:hAnsiTheme="minorHAnsi"/>
          <w:sz w:val="22"/>
          <w:szCs w:val="22"/>
        </w:rPr>
      </w:pPr>
      <w:r w:rsidRPr="00EC5DF6">
        <w:rPr>
          <w:rFonts w:asciiTheme="minorHAnsi" w:hAnsiTheme="minorHAnsi"/>
          <w:sz w:val="22"/>
          <w:szCs w:val="22"/>
        </w:rPr>
        <w:t>CPG Interim housing (2019)</w:t>
      </w:r>
    </w:p>
    <w:p w14:paraId="3C17C757" w14:textId="52201525" w:rsidR="00EC5DF6" w:rsidRPr="00EC5DF6" w:rsidRDefault="00EC5DF6" w:rsidP="00EC5DF6">
      <w:pPr>
        <w:pStyle w:val="ListParagraph"/>
        <w:spacing w:line="276" w:lineRule="auto"/>
        <w:ind w:left="1080"/>
        <w:rPr>
          <w:rFonts w:asciiTheme="minorHAnsi" w:hAnsiTheme="minorHAnsi"/>
          <w:sz w:val="22"/>
          <w:szCs w:val="22"/>
        </w:rPr>
      </w:pPr>
      <w:r w:rsidRPr="00EC5DF6">
        <w:rPr>
          <w:rFonts w:asciiTheme="minorHAnsi" w:hAnsiTheme="minorHAnsi"/>
          <w:sz w:val="22"/>
          <w:szCs w:val="22"/>
        </w:rPr>
        <w:t>CPG 2 Housing (May 2006 updated March 2019)</w:t>
      </w:r>
    </w:p>
    <w:p w14:paraId="774737E2" w14:textId="33D80F93" w:rsidR="00EC5DF6" w:rsidRPr="00EC5DF6" w:rsidRDefault="00EC5DF6" w:rsidP="00EC5DF6">
      <w:pPr>
        <w:pStyle w:val="ListParagraph"/>
        <w:spacing w:line="276" w:lineRule="auto"/>
        <w:ind w:left="1080"/>
        <w:rPr>
          <w:rFonts w:asciiTheme="minorHAnsi" w:hAnsiTheme="minorHAnsi"/>
          <w:sz w:val="22"/>
          <w:szCs w:val="22"/>
        </w:rPr>
      </w:pPr>
      <w:r w:rsidRPr="00EC5DF6">
        <w:rPr>
          <w:rFonts w:asciiTheme="minorHAnsi" w:hAnsiTheme="minorHAnsi"/>
          <w:sz w:val="22"/>
          <w:szCs w:val="22"/>
        </w:rPr>
        <w:t>CPG Transport (2019)</w:t>
      </w:r>
    </w:p>
    <w:p w14:paraId="0237CCCC" w14:textId="02DA39CC" w:rsidR="00EC5DF6" w:rsidRPr="00EC5DF6" w:rsidRDefault="00EC5DF6" w:rsidP="00EC5DF6">
      <w:pPr>
        <w:pStyle w:val="ListParagraph"/>
        <w:spacing w:line="276" w:lineRule="auto"/>
        <w:ind w:left="1080"/>
        <w:rPr>
          <w:rFonts w:asciiTheme="minorHAnsi" w:hAnsiTheme="minorHAnsi"/>
          <w:sz w:val="22"/>
          <w:szCs w:val="22"/>
        </w:rPr>
      </w:pPr>
      <w:r w:rsidRPr="00EC5DF6">
        <w:rPr>
          <w:rFonts w:asciiTheme="minorHAnsi" w:hAnsiTheme="minorHAnsi"/>
          <w:sz w:val="22"/>
          <w:szCs w:val="22"/>
        </w:rPr>
        <w:t>CPG Water and flooding (2019)</w:t>
      </w:r>
    </w:p>
    <w:p w14:paraId="31B84C9B" w14:textId="08E7EDDA" w:rsidR="00EC5DF6" w:rsidRPr="00EC5DF6" w:rsidRDefault="00EC5DF6" w:rsidP="00EC5DF6">
      <w:pPr>
        <w:pStyle w:val="ListParagraph"/>
        <w:spacing w:line="276" w:lineRule="auto"/>
        <w:ind w:left="1080"/>
        <w:rPr>
          <w:rFonts w:asciiTheme="minorHAnsi" w:hAnsiTheme="minorHAnsi"/>
          <w:sz w:val="22"/>
          <w:szCs w:val="22"/>
        </w:rPr>
      </w:pPr>
      <w:r w:rsidRPr="00EC5DF6">
        <w:rPr>
          <w:rFonts w:asciiTheme="minorHAnsi" w:hAnsiTheme="minorHAnsi"/>
          <w:sz w:val="22"/>
          <w:szCs w:val="22"/>
        </w:rPr>
        <w:t>CPG Amenity (2018)</w:t>
      </w:r>
    </w:p>
    <w:p w14:paraId="065FAD62" w14:textId="449C7427" w:rsidR="00EC5DF6" w:rsidRPr="00EC5DF6" w:rsidRDefault="00EC5DF6" w:rsidP="00EC5DF6">
      <w:pPr>
        <w:pStyle w:val="ListParagraph"/>
        <w:spacing w:line="276" w:lineRule="auto"/>
        <w:ind w:left="1080"/>
        <w:rPr>
          <w:rFonts w:asciiTheme="minorHAnsi" w:hAnsiTheme="minorHAnsi"/>
          <w:sz w:val="22"/>
          <w:szCs w:val="22"/>
        </w:rPr>
      </w:pPr>
      <w:r w:rsidRPr="00EC5DF6">
        <w:rPr>
          <w:rFonts w:asciiTheme="minorHAnsi" w:hAnsiTheme="minorHAnsi"/>
          <w:sz w:val="22"/>
          <w:szCs w:val="22"/>
        </w:rPr>
        <w:t>CPG Biodiversity (2018)</w:t>
      </w:r>
    </w:p>
    <w:p w14:paraId="1F8B2F44" w14:textId="4120D03A" w:rsidR="00EC5DF6" w:rsidRPr="00EC5DF6" w:rsidRDefault="00EC5DF6" w:rsidP="00EC5DF6">
      <w:pPr>
        <w:pStyle w:val="ListParagraph"/>
        <w:spacing w:line="276" w:lineRule="auto"/>
        <w:ind w:left="1080"/>
        <w:rPr>
          <w:rFonts w:asciiTheme="minorHAnsi" w:hAnsiTheme="minorHAnsi"/>
          <w:sz w:val="22"/>
          <w:szCs w:val="22"/>
        </w:rPr>
      </w:pPr>
      <w:r w:rsidRPr="00EC5DF6">
        <w:rPr>
          <w:rFonts w:asciiTheme="minorHAnsi" w:hAnsiTheme="minorHAnsi"/>
          <w:sz w:val="22"/>
          <w:szCs w:val="22"/>
        </w:rPr>
        <w:t>CPG Basements (2018)</w:t>
      </w:r>
    </w:p>
    <w:p w14:paraId="39A1130E" w14:textId="22E12A59" w:rsidR="00EC5DF6" w:rsidRPr="00EC5DF6" w:rsidRDefault="00EC5DF6" w:rsidP="00EC5DF6">
      <w:pPr>
        <w:pStyle w:val="ListParagraph"/>
        <w:spacing w:line="276" w:lineRule="auto"/>
        <w:ind w:left="1080"/>
        <w:rPr>
          <w:rFonts w:asciiTheme="minorHAnsi" w:hAnsiTheme="minorHAnsi"/>
          <w:sz w:val="22"/>
          <w:szCs w:val="22"/>
        </w:rPr>
      </w:pPr>
      <w:r w:rsidRPr="00EC5DF6">
        <w:rPr>
          <w:rFonts w:asciiTheme="minorHAnsi" w:hAnsiTheme="minorHAnsi"/>
          <w:sz w:val="22"/>
          <w:szCs w:val="22"/>
        </w:rPr>
        <w:t>CPG Community uses, leisure facilities and pubs (2018)</w:t>
      </w:r>
    </w:p>
    <w:p w14:paraId="7364C145" w14:textId="332253AD" w:rsidR="00EC5DF6" w:rsidRPr="00EC5DF6" w:rsidRDefault="00EC5DF6" w:rsidP="00EC5DF6">
      <w:pPr>
        <w:pStyle w:val="ListParagraph"/>
        <w:spacing w:line="276" w:lineRule="auto"/>
        <w:ind w:left="1080"/>
        <w:rPr>
          <w:rFonts w:asciiTheme="minorHAnsi" w:hAnsiTheme="minorHAnsi"/>
          <w:sz w:val="22"/>
          <w:szCs w:val="22"/>
        </w:rPr>
      </w:pPr>
      <w:r w:rsidRPr="00EC5DF6">
        <w:rPr>
          <w:rFonts w:asciiTheme="minorHAnsi" w:hAnsiTheme="minorHAnsi"/>
          <w:sz w:val="22"/>
          <w:szCs w:val="22"/>
        </w:rPr>
        <w:t>CPG Planning for health and wellbeing (2018)</w:t>
      </w:r>
    </w:p>
    <w:p w14:paraId="1E26DB33" w14:textId="46F0E84B" w:rsidR="00326E9B" w:rsidRPr="0036380C" w:rsidRDefault="00EC5DF6" w:rsidP="00EC5DF6">
      <w:pPr>
        <w:pStyle w:val="ListParagraph"/>
        <w:spacing w:line="276" w:lineRule="auto"/>
        <w:ind w:left="1080"/>
        <w:rPr>
          <w:rFonts w:asciiTheme="minorHAnsi" w:hAnsiTheme="minorHAnsi"/>
          <w:sz w:val="22"/>
          <w:szCs w:val="22"/>
        </w:rPr>
      </w:pPr>
      <w:r w:rsidRPr="00EC5DF6">
        <w:rPr>
          <w:rFonts w:asciiTheme="minorHAnsi" w:hAnsiTheme="minorHAnsi"/>
          <w:sz w:val="22"/>
          <w:szCs w:val="22"/>
        </w:rPr>
        <w:t>CPG Town Centres (2018)</w:t>
      </w:r>
      <w:r w:rsidRPr="00EC5DF6">
        <w:rPr>
          <w:rFonts w:asciiTheme="minorHAnsi" w:hAnsiTheme="minorHAnsi"/>
          <w:sz w:val="22"/>
          <w:szCs w:val="22"/>
        </w:rPr>
        <w:cr/>
      </w:r>
    </w:p>
    <w:p w14:paraId="53B3E4E7" w14:textId="77777777" w:rsidR="004436CF" w:rsidRPr="005F504A" w:rsidRDefault="004436CF" w:rsidP="00C208E9">
      <w:pPr>
        <w:pStyle w:val="ListParagraph"/>
        <w:numPr>
          <w:ilvl w:val="0"/>
          <w:numId w:val="2"/>
        </w:numPr>
        <w:spacing w:line="276" w:lineRule="auto"/>
        <w:rPr>
          <w:rFonts w:asciiTheme="minorHAnsi" w:hAnsiTheme="minorHAnsi"/>
          <w:sz w:val="22"/>
          <w:szCs w:val="22"/>
          <w:u w:val="single"/>
        </w:rPr>
      </w:pPr>
      <w:r w:rsidRPr="005F504A">
        <w:rPr>
          <w:rFonts w:asciiTheme="minorHAnsi" w:hAnsiTheme="minorHAnsi"/>
          <w:sz w:val="22"/>
          <w:szCs w:val="22"/>
          <w:u w:val="single"/>
        </w:rPr>
        <w:t>National Policy</w:t>
      </w:r>
    </w:p>
    <w:p w14:paraId="376166A8" w14:textId="0EE4C760" w:rsidR="007D3D3E" w:rsidRDefault="007D3D3E" w:rsidP="00D41E91">
      <w:pPr>
        <w:spacing w:line="276" w:lineRule="auto"/>
        <w:ind w:right="-476"/>
        <w:jc w:val="both"/>
        <w:rPr>
          <w:rFonts w:asciiTheme="minorHAnsi" w:hAnsiTheme="minorHAnsi" w:cs="Arial"/>
          <w:iCs/>
          <w:sz w:val="22"/>
          <w:szCs w:val="22"/>
        </w:rPr>
      </w:pPr>
      <w:r w:rsidRPr="005F504A">
        <w:rPr>
          <w:rFonts w:asciiTheme="minorHAnsi" w:hAnsiTheme="minorHAnsi" w:cs="Arial"/>
          <w:iCs/>
          <w:sz w:val="22"/>
          <w:szCs w:val="22"/>
        </w:rPr>
        <w:t>Both the National Planning Policy Framework and the Planning P</w:t>
      </w:r>
      <w:r w:rsidR="00697B36">
        <w:rPr>
          <w:rFonts w:asciiTheme="minorHAnsi" w:hAnsiTheme="minorHAnsi" w:cs="Arial"/>
          <w:iCs/>
          <w:sz w:val="22"/>
          <w:szCs w:val="22"/>
        </w:rPr>
        <w:t>ractice</w:t>
      </w:r>
      <w:r w:rsidRPr="005F504A">
        <w:rPr>
          <w:rFonts w:asciiTheme="minorHAnsi" w:hAnsiTheme="minorHAnsi" w:cs="Arial"/>
          <w:iCs/>
          <w:sz w:val="22"/>
          <w:szCs w:val="22"/>
        </w:rPr>
        <w:t xml:space="preserve"> Guidance are material considerations in the determination of this application.  While none of the content can be dismissed as irrelevant</w:t>
      </w:r>
      <w:r w:rsidR="00FF4839">
        <w:rPr>
          <w:rFonts w:asciiTheme="minorHAnsi" w:hAnsiTheme="minorHAnsi" w:cs="Arial"/>
          <w:iCs/>
          <w:sz w:val="22"/>
          <w:szCs w:val="22"/>
        </w:rPr>
        <w:t>,</w:t>
      </w:r>
      <w:r w:rsidRPr="005F504A">
        <w:rPr>
          <w:rFonts w:asciiTheme="minorHAnsi" w:hAnsiTheme="minorHAnsi" w:cs="Arial"/>
          <w:iCs/>
          <w:sz w:val="22"/>
          <w:szCs w:val="22"/>
        </w:rPr>
        <w:t xml:space="preserve"> it is considered that specific parts of each one are particularly relevant as follows</w:t>
      </w:r>
      <w:r w:rsidR="00D41E91">
        <w:rPr>
          <w:rFonts w:asciiTheme="minorHAnsi" w:hAnsiTheme="minorHAnsi" w:cs="Arial"/>
          <w:iCs/>
          <w:sz w:val="22"/>
          <w:szCs w:val="22"/>
        </w:rPr>
        <w:t>:</w:t>
      </w:r>
    </w:p>
    <w:p w14:paraId="38331EC9" w14:textId="77777777" w:rsidR="00D41E91" w:rsidRPr="005F504A" w:rsidRDefault="00D41E91" w:rsidP="00D41E91">
      <w:pPr>
        <w:spacing w:line="276" w:lineRule="auto"/>
        <w:ind w:right="-476"/>
        <w:jc w:val="both"/>
        <w:rPr>
          <w:rFonts w:asciiTheme="minorHAnsi" w:hAnsiTheme="minorHAnsi" w:cs="Arial"/>
          <w:iCs/>
          <w:sz w:val="22"/>
          <w:szCs w:val="22"/>
        </w:rPr>
      </w:pPr>
    </w:p>
    <w:p w14:paraId="2EAC14B9" w14:textId="77777777" w:rsidR="003126B1" w:rsidRPr="00F82095" w:rsidRDefault="007D3D3E" w:rsidP="00C208E9">
      <w:pPr>
        <w:numPr>
          <w:ilvl w:val="1"/>
          <w:numId w:val="2"/>
        </w:numPr>
        <w:spacing w:line="276" w:lineRule="auto"/>
        <w:ind w:right="-476"/>
        <w:jc w:val="both"/>
        <w:rPr>
          <w:rFonts w:asciiTheme="minorHAnsi" w:hAnsiTheme="minorHAnsi" w:cs="Arial"/>
          <w:iCs/>
          <w:sz w:val="22"/>
          <w:szCs w:val="22"/>
        </w:rPr>
      </w:pPr>
      <w:r w:rsidRPr="005F504A">
        <w:rPr>
          <w:rFonts w:asciiTheme="minorHAnsi" w:hAnsiTheme="minorHAnsi" w:cs="Arial"/>
          <w:iCs/>
          <w:sz w:val="22"/>
          <w:szCs w:val="22"/>
        </w:rPr>
        <w:t>NPPF</w:t>
      </w:r>
    </w:p>
    <w:p w14:paraId="1AA3C0F2" w14:textId="7DA4F23B" w:rsidR="005F378C" w:rsidRPr="00F82095" w:rsidRDefault="005F378C" w:rsidP="00D1365E">
      <w:pPr>
        <w:spacing w:line="276" w:lineRule="auto"/>
        <w:ind w:right="-476"/>
        <w:jc w:val="both"/>
        <w:rPr>
          <w:rFonts w:asciiTheme="minorHAnsi" w:hAnsiTheme="minorHAnsi" w:cs="Arial"/>
          <w:iCs/>
          <w:sz w:val="22"/>
          <w:szCs w:val="22"/>
        </w:rPr>
      </w:pPr>
    </w:p>
    <w:p w14:paraId="17AEAC31" w14:textId="397EC6FD" w:rsidR="00D1365E" w:rsidRPr="00F82095" w:rsidRDefault="00D1365E" w:rsidP="00D1365E">
      <w:pPr>
        <w:numPr>
          <w:ilvl w:val="2"/>
          <w:numId w:val="2"/>
        </w:numPr>
        <w:spacing w:line="276" w:lineRule="auto"/>
        <w:ind w:right="-476"/>
        <w:jc w:val="both"/>
        <w:rPr>
          <w:rFonts w:asciiTheme="minorHAnsi" w:hAnsiTheme="minorHAnsi" w:cs="Arial"/>
          <w:iCs/>
          <w:sz w:val="22"/>
          <w:szCs w:val="22"/>
        </w:rPr>
      </w:pPr>
      <w:r w:rsidRPr="00F82095">
        <w:rPr>
          <w:rFonts w:asciiTheme="minorHAnsi" w:hAnsiTheme="minorHAnsi"/>
          <w:sz w:val="22"/>
          <w:szCs w:val="22"/>
        </w:rPr>
        <w:t xml:space="preserve">Paragraph </w:t>
      </w:r>
      <w:r w:rsidR="00C73639">
        <w:rPr>
          <w:rFonts w:asciiTheme="minorHAnsi" w:hAnsiTheme="minorHAnsi"/>
          <w:sz w:val="22"/>
          <w:szCs w:val="22"/>
        </w:rPr>
        <w:t>8,</w:t>
      </w:r>
      <w:r w:rsidR="00EC6E91">
        <w:rPr>
          <w:rFonts w:asciiTheme="minorHAnsi" w:hAnsiTheme="minorHAnsi"/>
          <w:sz w:val="22"/>
          <w:szCs w:val="22"/>
        </w:rPr>
        <w:t xml:space="preserve"> which </w:t>
      </w:r>
      <w:r w:rsidRPr="00F82095">
        <w:rPr>
          <w:rFonts w:asciiTheme="minorHAnsi" w:hAnsiTheme="minorHAnsi"/>
          <w:sz w:val="22"/>
          <w:szCs w:val="22"/>
        </w:rPr>
        <w:t>defines ‘sustainable development’ as having three dimensions; economic, social and environmental</w:t>
      </w:r>
      <w:r w:rsidR="00B248EA">
        <w:rPr>
          <w:rFonts w:asciiTheme="minorHAnsi" w:hAnsiTheme="minorHAnsi"/>
          <w:sz w:val="22"/>
          <w:szCs w:val="22"/>
        </w:rPr>
        <w:t>.</w:t>
      </w:r>
    </w:p>
    <w:p w14:paraId="58280E7C" w14:textId="5CA2BBCA" w:rsidR="00D1365E" w:rsidRPr="00EC5DF6" w:rsidRDefault="00D1365E" w:rsidP="00D1365E">
      <w:pPr>
        <w:numPr>
          <w:ilvl w:val="2"/>
          <w:numId w:val="2"/>
        </w:numPr>
        <w:spacing w:line="276" w:lineRule="auto"/>
        <w:ind w:right="-476"/>
        <w:jc w:val="both"/>
        <w:rPr>
          <w:rFonts w:asciiTheme="minorHAnsi" w:hAnsiTheme="minorHAnsi" w:cs="Arial"/>
          <w:iCs/>
          <w:sz w:val="22"/>
          <w:szCs w:val="22"/>
        </w:rPr>
      </w:pPr>
      <w:r w:rsidRPr="00F82095">
        <w:rPr>
          <w:rFonts w:asciiTheme="minorHAnsi" w:hAnsiTheme="minorHAnsi"/>
          <w:sz w:val="22"/>
          <w:szCs w:val="22"/>
        </w:rPr>
        <w:t>Paragraph 1</w:t>
      </w:r>
      <w:r w:rsidR="00C73639">
        <w:rPr>
          <w:rFonts w:asciiTheme="minorHAnsi" w:hAnsiTheme="minorHAnsi"/>
          <w:sz w:val="22"/>
          <w:szCs w:val="22"/>
        </w:rPr>
        <w:t>0</w:t>
      </w:r>
      <w:r w:rsidRPr="00F82095">
        <w:rPr>
          <w:rFonts w:asciiTheme="minorHAnsi" w:hAnsiTheme="minorHAnsi"/>
          <w:sz w:val="22"/>
          <w:szCs w:val="22"/>
        </w:rPr>
        <w:t xml:space="preserve"> and the presumption in favour of sustainable development, which states that “For decision-taking this means: </w:t>
      </w:r>
      <w:r w:rsidR="00C73639">
        <w:rPr>
          <w:rFonts w:asciiTheme="minorHAnsi" w:hAnsiTheme="minorHAnsi"/>
          <w:sz w:val="22"/>
          <w:szCs w:val="22"/>
        </w:rPr>
        <w:t xml:space="preserve"> </w:t>
      </w:r>
      <w:r w:rsidR="00C73639" w:rsidRPr="00C73639">
        <w:rPr>
          <w:rFonts w:asciiTheme="minorHAnsi" w:hAnsiTheme="minorHAnsi"/>
          <w:sz w:val="22"/>
          <w:szCs w:val="22"/>
        </w:rPr>
        <w:t>approving development proposals that accord with an up-to-date development plan without delay; or d) where there are no relevant development plan policies, or the policies which are most important for determining the application are out-of-date7 , granting permission unless: i. the application of policies in this Framework that protect areas or assets of particular importance provides a clear reason for re</w:t>
      </w:r>
      <w:r w:rsidR="00C73639">
        <w:rPr>
          <w:rFonts w:asciiTheme="minorHAnsi" w:hAnsiTheme="minorHAnsi"/>
          <w:sz w:val="22"/>
          <w:szCs w:val="22"/>
        </w:rPr>
        <w:t>fusing the development proposed</w:t>
      </w:r>
      <w:r w:rsidR="00C73639" w:rsidRPr="00C73639">
        <w:rPr>
          <w:rFonts w:asciiTheme="minorHAnsi" w:hAnsiTheme="minorHAnsi"/>
          <w:sz w:val="22"/>
          <w:szCs w:val="22"/>
        </w:rPr>
        <w:t xml:space="preserve"> ; or ii. any adverse impacts of doing so would significantly and demonstrably outweigh the benefits, when assessed against the policies in this Framework taken as a whole</w:t>
      </w:r>
      <w:r w:rsidRPr="00F82095">
        <w:rPr>
          <w:rFonts w:asciiTheme="minorHAnsi" w:hAnsiTheme="minorHAnsi"/>
          <w:sz w:val="22"/>
          <w:szCs w:val="22"/>
        </w:rPr>
        <w:t>”.</w:t>
      </w:r>
    </w:p>
    <w:p w14:paraId="230C53EC" w14:textId="0D7BF399" w:rsidR="00EC5DF6" w:rsidRPr="00F82095" w:rsidRDefault="00EC5DF6" w:rsidP="00D1365E">
      <w:pPr>
        <w:numPr>
          <w:ilvl w:val="2"/>
          <w:numId w:val="2"/>
        </w:numPr>
        <w:spacing w:line="276" w:lineRule="auto"/>
        <w:ind w:right="-476"/>
        <w:jc w:val="both"/>
        <w:rPr>
          <w:rFonts w:asciiTheme="minorHAnsi" w:hAnsiTheme="minorHAnsi" w:cs="Arial"/>
          <w:iCs/>
          <w:sz w:val="22"/>
          <w:szCs w:val="22"/>
        </w:rPr>
      </w:pPr>
      <w:r>
        <w:rPr>
          <w:rFonts w:asciiTheme="minorHAnsi" w:hAnsiTheme="minorHAnsi"/>
          <w:sz w:val="22"/>
          <w:szCs w:val="22"/>
        </w:rPr>
        <w:t>Paragraph 92 which states that “</w:t>
      </w:r>
      <w:r w:rsidRPr="00EC5DF6">
        <w:rPr>
          <w:rFonts w:asciiTheme="minorHAnsi" w:hAnsiTheme="minorHAnsi"/>
          <w:sz w:val="22"/>
          <w:szCs w:val="22"/>
        </w:rPr>
        <w:t>To provide the social, recreational and cultural facilities and services the community needs, planning policies and decisions should: a) plan positively for the provision and use of shared spaces, community facilities (such as local shops, meeting places, sports venues, open space, cultural buildings, public houses and places of worship) and other local services to enhance the sustainability of communities and residential environments; b) take into account and support the delivery of local strategies to improve health, social and cultural well-being for all sections of the community; c) guard against the unnecessary loss of valued facilities and services, particularly where this would reduce the community’s ability to meet its day-to-day needs; d) ensure that established shops, facilities and services are able to develop and modernise, and are retained for the benefit of the community; and e) ensure an integrated approach to considering the location of housing, economic uses and community facilities and services</w:t>
      </w:r>
      <w:r>
        <w:rPr>
          <w:rFonts w:asciiTheme="minorHAnsi" w:hAnsiTheme="minorHAnsi"/>
          <w:sz w:val="22"/>
          <w:szCs w:val="22"/>
        </w:rPr>
        <w:t>”</w:t>
      </w:r>
      <w:r w:rsidRPr="00EC5DF6">
        <w:rPr>
          <w:rFonts w:asciiTheme="minorHAnsi" w:hAnsiTheme="minorHAnsi"/>
          <w:sz w:val="22"/>
          <w:szCs w:val="22"/>
        </w:rPr>
        <w:t>.</w:t>
      </w:r>
    </w:p>
    <w:p w14:paraId="611D59C9" w14:textId="258F643B" w:rsidR="00D1365E" w:rsidRPr="00F82095" w:rsidRDefault="00D1365E" w:rsidP="00D1365E">
      <w:pPr>
        <w:numPr>
          <w:ilvl w:val="2"/>
          <w:numId w:val="2"/>
        </w:numPr>
        <w:spacing w:line="276" w:lineRule="auto"/>
        <w:ind w:right="-476"/>
        <w:jc w:val="both"/>
        <w:rPr>
          <w:rFonts w:asciiTheme="minorHAnsi" w:hAnsiTheme="minorHAnsi" w:cs="Arial"/>
          <w:iCs/>
          <w:sz w:val="22"/>
          <w:szCs w:val="22"/>
        </w:rPr>
      </w:pPr>
      <w:r w:rsidRPr="00F82095">
        <w:rPr>
          <w:rFonts w:asciiTheme="minorHAnsi" w:hAnsiTheme="minorHAnsi"/>
          <w:sz w:val="22"/>
          <w:szCs w:val="22"/>
        </w:rPr>
        <w:t xml:space="preserve">Paragraph </w:t>
      </w:r>
      <w:r w:rsidR="00C73639">
        <w:rPr>
          <w:rFonts w:asciiTheme="minorHAnsi" w:hAnsiTheme="minorHAnsi"/>
          <w:sz w:val="22"/>
          <w:szCs w:val="22"/>
        </w:rPr>
        <w:t>124</w:t>
      </w:r>
      <w:r w:rsidRPr="00F82095">
        <w:rPr>
          <w:rFonts w:asciiTheme="minorHAnsi" w:hAnsiTheme="minorHAnsi"/>
          <w:sz w:val="22"/>
          <w:szCs w:val="22"/>
        </w:rPr>
        <w:t xml:space="preserve"> which states that “</w:t>
      </w:r>
      <w:r w:rsidR="00C73639" w:rsidRPr="00C73639">
        <w:rPr>
          <w:rFonts w:asciiTheme="minorHAnsi" w:hAnsiTheme="minorHAnsi"/>
          <w:sz w:val="22"/>
          <w:szCs w:val="22"/>
        </w:rPr>
        <w:t>The creation of high quality buildings and places is fundamental to what the planning and dev</w:t>
      </w:r>
      <w:r w:rsidR="00C73639">
        <w:rPr>
          <w:rFonts w:asciiTheme="minorHAnsi" w:hAnsiTheme="minorHAnsi"/>
          <w:sz w:val="22"/>
          <w:szCs w:val="22"/>
        </w:rPr>
        <w:t>elopment process should achieve</w:t>
      </w:r>
      <w:r w:rsidRPr="00F82095">
        <w:rPr>
          <w:rFonts w:asciiTheme="minorHAnsi" w:hAnsiTheme="minorHAnsi"/>
          <w:sz w:val="22"/>
          <w:szCs w:val="22"/>
        </w:rPr>
        <w:t>”.</w:t>
      </w:r>
    </w:p>
    <w:p w14:paraId="0955226E" w14:textId="1FBA23F6" w:rsidR="00D1365E" w:rsidRPr="001F30AB" w:rsidRDefault="00D1365E" w:rsidP="001F30AB">
      <w:pPr>
        <w:numPr>
          <w:ilvl w:val="2"/>
          <w:numId w:val="2"/>
        </w:numPr>
        <w:spacing w:line="276" w:lineRule="auto"/>
        <w:ind w:right="-476"/>
        <w:jc w:val="both"/>
        <w:rPr>
          <w:rFonts w:asciiTheme="minorHAnsi" w:hAnsiTheme="minorHAnsi" w:cs="Arial"/>
          <w:iCs/>
          <w:sz w:val="22"/>
          <w:szCs w:val="22"/>
        </w:rPr>
      </w:pPr>
      <w:r w:rsidRPr="00F82095">
        <w:rPr>
          <w:rFonts w:asciiTheme="minorHAnsi" w:hAnsiTheme="minorHAnsi"/>
          <w:sz w:val="22"/>
          <w:szCs w:val="22"/>
        </w:rPr>
        <w:t xml:space="preserve">Paragraph </w:t>
      </w:r>
      <w:r w:rsidR="001F30AB">
        <w:rPr>
          <w:rFonts w:asciiTheme="minorHAnsi" w:hAnsiTheme="minorHAnsi"/>
          <w:sz w:val="22"/>
          <w:szCs w:val="22"/>
        </w:rPr>
        <w:t>131</w:t>
      </w:r>
      <w:r w:rsidRPr="00F82095">
        <w:rPr>
          <w:rFonts w:asciiTheme="minorHAnsi" w:hAnsiTheme="minorHAnsi"/>
          <w:sz w:val="22"/>
          <w:szCs w:val="22"/>
        </w:rPr>
        <w:t xml:space="preserve"> which states that “</w:t>
      </w:r>
      <w:r w:rsidR="001F30AB" w:rsidRPr="001F30AB">
        <w:rPr>
          <w:rFonts w:asciiTheme="minorHAnsi" w:hAnsiTheme="minorHAnsi"/>
          <w:sz w:val="22"/>
          <w:szCs w:val="22"/>
        </w:rPr>
        <w:t>In determining applications, great weight should be given to outstanding or innovative designs which promote high levels of sustainability, or help raise the standard of design more generally in an area, so long as they fit in with the overall form and layout of their surroundings</w:t>
      </w:r>
      <w:r w:rsidRPr="00F82095">
        <w:rPr>
          <w:rFonts w:asciiTheme="minorHAnsi" w:hAnsiTheme="minorHAnsi"/>
          <w:sz w:val="22"/>
          <w:szCs w:val="22"/>
        </w:rPr>
        <w:t>”.</w:t>
      </w:r>
    </w:p>
    <w:p w14:paraId="4DA3DD16" w14:textId="4AF80AB7" w:rsidR="00D1365E" w:rsidRPr="00F82095" w:rsidRDefault="00D1365E" w:rsidP="00D1365E">
      <w:pPr>
        <w:numPr>
          <w:ilvl w:val="2"/>
          <w:numId w:val="2"/>
        </w:numPr>
        <w:spacing w:line="276" w:lineRule="auto"/>
        <w:ind w:right="-476"/>
        <w:jc w:val="both"/>
        <w:rPr>
          <w:rFonts w:asciiTheme="minorHAnsi" w:hAnsiTheme="minorHAnsi" w:cs="Arial"/>
          <w:iCs/>
          <w:sz w:val="22"/>
          <w:szCs w:val="22"/>
        </w:rPr>
      </w:pPr>
      <w:r w:rsidRPr="00F82095">
        <w:rPr>
          <w:rFonts w:asciiTheme="minorHAnsi" w:hAnsiTheme="minorHAnsi"/>
          <w:sz w:val="22"/>
          <w:szCs w:val="22"/>
        </w:rPr>
        <w:t>Paragraph 1</w:t>
      </w:r>
      <w:r w:rsidR="001F30AB">
        <w:rPr>
          <w:rFonts w:asciiTheme="minorHAnsi" w:hAnsiTheme="minorHAnsi"/>
          <w:sz w:val="22"/>
          <w:szCs w:val="22"/>
        </w:rPr>
        <w:t>89</w:t>
      </w:r>
      <w:r w:rsidRPr="00F82095">
        <w:rPr>
          <w:rFonts w:asciiTheme="minorHAnsi" w:hAnsiTheme="minorHAnsi"/>
          <w:sz w:val="22"/>
          <w:szCs w:val="22"/>
        </w:rPr>
        <w:t xml:space="preserve"> which provides guidance to applicants on the approach that should be taken to assessing the potential impact of a proposal on a Heritage Asset.</w:t>
      </w:r>
    </w:p>
    <w:p w14:paraId="2CB59482" w14:textId="673D2C91" w:rsidR="00D1365E" w:rsidRPr="00F82095" w:rsidRDefault="00D1365E" w:rsidP="00D1365E">
      <w:pPr>
        <w:numPr>
          <w:ilvl w:val="2"/>
          <w:numId w:val="2"/>
        </w:numPr>
        <w:spacing w:line="276" w:lineRule="auto"/>
        <w:ind w:right="-476"/>
        <w:jc w:val="both"/>
        <w:rPr>
          <w:rFonts w:asciiTheme="minorHAnsi" w:hAnsiTheme="minorHAnsi"/>
          <w:sz w:val="22"/>
          <w:szCs w:val="22"/>
        </w:rPr>
      </w:pPr>
      <w:r w:rsidRPr="00F82095">
        <w:rPr>
          <w:rFonts w:asciiTheme="minorHAnsi" w:hAnsiTheme="minorHAnsi"/>
          <w:sz w:val="22"/>
          <w:szCs w:val="22"/>
        </w:rPr>
        <w:t>Paragraph 1</w:t>
      </w:r>
      <w:r w:rsidR="001F30AB">
        <w:rPr>
          <w:rFonts w:asciiTheme="minorHAnsi" w:hAnsiTheme="minorHAnsi"/>
          <w:sz w:val="22"/>
          <w:szCs w:val="22"/>
        </w:rPr>
        <w:t>92</w:t>
      </w:r>
      <w:r w:rsidRPr="00F82095">
        <w:rPr>
          <w:rFonts w:asciiTheme="minorHAnsi" w:hAnsiTheme="minorHAnsi"/>
          <w:sz w:val="22"/>
          <w:szCs w:val="22"/>
        </w:rPr>
        <w:t xml:space="preserve"> which set</w:t>
      </w:r>
      <w:r w:rsidR="00F82095">
        <w:rPr>
          <w:rFonts w:asciiTheme="minorHAnsi" w:hAnsiTheme="minorHAnsi"/>
          <w:sz w:val="22"/>
          <w:szCs w:val="22"/>
        </w:rPr>
        <w:t>s</w:t>
      </w:r>
      <w:r w:rsidRPr="00F82095">
        <w:rPr>
          <w:rFonts w:asciiTheme="minorHAnsi" w:hAnsiTheme="minorHAnsi"/>
          <w:sz w:val="22"/>
          <w:szCs w:val="22"/>
        </w:rPr>
        <w:t xml:space="preserve"> out the approach local planning authorities should take to determining planning applications that affect a Heritage Asset.</w:t>
      </w:r>
    </w:p>
    <w:p w14:paraId="510C3B8D" w14:textId="04892181" w:rsidR="003126B1" w:rsidRPr="00F82095" w:rsidRDefault="003126B1" w:rsidP="00C208E9">
      <w:pPr>
        <w:numPr>
          <w:ilvl w:val="2"/>
          <w:numId w:val="2"/>
        </w:numPr>
        <w:spacing w:line="276" w:lineRule="auto"/>
        <w:ind w:right="-476"/>
        <w:jc w:val="both"/>
        <w:rPr>
          <w:rFonts w:asciiTheme="minorHAnsi" w:hAnsiTheme="minorHAnsi" w:cs="Arial"/>
          <w:iCs/>
          <w:sz w:val="22"/>
          <w:szCs w:val="22"/>
        </w:rPr>
      </w:pPr>
      <w:r w:rsidRPr="00F82095">
        <w:rPr>
          <w:rFonts w:asciiTheme="minorHAnsi" w:hAnsiTheme="minorHAnsi" w:cs="Arial"/>
          <w:iCs/>
          <w:sz w:val="22"/>
          <w:szCs w:val="22"/>
        </w:rPr>
        <w:t>P</w:t>
      </w:r>
      <w:r w:rsidR="008F3534" w:rsidRPr="00F82095">
        <w:rPr>
          <w:rFonts w:asciiTheme="minorHAnsi" w:hAnsiTheme="minorHAnsi" w:cs="Arial"/>
          <w:iCs/>
          <w:sz w:val="22"/>
          <w:szCs w:val="22"/>
        </w:rPr>
        <w:t>aragraph</w:t>
      </w:r>
      <w:r w:rsidR="00FF4839">
        <w:rPr>
          <w:rFonts w:asciiTheme="minorHAnsi" w:hAnsiTheme="minorHAnsi" w:cs="Arial"/>
          <w:iCs/>
          <w:sz w:val="22"/>
          <w:szCs w:val="22"/>
        </w:rPr>
        <w:t>s</w:t>
      </w:r>
      <w:r w:rsidR="008F3534" w:rsidRPr="00F82095">
        <w:rPr>
          <w:rFonts w:asciiTheme="minorHAnsi" w:hAnsiTheme="minorHAnsi" w:cs="Arial"/>
          <w:iCs/>
          <w:sz w:val="22"/>
          <w:szCs w:val="22"/>
        </w:rPr>
        <w:t xml:space="preserve"> 1</w:t>
      </w:r>
      <w:r w:rsidR="001F30AB">
        <w:rPr>
          <w:rFonts w:asciiTheme="minorHAnsi" w:hAnsiTheme="minorHAnsi" w:cs="Arial"/>
          <w:iCs/>
          <w:sz w:val="22"/>
          <w:szCs w:val="22"/>
        </w:rPr>
        <w:t>93</w:t>
      </w:r>
      <w:r w:rsidR="00FF4839">
        <w:rPr>
          <w:rFonts w:asciiTheme="minorHAnsi" w:hAnsiTheme="minorHAnsi" w:cs="Arial"/>
          <w:iCs/>
          <w:sz w:val="22"/>
          <w:szCs w:val="22"/>
        </w:rPr>
        <w:t>-196</w:t>
      </w:r>
      <w:r w:rsidR="008F3534" w:rsidRPr="00F82095">
        <w:rPr>
          <w:rFonts w:asciiTheme="minorHAnsi" w:hAnsiTheme="minorHAnsi" w:cs="Arial"/>
          <w:iCs/>
          <w:sz w:val="22"/>
          <w:szCs w:val="22"/>
        </w:rPr>
        <w:t xml:space="preserve"> </w:t>
      </w:r>
      <w:r w:rsidR="00FF4839">
        <w:rPr>
          <w:rFonts w:asciiTheme="minorHAnsi" w:hAnsiTheme="minorHAnsi" w:cs="Arial"/>
          <w:iCs/>
          <w:sz w:val="22"/>
          <w:szCs w:val="22"/>
        </w:rPr>
        <w:t xml:space="preserve">which </w:t>
      </w:r>
      <w:r w:rsidRPr="00F82095">
        <w:rPr>
          <w:rFonts w:asciiTheme="minorHAnsi" w:hAnsiTheme="minorHAnsi" w:cs="Arial"/>
          <w:iCs/>
          <w:sz w:val="22"/>
          <w:szCs w:val="22"/>
        </w:rPr>
        <w:t>advi</w:t>
      </w:r>
      <w:r w:rsidR="00FF4839">
        <w:rPr>
          <w:rFonts w:asciiTheme="minorHAnsi" w:hAnsiTheme="minorHAnsi" w:cs="Arial"/>
          <w:iCs/>
          <w:sz w:val="22"/>
          <w:szCs w:val="22"/>
        </w:rPr>
        <w:t>s</w:t>
      </w:r>
      <w:r w:rsidRPr="00F82095">
        <w:rPr>
          <w:rFonts w:asciiTheme="minorHAnsi" w:hAnsiTheme="minorHAnsi" w:cs="Arial"/>
          <w:iCs/>
          <w:sz w:val="22"/>
          <w:szCs w:val="22"/>
        </w:rPr>
        <w:t>e</w:t>
      </w:r>
      <w:r w:rsidR="00FF4839">
        <w:rPr>
          <w:rFonts w:asciiTheme="minorHAnsi" w:hAnsiTheme="minorHAnsi" w:cs="Arial"/>
          <w:iCs/>
          <w:sz w:val="22"/>
          <w:szCs w:val="22"/>
        </w:rPr>
        <w:t>s</w:t>
      </w:r>
      <w:r w:rsidRPr="00F82095">
        <w:rPr>
          <w:rFonts w:asciiTheme="minorHAnsi" w:hAnsiTheme="minorHAnsi" w:cs="Arial"/>
          <w:iCs/>
          <w:sz w:val="22"/>
          <w:szCs w:val="22"/>
        </w:rPr>
        <w:t xml:space="preserve"> </w:t>
      </w:r>
      <w:r w:rsidR="00FF4839">
        <w:rPr>
          <w:rFonts w:asciiTheme="minorHAnsi" w:hAnsiTheme="minorHAnsi" w:cs="Arial"/>
          <w:iCs/>
          <w:sz w:val="22"/>
          <w:szCs w:val="22"/>
        </w:rPr>
        <w:t xml:space="preserve">on considering impacts on heritage assets and states </w:t>
      </w:r>
      <w:r w:rsidR="008F3534" w:rsidRPr="00F82095">
        <w:rPr>
          <w:rFonts w:asciiTheme="minorHAnsi" w:hAnsiTheme="minorHAnsi" w:cs="Arial"/>
          <w:iCs/>
          <w:sz w:val="22"/>
          <w:szCs w:val="22"/>
        </w:rPr>
        <w:t>that</w:t>
      </w:r>
      <w:r w:rsidR="00FF4839">
        <w:rPr>
          <w:rFonts w:asciiTheme="minorHAnsi" w:hAnsiTheme="minorHAnsi" w:cs="Arial"/>
          <w:iCs/>
          <w:sz w:val="22"/>
          <w:szCs w:val="22"/>
        </w:rPr>
        <w:t>,</w:t>
      </w:r>
      <w:r w:rsidR="008F3534" w:rsidRPr="00F82095">
        <w:rPr>
          <w:rFonts w:asciiTheme="minorHAnsi" w:hAnsiTheme="minorHAnsi" w:cs="Arial"/>
          <w:iCs/>
          <w:sz w:val="22"/>
          <w:szCs w:val="22"/>
        </w:rPr>
        <w:t xml:space="preserve"> when planning decision makers are considering the impact of a proposed development on the significance of a designated heritage asset, weight should be given </w:t>
      </w:r>
      <w:r w:rsidR="00E57836" w:rsidRPr="00F82095">
        <w:rPr>
          <w:rFonts w:asciiTheme="minorHAnsi" w:hAnsiTheme="minorHAnsi" w:cs="Arial"/>
          <w:iCs/>
          <w:sz w:val="22"/>
          <w:szCs w:val="22"/>
        </w:rPr>
        <w:t xml:space="preserve">to </w:t>
      </w:r>
      <w:r w:rsidR="008F3534" w:rsidRPr="00F82095">
        <w:rPr>
          <w:rFonts w:asciiTheme="minorHAnsi" w:hAnsiTheme="minorHAnsi" w:cs="Arial"/>
          <w:iCs/>
          <w:sz w:val="22"/>
          <w:szCs w:val="22"/>
        </w:rPr>
        <w:t>the asset’s conservation.</w:t>
      </w:r>
    </w:p>
    <w:p w14:paraId="0A47FB3F" w14:textId="1B361986" w:rsidR="00D1365E" w:rsidRPr="00F82095" w:rsidRDefault="00D1365E" w:rsidP="001F30AB">
      <w:pPr>
        <w:spacing w:line="276" w:lineRule="auto"/>
        <w:ind w:left="1881" w:right="-476"/>
        <w:jc w:val="both"/>
        <w:rPr>
          <w:rFonts w:asciiTheme="minorHAnsi" w:hAnsiTheme="minorHAnsi" w:cs="Arial"/>
          <w:iCs/>
          <w:sz w:val="22"/>
          <w:szCs w:val="22"/>
        </w:rPr>
      </w:pPr>
    </w:p>
    <w:p w14:paraId="0BAD4114" w14:textId="77777777" w:rsidR="005F378C" w:rsidRPr="005F504A" w:rsidRDefault="005F378C" w:rsidP="00D1365E">
      <w:pPr>
        <w:spacing w:line="276" w:lineRule="auto"/>
        <w:ind w:left="1800" w:right="-476"/>
        <w:jc w:val="both"/>
        <w:rPr>
          <w:rFonts w:asciiTheme="minorHAnsi" w:hAnsiTheme="minorHAnsi" w:cs="Arial"/>
          <w:iCs/>
          <w:sz w:val="22"/>
          <w:szCs w:val="22"/>
        </w:rPr>
      </w:pPr>
    </w:p>
    <w:p w14:paraId="10A6549D" w14:textId="18DFBB3C" w:rsidR="007D3D3E" w:rsidRPr="005F504A" w:rsidRDefault="007D3D3E" w:rsidP="00BA3AC7">
      <w:pPr>
        <w:numPr>
          <w:ilvl w:val="1"/>
          <w:numId w:val="2"/>
        </w:numPr>
        <w:spacing w:line="276" w:lineRule="auto"/>
        <w:ind w:right="-476"/>
        <w:jc w:val="both"/>
        <w:rPr>
          <w:rFonts w:asciiTheme="minorHAnsi" w:hAnsiTheme="minorHAnsi" w:cs="Arial"/>
          <w:iCs/>
          <w:sz w:val="22"/>
          <w:szCs w:val="22"/>
        </w:rPr>
      </w:pPr>
      <w:r w:rsidRPr="005F504A">
        <w:rPr>
          <w:rFonts w:asciiTheme="minorHAnsi" w:hAnsiTheme="minorHAnsi" w:cs="Arial"/>
          <w:iCs/>
          <w:sz w:val="22"/>
          <w:szCs w:val="22"/>
        </w:rPr>
        <w:t>PPG</w:t>
      </w:r>
    </w:p>
    <w:p w14:paraId="5808D54A" w14:textId="6CBE573E" w:rsidR="00BA3AC7" w:rsidRDefault="00EC6E91" w:rsidP="005F504A">
      <w:pPr>
        <w:numPr>
          <w:ilvl w:val="2"/>
          <w:numId w:val="2"/>
        </w:numPr>
        <w:spacing w:line="276" w:lineRule="auto"/>
        <w:ind w:right="-476"/>
        <w:jc w:val="both"/>
        <w:rPr>
          <w:rFonts w:asciiTheme="minorHAnsi" w:hAnsiTheme="minorHAnsi"/>
          <w:sz w:val="22"/>
          <w:szCs w:val="22"/>
        </w:rPr>
      </w:pPr>
      <w:r>
        <w:rPr>
          <w:rFonts w:asciiTheme="minorHAnsi" w:hAnsiTheme="minorHAnsi"/>
          <w:sz w:val="22"/>
          <w:szCs w:val="22"/>
        </w:rPr>
        <w:t>Paragraphs 007 and</w:t>
      </w:r>
      <w:r w:rsidR="007D3D3E" w:rsidRPr="005F504A">
        <w:rPr>
          <w:rFonts w:asciiTheme="minorHAnsi" w:hAnsiTheme="minorHAnsi"/>
          <w:sz w:val="22"/>
          <w:szCs w:val="22"/>
        </w:rPr>
        <w:t xml:space="preserve"> 008</w:t>
      </w:r>
      <w:r w:rsidR="00BA3AC7" w:rsidRPr="005F504A">
        <w:rPr>
          <w:rFonts w:asciiTheme="minorHAnsi" w:hAnsiTheme="minorHAnsi"/>
          <w:sz w:val="22"/>
          <w:szCs w:val="22"/>
        </w:rPr>
        <w:t xml:space="preserve"> </w:t>
      </w:r>
      <w:r>
        <w:rPr>
          <w:rFonts w:asciiTheme="minorHAnsi" w:hAnsiTheme="minorHAnsi"/>
          <w:sz w:val="22"/>
          <w:szCs w:val="22"/>
        </w:rPr>
        <w:t>(</w:t>
      </w:r>
      <w:r w:rsidR="00BA3AC7" w:rsidRPr="005F504A">
        <w:rPr>
          <w:rFonts w:asciiTheme="minorHAnsi" w:hAnsiTheme="minorHAnsi"/>
          <w:sz w:val="22"/>
          <w:szCs w:val="22"/>
        </w:rPr>
        <w:t xml:space="preserve">Reference ID: </w:t>
      </w:r>
      <w:r w:rsidRPr="00EC6E91">
        <w:rPr>
          <w:rFonts w:asciiTheme="minorHAnsi" w:hAnsiTheme="minorHAnsi"/>
          <w:sz w:val="22"/>
          <w:szCs w:val="22"/>
        </w:rPr>
        <w:t>18a-007-20190723 and 18a-008-20190723)</w:t>
      </w:r>
      <w:r>
        <w:rPr>
          <w:rFonts w:cs="Arial"/>
          <w:color w:val="0B0C0C"/>
          <w:sz w:val="29"/>
          <w:szCs w:val="29"/>
          <w:shd w:val="clear" w:color="auto" w:fill="FFFFFF"/>
        </w:rPr>
        <w:t xml:space="preserve"> </w:t>
      </w:r>
      <w:r w:rsidR="00BA3AC7" w:rsidRPr="005F504A">
        <w:rPr>
          <w:rFonts w:asciiTheme="minorHAnsi" w:hAnsiTheme="minorHAnsi"/>
          <w:sz w:val="22"/>
          <w:szCs w:val="22"/>
        </w:rPr>
        <w:t>and the guidance on ‘significance’</w:t>
      </w:r>
      <w:r w:rsidR="005F504A" w:rsidRPr="005F504A">
        <w:rPr>
          <w:rFonts w:asciiTheme="minorHAnsi" w:hAnsiTheme="minorHAnsi"/>
          <w:sz w:val="22"/>
          <w:szCs w:val="22"/>
        </w:rPr>
        <w:t xml:space="preserve"> in terms of heritage;</w:t>
      </w:r>
    </w:p>
    <w:p w14:paraId="5D9AD4F2" w14:textId="2143A166" w:rsidR="00EC6E91" w:rsidRPr="005F504A" w:rsidRDefault="00EC6E91" w:rsidP="00EC6E91">
      <w:pPr>
        <w:numPr>
          <w:ilvl w:val="2"/>
          <w:numId w:val="2"/>
        </w:numPr>
        <w:spacing w:line="276" w:lineRule="auto"/>
        <w:ind w:right="-476"/>
        <w:jc w:val="both"/>
        <w:rPr>
          <w:rFonts w:asciiTheme="minorHAnsi" w:hAnsiTheme="minorHAnsi"/>
          <w:sz w:val="22"/>
          <w:szCs w:val="22"/>
        </w:rPr>
      </w:pPr>
      <w:r>
        <w:rPr>
          <w:rFonts w:asciiTheme="minorHAnsi" w:hAnsiTheme="minorHAnsi"/>
          <w:sz w:val="22"/>
          <w:szCs w:val="22"/>
        </w:rPr>
        <w:t>Paragraphs 15, 16 and 17 (</w:t>
      </w:r>
      <w:r w:rsidRPr="00EC6E91">
        <w:rPr>
          <w:rFonts w:asciiTheme="minorHAnsi" w:hAnsiTheme="minorHAnsi"/>
          <w:sz w:val="22"/>
          <w:szCs w:val="22"/>
        </w:rPr>
        <w:t>Reference ID: 18a-015-20190723</w:t>
      </w:r>
      <w:r>
        <w:rPr>
          <w:rFonts w:asciiTheme="minorHAnsi" w:hAnsiTheme="minorHAnsi"/>
          <w:sz w:val="22"/>
          <w:szCs w:val="22"/>
        </w:rPr>
        <w:t xml:space="preserve">, </w:t>
      </w:r>
      <w:r w:rsidRPr="00EC6E91">
        <w:rPr>
          <w:rFonts w:asciiTheme="minorHAnsi" w:hAnsiTheme="minorHAnsi"/>
          <w:sz w:val="22"/>
          <w:szCs w:val="22"/>
        </w:rPr>
        <w:t>Reference ID: 18a-01</w:t>
      </w:r>
      <w:r>
        <w:rPr>
          <w:rFonts w:asciiTheme="minorHAnsi" w:hAnsiTheme="minorHAnsi"/>
          <w:sz w:val="22"/>
          <w:szCs w:val="22"/>
        </w:rPr>
        <w:t>6</w:t>
      </w:r>
      <w:r w:rsidRPr="00EC6E91">
        <w:rPr>
          <w:rFonts w:asciiTheme="minorHAnsi" w:hAnsiTheme="minorHAnsi"/>
          <w:sz w:val="22"/>
          <w:szCs w:val="22"/>
        </w:rPr>
        <w:t>-20190723</w:t>
      </w:r>
      <w:r>
        <w:rPr>
          <w:rFonts w:asciiTheme="minorHAnsi" w:hAnsiTheme="minorHAnsi"/>
          <w:sz w:val="22"/>
          <w:szCs w:val="22"/>
        </w:rPr>
        <w:t xml:space="preserve"> and </w:t>
      </w:r>
      <w:r w:rsidRPr="00EC6E91">
        <w:rPr>
          <w:rFonts w:asciiTheme="minorHAnsi" w:hAnsiTheme="minorHAnsi"/>
          <w:sz w:val="22"/>
          <w:szCs w:val="22"/>
        </w:rPr>
        <w:t>Reference ID: 18a-01</w:t>
      </w:r>
      <w:r>
        <w:rPr>
          <w:rFonts w:asciiTheme="minorHAnsi" w:hAnsiTheme="minorHAnsi"/>
          <w:sz w:val="22"/>
          <w:szCs w:val="22"/>
        </w:rPr>
        <w:t>7</w:t>
      </w:r>
      <w:r w:rsidRPr="00EC6E91">
        <w:rPr>
          <w:rFonts w:asciiTheme="minorHAnsi" w:hAnsiTheme="minorHAnsi"/>
          <w:sz w:val="22"/>
          <w:szCs w:val="22"/>
        </w:rPr>
        <w:t>-20190723</w:t>
      </w:r>
      <w:r>
        <w:rPr>
          <w:rFonts w:asciiTheme="minorHAnsi" w:hAnsiTheme="minorHAnsi"/>
          <w:sz w:val="22"/>
          <w:szCs w:val="22"/>
        </w:rPr>
        <w:t>) which provides guidance as to optimum viable use of heritage assets;</w:t>
      </w:r>
    </w:p>
    <w:p w14:paraId="4A0C37AF" w14:textId="4EEC7FE1" w:rsidR="00D1365E" w:rsidRDefault="00D1365E" w:rsidP="00EC6E91">
      <w:pPr>
        <w:numPr>
          <w:ilvl w:val="2"/>
          <w:numId w:val="2"/>
        </w:numPr>
        <w:spacing w:line="276" w:lineRule="auto"/>
        <w:ind w:right="-476"/>
        <w:jc w:val="both"/>
        <w:rPr>
          <w:rFonts w:asciiTheme="minorHAnsi" w:hAnsiTheme="minorHAnsi"/>
          <w:sz w:val="22"/>
          <w:szCs w:val="22"/>
        </w:rPr>
      </w:pPr>
      <w:r w:rsidRPr="00F82095">
        <w:rPr>
          <w:rFonts w:asciiTheme="minorHAnsi" w:hAnsiTheme="minorHAnsi"/>
          <w:sz w:val="22"/>
          <w:szCs w:val="22"/>
        </w:rPr>
        <w:t xml:space="preserve">Paragraph: 020 </w:t>
      </w:r>
      <w:r w:rsidR="00EC6E91" w:rsidRPr="00EC6E91">
        <w:rPr>
          <w:rFonts w:asciiTheme="minorHAnsi" w:hAnsiTheme="minorHAnsi"/>
          <w:sz w:val="22"/>
          <w:szCs w:val="22"/>
        </w:rPr>
        <w:t>Reference ID: 18a-020-20190723</w:t>
      </w:r>
      <w:r w:rsidR="00EC6E91">
        <w:rPr>
          <w:rFonts w:asciiTheme="minorHAnsi" w:hAnsiTheme="minorHAnsi"/>
          <w:sz w:val="22"/>
          <w:szCs w:val="22"/>
        </w:rPr>
        <w:t xml:space="preserve"> </w:t>
      </w:r>
      <w:r w:rsidRPr="00F82095">
        <w:rPr>
          <w:rFonts w:asciiTheme="minorHAnsi" w:hAnsiTheme="minorHAnsi"/>
          <w:sz w:val="22"/>
          <w:szCs w:val="22"/>
        </w:rPr>
        <w:t>and</w:t>
      </w:r>
      <w:r w:rsidR="00EC6E91">
        <w:rPr>
          <w:rFonts w:asciiTheme="minorHAnsi" w:hAnsiTheme="minorHAnsi"/>
          <w:sz w:val="22"/>
          <w:szCs w:val="22"/>
        </w:rPr>
        <w:t xml:space="preserve"> the guidance on</w:t>
      </w:r>
      <w:r w:rsidRPr="00F82095">
        <w:rPr>
          <w:rFonts w:asciiTheme="minorHAnsi" w:hAnsiTheme="minorHAnsi"/>
          <w:sz w:val="22"/>
          <w:szCs w:val="22"/>
        </w:rPr>
        <w:t xml:space="preserve"> public heritage benefits derived from developments.  </w:t>
      </w:r>
    </w:p>
    <w:p w14:paraId="5A1EB972" w14:textId="77777777" w:rsidR="00D41E91" w:rsidRPr="00F82095" w:rsidRDefault="00D41E91" w:rsidP="00D41E91">
      <w:pPr>
        <w:spacing w:line="276" w:lineRule="auto"/>
        <w:ind w:left="1881" w:right="-476"/>
        <w:jc w:val="both"/>
        <w:rPr>
          <w:rFonts w:asciiTheme="minorHAnsi" w:hAnsiTheme="minorHAnsi"/>
          <w:sz w:val="22"/>
          <w:szCs w:val="22"/>
        </w:rPr>
      </w:pPr>
    </w:p>
    <w:p w14:paraId="3671668F" w14:textId="77777777" w:rsidR="007D3D3E" w:rsidRPr="005F504A" w:rsidRDefault="007D3D3E" w:rsidP="007D3D3E">
      <w:pPr>
        <w:rPr>
          <w:rFonts w:asciiTheme="minorHAnsi" w:hAnsiTheme="minorHAnsi"/>
          <w:b/>
          <w:sz w:val="22"/>
          <w:szCs w:val="22"/>
        </w:rPr>
      </w:pPr>
    </w:p>
    <w:p w14:paraId="377842D5" w14:textId="77777777" w:rsidR="00002990" w:rsidRDefault="00002990" w:rsidP="00C208E9">
      <w:pPr>
        <w:pStyle w:val="ListParagraph"/>
        <w:numPr>
          <w:ilvl w:val="0"/>
          <w:numId w:val="2"/>
        </w:numPr>
        <w:spacing w:line="276" w:lineRule="auto"/>
        <w:rPr>
          <w:rFonts w:asciiTheme="minorHAnsi" w:hAnsiTheme="minorHAnsi"/>
          <w:sz w:val="22"/>
          <w:szCs w:val="22"/>
          <w:u w:val="single"/>
        </w:rPr>
      </w:pPr>
      <w:r>
        <w:rPr>
          <w:rFonts w:asciiTheme="minorHAnsi" w:hAnsiTheme="minorHAnsi"/>
          <w:sz w:val="22"/>
          <w:szCs w:val="22"/>
          <w:u w:val="single"/>
        </w:rPr>
        <w:t>Evidence</w:t>
      </w:r>
    </w:p>
    <w:p w14:paraId="1BA8B8C7" w14:textId="3BD85119" w:rsidR="00D212BC" w:rsidRPr="00D212BC" w:rsidRDefault="00002990" w:rsidP="00C208E9">
      <w:pPr>
        <w:pStyle w:val="ListParagraph"/>
        <w:numPr>
          <w:ilvl w:val="1"/>
          <w:numId w:val="2"/>
        </w:numPr>
        <w:spacing w:line="276" w:lineRule="auto"/>
        <w:rPr>
          <w:rFonts w:asciiTheme="minorHAnsi" w:hAnsiTheme="minorHAnsi"/>
          <w:sz w:val="22"/>
          <w:szCs w:val="22"/>
          <w:u w:val="single"/>
        </w:rPr>
      </w:pPr>
      <w:r>
        <w:rPr>
          <w:rFonts w:asciiTheme="minorHAnsi" w:hAnsiTheme="minorHAnsi"/>
          <w:sz w:val="22"/>
          <w:szCs w:val="22"/>
        </w:rPr>
        <w:t xml:space="preserve">The Council intends to produce evidence </w:t>
      </w:r>
      <w:r w:rsidR="00D212BC">
        <w:rPr>
          <w:rFonts w:asciiTheme="minorHAnsi" w:hAnsiTheme="minorHAnsi"/>
          <w:sz w:val="22"/>
          <w:szCs w:val="22"/>
        </w:rPr>
        <w:t xml:space="preserve">in </w:t>
      </w:r>
      <w:r w:rsidR="00D41E91">
        <w:rPr>
          <w:rFonts w:asciiTheme="minorHAnsi" w:hAnsiTheme="minorHAnsi"/>
          <w:sz w:val="22"/>
          <w:szCs w:val="22"/>
        </w:rPr>
        <w:t>relation to the following areas:</w:t>
      </w:r>
    </w:p>
    <w:p w14:paraId="0E190BE9" w14:textId="06D1F36B" w:rsidR="00890B64" w:rsidRPr="00890B64" w:rsidRDefault="00890B64" w:rsidP="00890B64">
      <w:pPr>
        <w:pStyle w:val="ListParagraph"/>
        <w:numPr>
          <w:ilvl w:val="2"/>
          <w:numId w:val="2"/>
        </w:numPr>
        <w:spacing w:line="276" w:lineRule="auto"/>
        <w:rPr>
          <w:rFonts w:asciiTheme="minorHAnsi" w:hAnsiTheme="minorHAnsi"/>
          <w:sz w:val="22"/>
          <w:szCs w:val="22"/>
        </w:rPr>
      </w:pPr>
      <w:r w:rsidRPr="00890B64">
        <w:rPr>
          <w:rFonts w:asciiTheme="minorHAnsi" w:hAnsiTheme="minorHAnsi"/>
          <w:sz w:val="22"/>
          <w:szCs w:val="22"/>
        </w:rPr>
        <w:t xml:space="preserve">Planning </w:t>
      </w:r>
    </w:p>
    <w:p w14:paraId="71EAA848" w14:textId="77777777" w:rsidR="00890B64" w:rsidRPr="00890B64" w:rsidRDefault="00890B64" w:rsidP="00890B64">
      <w:pPr>
        <w:pStyle w:val="ListParagraph"/>
        <w:numPr>
          <w:ilvl w:val="2"/>
          <w:numId w:val="2"/>
        </w:numPr>
        <w:spacing w:line="276" w:lineRule="auto"/>
        <w:rPr>
          <w:rFonts w:asciiTheme="minorHAnsi" w:hAnsiTheme="minorHAnsi"/>
          <w:sz w:val="22"/>
          <w:szCs w:val="22"/>
        </w:rPr>
      </w:pPr>
      <w:r w:rsidRPr="00890B64">
        <w:rPr>
          <w:rFonts w:asciiTheme="minorHAnsi" w:hAnsiTheme="minorHAnsi"/>
          <w:sz w:val="22"/>
          <w:szCs w:val="22"/>
        </w:rPr>
        <w:t>Architecture and design</w:t>
      </w:r>
    </w:p>
    <w:p w14:paraId="5561C641" w14:textId="2A7AD783" w:rsidR="00D212BC" w:rsidRPr="00890B64" w:rsidRDefault="00890B64" w:rsidP="003640B9">
      <w:pPr>
        <w:pStyle w:val="ListParagraph"/>
        <w:numPr>
          <w:ilvl w:val="2"/>
          <w:numId w:val="2"/>
        </w:numPr>
        <w:spacing w:line="276" w:lineRule="auto"/>
        <w:rPr>
          <w:rFonts w:asciiTheme="minorHAnsi" w:hAnsiTheme="minorHAnsi"/>
          <w:sz w:val="22"/>
          <w:szCs w:val="22"/>
          <w:u w:val="single"/>
        </w:rPr>
      </w:pPr>
      <w:r w:rsidRPr="00890B64">
        <w:rPr>
          <w:rFonts w:asciiTheme="minorHAnsi" w:hAnsiTheme="minorHAnsi"/>
          <w:sz w:val="22"/>
          <w:szCs w:val="22"/>
        </w:rPr>
        <w:t>Heritage and conservation</w:t>
      </w:r>
    </w:p>
    <w:p w14:paraId="19CAA76F" w14:textId="74ABFDD3" w:rsidR="00336257" w:rsidRPr="0036380C" w:rsidRDefault="00002990" w:rsidP="00C208E9">
      <w:pPr>
        <w:pStyle w:val="ListParagraph"/>
        <w:numPr>
          <w:ilvl w:val="1"/>
          <w:numId w:val="2"/>
        </w:numPr>
        <w:spacing w:line="276" w:lineRule="auto"/>
        <w:rPr>
          <w:rFonts w:asciiTheme="minorHAnsi" w:hAnsiTheme="minorHAnsi"/>
          <w:i/>
          <w:sz w:val="22"/>
          <w:szCs w:val="22"/>
          <w:u w:val="single"/>
        </w:rPr>
      </w:pPr>
      <w:r>
        <w:rPr>
          <w:rFonts w:asciiTheme="minorHAnsi" w:hAnsiTheme="minorHAnsi"/>
          <w:sz w:val="22"/>
          <w:szCs w:val="22"/>
        </w:rPr>
        <w:t>The Appellant intends to produce evidence as follows</w:t>
      </w:r>
      <w:r w:rsidR="00D41E91">
        <w:rPr>
          <w:rFonts w:asciiTheme="minorHAnsi" w:hAnsiTheme="minorHAnsi"/>
          <w:sz w:val="22"/>
          <w:szCs w:val="22"/>
        </w:rPr>
        <w:t>:</w:t>
      </w:r>
    </w:p>
    <w:p w14:paraId="0E860D9E" w14:textId="29490655" w:rsidR="00336257" w:rsidRPr="00645809" w:rsidRDefault="00336257" w:rsidP="0036380C">
      <w:pPr>
        <w:pStyle w:val="ListParagraph"/>
        <w:numPr>
          <w:ilvl w:val="2"/>
          <w:numId w:val="2"/>
        </w:numPr>
        <w:spacing w:line="276" w:lineRule="auto"/>
        <w:rPr>
          <w:rFonts w:asciiTheme="minorHAnsi" w:hAnsiTheme="minorHAnsi"/>
          <w:sz w:val="22"/>
          <w:szCs w:val="22"/>
          <w:u w:val="single"/>
        </w:rPr>
      </w:pPr>
      <w:r w:rsidRPr="00645809">
        <w:rPr>
          <w:rFonts w:asciiTheme="minorHAnsi" w:hAnsiTheme="minorHAnsi"/>
          <w:sz w:val="22"/>
          <w:szCs w:val="22"/>
        </w:rPr>
        <w:t xml:space="preserve">Planning </w:t>
      </w:r>
    </w:p>
    <w:p w14:paraId="47C51408" w14:textId="057DF237" w:rsidR="00336257" w:rsidRPr="00645809" w:rsidRDefault="00336257" w:rsidP="0036380C">
      <w:pPr>
        <w:pStyle w:val="ListParagraph"/>
        <w:numPr>
          <w:ilvl w:val="2"/>
          <w:numId w:val="2"/>
        </w:numPr>
        <w:spacing w:line="276" w:lineRule="auto"/>
        <w:rPr>
          <w:rFonts w:asciiTheme="minorHAnsi" w:hAnsiTheme="minorHAnsi"/>
          <w:sz w:val="22"/>
          <w:szCs w:val="22"/>
          <w:u w:val="single"/>
        </w:rPr>
      </w:pPr>
      <w:r w:rsidRPr="00645809">
        <w:rPr>
          <w:rFonts w:asciiTheme="minorHAnsi" w:hAnsiTheme="minorHAnsi"/>
          <w:sz w:val="22"/>
          <w:szCs w:val="22"/>
        </w:rPr>
        <w:t>Architecture</w:t>
      </w:r>
      <w:r w:rsidR="001F30AB">
        <w:rPr>
          <w:rFonts w:asciiTheme="minorHAnsi" w:hAnsiTheme="minorHAnsi"/>
          <w:sz w:val="22"/>
          <w:szCs w:val="22"/>
        </w:rPr>
        <w:t xml:space="preserve"> and design</w:t>
      </w:r>
    </w:p>
    <w:p w14:paraId="6E9E4222" w14:textId="77777777" w:rsidR="00336257" w:rsidRPr="00EC5DF6" w:rsidRDefault="00336257" w:rsidP="0036380C">
      <w:pPr>
        <w:pStyle w:val="ListParagraph"/>
        <w:numPr>
          <w:ilvl w:val="2"/>
          <w:numId w:val="2"/>
        </w:numPr>
        <w:spacing w:line="276" w:lineRule="auto"/>
        <w:rPr>
          <w:rFonts w:asciiTheme="minorHAnsi" w:hAnsiTheme="minorHAnsi"/>
          <w:sz w:val="22"/>
          <w:szCs w:val="22"/>
          <w:u w:val="single"/>
        </w:rPr>
      </w:pPr>
      <w:r w:rsidRPr="00645809">
        <w:rPr>
          <w:rFonts w:asciiTheme="minorHAnsi" w:hAnsiTheme="minorHAnsi"/>
          <w:sz w:val="22"/>
          <w:szCs w:val="22"/>
        </w:rPr>
        <w:t>Heritage and conservation</w:t>
      </w:r>
    </w:p>
    <w:p w14:paraId="673CE968" w14:textId="26D316CC" w:rsidR="00EC5DF6" w:rsidRPr="00645809" w:rsidRDefault="00EC5DF6" w:rsidP="0036380C">
      <w:pPr>
        <w:pStyle w:val="ListParagraph"/>
        <w:numPr>
          <w:ilvl w:val="2"/>
          <w:numId w:val="2"/>
        </w:numPr>
        <w:spacing w:line="276" w:lineRule="auto"/>
        <w:rPr>
          <w:rFonts w:asciiTheme="minorHAnsi" w:hAnsiTheme="minorHAnsi"/>
          <w:sz w:val="22"/>
          <w:szCs w:val="22"/>
          <w:u w:val="single"/>
        </w:rPr>
      </w:pPr>
      <w:r>
        <w:rPr>
          <w:rFonts w:asciiTheme="minorHAnsi" w:hAnsiTheme="minorHAnsi"/>
          <w:sz w:val="22"/>
          <w:szCs w:val="22"/>
        </w:rPr>
        <w:t>Viability</w:t>
      </w:r>
    </w:p>
    <w:p w14:paraId="0B9D4D3D" w14:textId="77777777" w:rsidR="008A4287" w:rsidRPr="008F3534" w:rsidRDefault="008A4287" w:rsidP="00D212BC">
      <w:pPr>
        <w:pStyle w:val="ListParagraph"/>
        <w:spacing w:line="276" w:lineRule="auto"/>
        <w:ind w:left="1080"/>
        <w:rPr>
          <w:rFonts w:asciiTheme="minorHAnsi" w:hAnsiTheme="minorHAnsi"/>
          <w:i/>
          <w:sz w:val="22"/>
          <w:szCs w:val="22"/>
          <w:u w:val="single"/>
        </w:rPr>
      </w:pPr>
    </w:p>
    <w:p w14:paraId="2CA8CFAA" w14:textId="77777777" w:rsidR="00D12778" w:rsidRDefault="00D12778" w:rsidP="00C208E9">
      <w:pPr>
        <w:pStyle w:val="ListParagraph"/>
        <w:numPr>
          <w:ilvl w:val="0"/>
          <w:numId w:val="2"/>
        </w:numPr>
        <w:spacing w:line="276" w:lineRule="auto"/>
        <w:rPr>
          <w:rFonts w:asciiTheme="minorHAnsi" w:hAnsiTheme="minorHAnsi"/>
          <w:sz w:val="22"/>
          <w:szCs w:val="22"/>
          <w:u w:val="single"/>
        </w:rPr>
      </w:pPr>
      <w:r w:rsidRPr="00291BE4">
        <w:rPr>
          <w:rFonts w:asciiTheme="minorHAnsi" w:hAnsiTheme="minorHAnsi"/>
          <w:sz w:val="22"/>
          <w:szCs w:val="22"/>
          <w:u w:val="single"/>
        </w:rPr>
        <w:t>Areas of Agreement</w:t>
      </w:r>
    </w:p>
    <w:p w14:paraId="01FCB78D" w14:textId="77777777" w:rsidR="001E051E" w:rsidRDefault="001E051E" w:rsidP="001E051E">
      <w:pPr>
        <w:pStyle w:val="ListParagraph"/>
        <w:spacing w:line="276" w:lineRule="auto"/>
        <w:ind w:left="360"/>
        <w:rPr>
          <w:rFonts w:asciiTheme="minorHAnsi" w:hAnsiTheme="minorHAnsi"/>
          <w:sz w:val="22"/>
          <w:szCs w:val="22"/>
          <w:u w:val="single"/>
        </w:rPr>
      </w:pPr>
    </w:p>
    <w:p w14:paraId="571A4522" w14:textId="25DB09F0" w:rsidR="001E051E" w:rsidRPr="001E051E" w:rsidRDefault="001E051E" w:rsidP="001E051E">
      <w:pPr>
        <w:pStyle w:val="ListParagraph"/>
        <w:spacing w:line="276" w:lineRule="auto"/>
        <w:ind w:left="360"/>
        <w:rPr>
          <w:rFonts w:asciiTheme="minorHAnsi" w:hAnsiTheme="minorHAnsi"/>
          <w:i/>
          <w:sz w:val="22"/>
          <w:szCs w:val="22"/>
        </w:rPr>
      </w:pPr>
      <w:r w:rsidRPr="001E051E">
        <w:rPr>
          <w:rFonts w:asciiTheme="minorHAnsi" w:hAnsiTheme="minorHAnsi"/>
          <w:i/>
          <w:sz w:val="22"/>
          <w:szCs w:val="22"/>
        </w:rPr>
        <w:t>Land use</w:t>
      </w:r>
    </w:p>
    <w:p w14:paraId="6021DC10" w14:textId="43D1A549" w:rsidR="001E051E" w:rsidRDefault="001E051E" w:rsidP="00A25FFA">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sidRPr="001E051E">
        <w:rPr>
          <w:rFonts w:asciiTheme="minorHAnsi" w:hAnsiTheme="minorHAnsi"/>
          <w:sz w:val="22"/>
          <w:szCs w:val="22"/>
        </w:rPr>
        <w:t>There is no in-</w:t>
      </w:r>
      <w:r w:rsidR="000B6162" w:rsidRPr="001E051E">
        <w:rPr>
          <w:rFonts w:asciiTheme="minorHAnsi" w:hAnsiTheme="minorHAnsi"/>
          <w:sz w:val="22"/>
          <w:szCs w:val="22"/>
        </w:rPr>
        <w:t xml:space="preserve">principle </w:t>
      </w:r>
      <w:r w:rsidR="00317DCB">
        <w:rPr>
          <w:rFonts w:asciiTheme="minorHAnsi" w:hAnsiTheme="minorHAnsi"/>
          <w:sz w:val="22"/>
          <w:szCs w:val="22"/>
        </w:rPr>
        <w:t>objection to</w:t>
      </w:r>
      <w:r w:rsidR="000B6162" w:rsidRPr="001E051E">
        <w:rPr>
          <w:rFonts w:asciiTheme="minorHAnsi" w:hAnsiTheme="minorHAnsi"/>
          <w:sz w:val="22"/>
          <w:szCs w:val="22"/>
        </w:rPr>
        <w:t xml:space="preserve"> the creation of a new hotel, restaurant,</w:t>
      </w:r>
      <w:r w:rsidRPr="001E051E">
        <w:rPr>
          <w:rFonts w:asciiTheme="minorHAnsi" w:hAnsiTheme="minorHAnsi"/>
          <w:sz w:val="22"/>
          <w:szCs w:val="22"/>
        </w:rPr>
        <w:t xml:space="preserve"> </w:t>
      </w:r>
      <w:r w:rsidR="000B6162" w:rsidRPr="001E051E">
        <w:rPr>
          <w:rFonts w:asciiTheme="minorHAnsi" w:hAnsiTheme="minorHAnsi"/>
          <w:sz w:val="22"/>
          <w:szCs w:val="22"/>
        </w:rPr>
        <w:t>bar and spa in this location</w:t>
      </w:r>
      <w:r>
        <w:rPr>
          <w:rFonts w:asciiTheme="minorHAnsi" w:hAnsiTheme="minorHAnsi"/>
          <w:sz w:val="22"/>
          <w:szCs w:val="22"/>
        </w:rPr>
        <w:t>.</w:t>
      </w:r>
    </w:p>
    <w:p w14:paraId="122141DE" w14:textId="738D1D98" w:rsidR="001E051E" w:rsidRDefault="001E051E" w:rsidP="00A809EA">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sidRPr="001E051E">
        <w:rPr>
          <w:rFonts w:asciiTheme="minorHAnsi" w:hAnsiTheme="minorHAnsi"/>
          <w:sz w:val="22"/>
          <w:szCs w:val="22"/>
        </w:rPr>
        <w:t>The proposed restaurant and bar are located within a mixed use area</w:t>
      </w:r>
      <w:r>
        <w:rPr>
          <w:rFonts w:asciiTheme="minorHAnsi" w:hAnsiTheme="minorHAnsi"/>
          <w:sz w:val="22"/>
          <w:szCs w:val="22"/>
        </w:rPr>
        <w:t>, and t</w:t>
      </w:r>
      <w:r w:rsidRPr="001E051E">
        <w:rPr>
          <w:rFonts w:asciiTheme="minorHAnsi" w:hAnsiTheme="minorHAnsi"/>
          <w:sz w:val="22"/>
          <w:szCs w:val="22"/>
        </w:rPr>
        <w:t xml:space="preserve">he introduction of new food and drink uses to the site </w:t>
      </w:r>
      <w:r>
        <w:rPr>
          <w:rFonts w:asciiTheme="minorHAnsi" w:hAnsiTheme="minorHAnsi"/>
          <w:sz w:val="22"/>
          <w:szCs w:val="22"/>
        </w:rPr>
        <w:t>would</w:t>
      </w:r>
      <w:r w:rsidRPr="001E051E">
        <w:rPr>
          <w:rFonts w:asciiTheme="minorHAnsi" w:hAnsiTheme="minorHAnsi"/>
          <w:sz w:val="22"/>
          <w:szCs w:val="22"/>
        </w:rPr>
        <w:t xml:space="preserve"> contribute to the vitality of the Central Activities Zone.</w:t>
      </w:r>
    </w:p>
    <w:p w14:paraId="07B53E24" w14:textId="001AD2D5" w:rsidR="001E051E" w:rsidRDefault="001E051E" w:rsidP="00C47A0E">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sidRPr="001E051E">
        <w:rPr>
          <w:rFonts w:asciiTheme="minorHAnsi" w:hAnsiTheme="minorHAnsi"/>
          <w:sz w:val="22"/>
          <w:szCs w:val="22"/>
        </w:rPr>
        <w:t>Given the site’s inclusion within the Central Activities Zone, and its PTAL rating of 6b (the highest), it is considered an appropriate location for the introduction of a new hotel use</w:t>
      </w:r>
      <w:r>
        <w:rPr>
          <w:rFonts w:asciiTheme="minorHAnsi" w:hAnsiTheme="minorHAnsi"/>
          <w:sz w:val="22"/>
          <w:szCs w:val="22"/>
        </w:rPr>
        <w:t>;</w:t>
      </w:r>
    </w:p>
    <w:p w14:paraId="2033D90F" w14:textId="2732F149" w:rsidR="001E051E" w:rsidRDefault="001E051E" w:rsidP="009802F7">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sidRPr="001E051E">
        <w:rPr>
          <w:rFonts w:asciiTheme="minorHAnsi" w:hAnsiTheme="minorHAnsi"/>
          <w:sz w:val="22"/>
          <w:szCs w:val="22"/>
        </w:rPr>
        <w:t>The proposed spa would be an acceptable use within the wider mix of uses</w:t>
      </w:r>
      <w:r>
        <w:rPr>
          <w:rFonts w:asciiTheme="minorHAnsi" w:hAnsiTheme="minorHAnsi"/>
          <w:sz w:val="22"/>
          <w:szCs w:val="22"/>
        </w:rPr>
        <w:t>;</w:t>
      </w:r>
    </w:p>
    <w:p w14:paraId="2528BEF8" w14:textId="47CE39B6" w:rsidR="001E051E" w:rsidRDefault="001E051E" w:rsidP="009C3E07">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sidRPr="001E051E">
        <w:rPr>
          <w:rFonts w:asciiTheme="minorHAnsi" w:hAnsiTheme="minorHAnsi"/>
          <w:sz w:val="22"/>
          <w:szCs w:val="22"/>
        </w:rPr>
        <w:t xml:space="preserve">The introduction of residential floorspace would </w:t>
      </w:r>
      <w:r>
        <w:rPr>
          <w:rFonts w:asciiTheme="minorHAnsi" w:hAnsiTheme="minorHAnsi"/>
          <w:sz w:val="22"/>
          <w:szCs w:val="22"/>
        </w:rPr>
        <w:t xml:space="preserve">not </w:t>
      </w:r>
      <w:r w:rsidRPr="001E051E">
        <w:rPr>
          <w:rFonts w:asciiTheme="minorHAnsi" w:hAnsiTheme="minorHAnsi"/>
          <w:sz w:val="22"/>
          <w:szCs w:val="22"/>
        </w:rPr>
        <w:t>make for the most practical use of the site</w:t>
      </w:r>
      <w:r>
        <w:rPr>
          <w:rFonts w:asciiTheme="minorHAnsi" w:hAnsiTheme="minorHAnsi"/>
          <w:sz w:val="22"/>
          <w:szCs w:val="22"/>
        </w:rPr>
        <w:t>;</w:t>
      </w:r>
    </w:p>
    <w:p w14:paraId="770479AA" w14:textId="6FDC9B18" w:rsidR="001E051E" w:rsidRDefault="001E051E" w:rsidP="009C3E07">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 xml:space="preserve">The Council’s Design Review Panel stated that </w:t>
      </w:r>
      <w:r w:rsidR="00F20D73" w:rsidRPr="00F20D73">
        <w:rPr>
          <w:rFonts w:asciiTheme="minorHAnsi" w:hAnsiTheme="minorHAnsi"/>
          <w:sz w:val="22"/>
          <w:szCs w:val="22"/>
        </w:rPr>
        <w:t>it supported</w:t>
      </w:r>
      <w:r w:rsidRPr="00F20D73">
        <w:rPr>
          <w:rFonts w:asciiTheme="minorHAnsi" w:hAnsiTheme="minorHAnsi"/>
          <w:sz w:val="22"/>
          <w:szCs w:val="22"/>
        </w:rPr>
        <w:t xml:space="preserve"> the principle of refurbishing the building as a hotel, on the clear proviso that an ope</w:t>
      </w:r>
      <w:r w:rsidR="00F20D73">
        <w:rPr>
          <w:rFonts w:asciiTheme="minorHAnsi" w:hAnsiTheme="minorHAnsi"/>
          <w:sz w:val="22"/>
          <w:szCs w:val="22"/>
        </w:rPr>
        <w:t>rational cinema could be retained;</w:t>
      </w:r>
    </w:p>
    <w:p w14:paraId="4E6E776E" w14:textId="77777777" w:rsidR="001E051E" w:rsidRDefault="001E051E" w:rsidP="001E051E">
      <w:pPr>
        <w:pStyle w:val="ListParagraph"/>
        <w:widowControl w:val="0"/>
        <w:autoSpaceDE w:val="0"/>
        <w:autoSpaceDN w:val="0"/>
        <w:adjustRightInd w:val="0"/>
        <w:spacing w:line="276" w:lineRule="auto"/>
        <w:ind w:left="644" w:right="-476"/>
        <w:jc w:val="both"/>
        <w:rPr>
          <w:rFonts w:asciiTheme="minorHAnsi" w:hAnsiTheme="minorHAnsi"/>
          <w:sz w:val="22"/>
          <w:szCs w:val="22"/>
        </w:rPr>
      </w:pPr>
    </w:p>
    <w:p w14:paraId="7EE895E4" w14:textId="3BCB515A" w:rsidR="001E051E" w:rsidRPr="001E051E" w:rsidRDefault="001E051E" w:rsidP="001E051E">
      <w:pPr>
        <w:pStyle w:val="ListParagraph"/>
        <w:widowControl w:val="0"/>
        <w:autoSpaceDE w:val="0"/>
        <w:autoSpaceDN w:val="0"/>
        <w:adjustRightInd w:val="0"/>
        <w:spacing w:line="276" w:lineRule="auto"/>
        <w:ind w:left="644" w:right="-476"/>
        <w:jc w:val="both"/>
        <w:rPr>
          <w:rFonts w:asciiTheme="minorHAnsi" w:hAnsiTheme="minorHAnsi"/>
          <w:i/>
          <w:sz w:val="22"/>
          <w:szCs w:val="22"/>
        </w:rPr>
      </w:pPr>
      <w:r>
        <w:rPr>
          <w:rFonts w:asciiTheme="minorHAnsi" w:hAnsiTheme="minorHAnsi"/>
          <w:i/>
          <w:sz w:val="22"/>
          <w:szCs w:val="22"/>
        </w:rPr>
        <w:t xml:space="preserve">Heritage and design </w:t>
      </w:r>
    </w:p>
    <w:p w14:paraId="5F190BD6" w14:textId="150DC619" w:rsidR="001E051E" w:rsidRDefault="001E051E" w:rsidP="00AD376A">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sidRPr="001E051E">
        <w:rPr>
          <w:rFonts w:asciiTheme="minorHAnsi" w:hAnsiTheme="minorHAnsi"/>
          <w:sz w:val="22"/>
          <w:szCs w:val="22"/>
        </w:rPr>
        <w:t>The former Saville Theatre is a Grade-II listed building, designed by Sir Thomas Bennett in 1929-30, with the theatre architect Bertie Crewe and incorporating work by the sculptor Gilbert Bayes</w:t>
      </w:r>
      <w:r>
        <w:rPr>
          <w:rFonts w:asciiTheme="minorHAnsi" w:hAnsiTheme="minorHAnsi"/>
          <w:sz w:val="22"/>
          <w:szCs w:val="22"/>
        </w:rPr>
        <w:t>;</w:t>
      </w:r>
    </w:p>
    <w:p w14:paraId="3FA416DC" w14:textId="732BEBDD" w:rsidR="001E051E" w:rsidRPr="001E051E" w:rsidRDefault="001E051E" w:rsidP="007E7806">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sidRPr="001E051E">
        <w:rPr>
          <w:rFonts w:asciiTheme="minorHAnsi" w:hAnsiTheme="minorHAnsi"/>
          <w:sz w:val="22"/>
          <w:szCs w:val="22"/>
        </w:rPr>
        <w:t>The building is steel framed</w:t>
      </w:r>
      <w:r>
        <w:rPr>
          <w:rFonts w:asciiTheme="minorHAnsi" w:hAnsiTheme="minorHAnsi"/>
          <w:sz w:val="22"/>
          <w:szCs w:val="22"/>
        </w:rPr>
        <w:t>, and</w:t>
      </w:r>
      <w:r w:rsidRPr="001E051E">
        <w:rPr>
          <w:rFonts w:asciiTheme="minorHAnsi" w:hAnsiTheme="minorHAnsi"/>
          <w:sz w:val="22"/>
          <w:szCs w:val="22"/>
        </w:rPr>
        <w:t xml:space="preserve"> clad in red-brown brick with an artificial stone plinth and frieze to the front. The setting of the frieze, echoed in the elevation by stone and brick banding and by the cornice and strong flat parapet line above, is of critical significance to the listed building’s special interest</w:t>
      </w:r>
      <w:r>
        <w:rPr>
          <w:rFonts w:asciiTheme="minorHAnsi" w:hAnsiTheme="minorHAnsi"/>
          <w:sz w:val="22"/>
          <w:szCs w:val="22"/>
        </w:rPr>
        <w:t>;</w:t>
      </w:r>
    </w:p>
    <w:p w14:paraId="3588253B" w14:textId="6A1B8616" w:rsidR="001E051E" w:rsidRPr="001E051E" w:rsidRDefault="001E051E" w:rsidP="001E051E">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sidRPr="001E051E">
        <w:rPr>
          <w:rFonts w:asciiTheme="minorHAnsi" w:hAnsiTheme="minorHAnsi"/>
          <w:sz w:val="22"/>
          <w:szCs w:val="22"/>
        </w:rPr>
        <w:t>In 1970 the building was converted</w:t>
      </w:r>
      <w:r>
        <w:rPr>
          <w:rFonts w:asciiTheme="minorHAnsi" w:hAnsiTheme="minorHAnsi"/>
          <w:sz w:val="22"/>
          <w:szCs w:val="22"/>
        </w:rPr>
        <w:t xml:space="preserve"> from a theatre</w:t>
      </w:r>
      <w:r w:rsidRPr="001E051E">
        <w:rPr>
          <w:rFonts w:asciiTheme="minorHAnsi" w:hAnsiTheme="minorHAnsi"/>
          <w:sz w:val="22"/>
          <w:szCs w:val="22"/>
        </w:rPr>
        <w:t xml:space="preserve"> into two cinemas</w:t>
      </w:r>
      <w:r>
        <w:rPr>
          <w:rFonts w:asciiTheme="minorHAnsi" w:hAnsiTheme="minorHAnsi"/>
          <w:sz w:val="22"/>
          <w:szCs w:val="22"/>
        </w:rPr>
        <w:t>. T</w:t>
      </w:r>
      <w:r w:rsidRPr="001E051E">
        <w:rPr>
          <w:rFonts w:asciiTheme="minorHAnsi" w:hAnsiTheme="minorHAnsi"/>
          <w:sz w:val="22"/>
          <w:szCs w:val="22"/>
        </w:rPr>
        <w:t>he internal parts of the building contrib</w:t>
      </w:r>
      <w:r>
        <w:rPr>
          <w:rFonts w:asciiTheme="minorHAnsi" w:hAnsiTheme="minorHAnsi"/>
          <w:sz w:val="22"/>
          <w:szCs w:val="22"/>
        </w:rPr>
        <w:t>ute little to its significance;</w:t>
      </w:r>
    </w:p>
    <w:p w14:paraId="0AAD4DA3" w14:textId="2E8C3402" w:rsidR="001E051E" w:rsidRDefault="001E051E" w:rsidP="000C4189">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sidRPr="00F20D73">
        <w:rPr>
          <w:rFonts w:asciiTheme="minorHAnsi" w:hAnsiTheme="minorHAnsi"/>
          <w:sz w:val="22"/>
          <w:szCs w:val="22"/>
        </w:rPr>
        <w:t>The Property is not in a state of good repair</w:t>
      </w:r>
      <w:r w:rsidR="00F20D73" w:rsidRPr="00F20D73">
        <w:rPr>
          <w:rFonts w:asciiTheme="minorHAnsi" w:hAnsiTheme="minorHAnsi"/>
          <w:sz w:val="22"/>
          <w:szCs w:val="22"/>
        </w:rPr>
        <w:t>, and it would not be viable to repair and refurbish the building;</w:t>
      </w:r>
    </w:p>
    <w:p w14:paraId="43C08840" w14:textId="00E39A53" w:rsidR="002516D1" w:rsidRPr="00F20D73" w:rsidRDefault="002516D1" w:rsidP="000C4189">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The state of the Property is not due to deliberate damage or neglect on the part of the Appellant;</w:t>
      </w:r>
      <w:bookmarkStart w:id="0" w:name="_GoBack"/>
      <w:bookmarkEnd w:id="0"/>
    </w:p>
    <w:p w14:paraId="12DCBE38" w14:textId="63287212" w:rsidR="00F20D73" w:rsidRDefault="00F20D73" w:rsidP="00A16F32">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A</w:t>
      </w:r>
      <w:r w:rsidRPr="00F20D73">
        <w:rPr>
          <w:rFonts w:asciiTheme="minorHAnsi" w:hAnsiTheme="minorHAnsi"/>
          <w:sz w:val="22"/>
          <w:szCs w:val="22"/>
        </w:rPr>
        <w:t xml:space="preserve"> roof extension of this form and height, if sympathetically executed could be incorporated without significant harm to the listed building</w:t>
      </w:r>
      <w:r>
        <w:rPr>
          <w:rFonts w:asciiTheme="minorHAnsi" w:hAnsiTheme="minorHAnsi"/>
          <w:sz w:val="22"/>
          <w:szCs w:val="22"/>
        </w:rPr>
        <w:t>;</w:t>
      </w:r>
    </w:p>
    <w:p w14:paraId="7638F71D" w14:textId="77777777" w:rsidR="00237318" w:rsidRDefault="00F20D73" w:rsidP="006B511E">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sidRPr="00F20D73">
        <w:rPr>
          <w:rFonts w:asciiTheme="minorHAnsi" w:hAnsiTheme="minorHAnsi"/>
          <w:sz w:val="22"/>
          <w:szCs w:val="22"/>
        </w:rPr>
        <w:t>The proposed repair and reinstatement works, including works to the frieze and the arched window, are direct heritage benefits of the proposal;</w:t>
      </w:r>
    </w:p>
    <w:p w14:paraId="3FC77D8D" w14:textId="304FAF5B" w:rsidR="00F20D73" w:rsidRPr="00F20D73" w:rsidRDefault="00237318" w:rsidP="006B511E">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R</w:t>
      </w:r>
      <w:r w:rsidR="00F20D73" w:rsidRPr="00F20D73">
        <w:rPr>
          <w:rFonts w:asciiTheme="minorHAnsi" w:hAnsiTheme="minorHAnsi"/>
          <w:sz w:val="22"/>
          <w:szCs w:val="22"/>
        </w:rPr>
        <w:t>etaining the building in its optimum viable use would also be considered a public benefit</w:t>
      </w:r>
      <w:r>
        <w:rPr>
          <w:rFonts w:asciiTheme="minorHAnsi" w:hAnsiTheme="minorHAnsi"/>
          <w:sz w:val="22"/>
          <w:szCs w:val="22"/>
        </w:rPr>
        <w:t>;</w:t>
      </w:r>
    </w:p>
    <w:p w14:paraId="37136C39" w14:textId="0F7E9F80" w:rsidR="00F20D73" w:rsidRDefault="00F20D73" w:rsidP="00656FAB">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sidRPr="00F20D73">
        <w:rPr>
          <w:rFonts w:asciiTheme="minorHAnsi" w:hAnsiTheme="minorHAnsi"/>
          <w:sz w:val="22"/>
          <w:szCs w:val="22"/>
        </w:rPr>
        <w:t>The proposed basement excavation would not harm the significance of the listed building</w:t>
      </w:r>
      <w:r>
        <w:rPr>
          <w:rFonts w:asciiTheme="minorHAnsi" w:hAnsiTheme="minorHAnsi"/>
          <w:sz w:val="22"/>
          <w:szCs w:val="22"/>
        </w:rPr>
        <w:t>;</w:t>
      </w:r>
    </w:p>
    <w:p w14:paraId="7D36ED03" w14:textId="5CBEAB2C" w:rsidR="00F20D73" w:rsidRDefault="00F20D73" w:rsidP="00F20D73">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The Council’s Design Review stated that it</w:t>
      </w:r>
      <w:r w:rsidR="00317DCB">
        <w:rPr>
          <w:rFonts w:asciiTheme="minorHAnsi" w:hAnsiTheme="minorHAnsi"/>
          <w:sz w:val="22"/>
          <w:szCs w:val="22"/>
        </w:rPr>
        <w:t xml:space="preserve"> accepted the height of the proposed extension, and that it</w:t>
      </w:r>
      <w:r>
        <w:rPr>
          <w:rFonts w:asciiTheme="minorHAnsi" w:hAnsiTheme="minorHAnsi"/>
          <w:sz w:val="22"/>
          <w:szCs w:val="22"/>
        </w:rPr>
        <w:t xml:space="preserve"> “sees much to admire in the proposals”;</w:t>
      </w:r>
    </w:p>
    <w:p w14:paraId="19B9A608" w14:textId="036A6B2B" w:rsidR="00317DCB" w:rsidRDefault="00317DCB" w:rsidP="00F20D73">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The independent heritage report prepared by Dr Duncan Philipps concluded that:</w:t>
      </w:r>
    </w:p>
    <w:p w14:paraId="6E8C226E" w14:textId="091FB396" w:rsidR="00FF7823" w:rsidRDefault="00FF7823" w:rsidP="00FF7823">
      <w:pPr>
        <w:pStyle w:val="ListParagraph"/>
        <w:widowControl w:val="0"/>
        <w:numPr>
          <w:ilvl w:val="2"/>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P</w:t>
      </w:r>
      <w:r w:rsidRPr="00FF7823">
        <w:rPr>
          <w:rFonts w:asciiTheme="minorHAnsi" w:hAnsiTheme="minorHAnsi"/>
          <w:sz w:val="22"/>
          <w:szCs w:val="22"/>
        </w:rPr>
        <w:t>urely from a heritage point of view, the proposed project does not impact on the significance of the historic interest in the building;</w:t>
      </w:r>
    </w:p>
    <w:p w14:paraId="7FFD7CD7" w14:textId="77777777" w:rsidR="00FF7823" w:rsidRPr="00FF7823" w:rsidRDefault="00FF7823" w:rsidP="00FF7823">
      <w:pPr>
        <w:pStyle w:val="ListParagraph"/>
        <w:widowControl w:val="0"/>
        <w:autoSpaceDE w:val="0"/>
        <w:autoSpaceDN w:val="0"/>
        <w:adjustRightInd w:val="0"/>
        <w:spacing w:line="276" w:lineRule="auto"/>
        <w:ind w:left="1881" w:right="-476"/>
        <w:jc w:val="both"/>
        <w:rPr>
          <w:rFonts w:asciiTheme="minorHAnsi" w:hAnsiTheme="minorHAnsi"/>
          <w:sz w:val="22"/>
          <w:szCs w:val="22"/>
        </w:rPr>
      </w:pPr>
    </w:p>
    <w:p w14:paraId="1111C5D5" w14:textId="171345E5" w:rsidR="00FF7823" w:rsidRDefault="00FF7823" w:rsidP="00FF7823">
      <w:pPr>
        <w:pStyle w:val="ListParagraph"/>
        <w:widowControl w:val="0"/>
        <w:numPr>
          <w:ilvl w:val="2"/>
          <w:numId w:val="2"/>
        </w:numPr>
        <w:autoSpaceDE w:val="0"/>
        <w:autoSpaceDN w:val="0"/>
        <w:adjustRightInd w:val="0"/>
        <w:spacing w:line="276" w:lineRule="auto"/>
        <w:ind w:right="-476"/>
        <w:jc w:val="both"/>
        <w:rPr>
          <w:rFonts w:asciiTheme="minorHAnsi" w:hAnsiTheme="minorHAnsi"/>
          <w:sz w:val="22"/>
          <w:szCs w:val="22"/>
        </w:rPr>
      </w:pPr>
      <w:r w:rsidRPr="00FF7823">
        <w:rPr>
          <w:rFonts w:asciiTheme="minorHAnsi" w:hAnsiTheme="minorHAnsi"/>
          <w:sz w:val="22"/>
          <w:szCs w:val="22"/>
        </w:rPr>
        <w:t xml:space="preserve">I am satisfied that there is no conservation deficit from the proposed works and that the loss of historic fabric has already been caused by previous alterations to the building before the date of Listing. Therefore, the proposed development does not impact on the heritage asset and the extent of the proposals and the costs of achieving those proposals are not unreasonable when taking into </w:t>
      </w:r>
      <w:r>
        <w:rPr>
          <w:rFonts w:asciiTheme="minorHAnsi" w:hAnsiTheme="minorHAnsi"/>
          <w:sz w:val="22"/>
          <w:szCs w:val="22"/>
        </w:rPr>
        <w:t>account the logistics involved.</w:t>
      </w:r>
    </w:p>
    <w:p w14:paraId="5557743E" w14:textId="77777777" w:rsidR="00FF7823" w:rsidRPr="00FF7823" w:rsidRDefault="00FF7823" w:rsidP="00FF7823">
      <w:pPr>
        <w:widowControl w:val="0"/>
        <w:autoSpaceDE w:val="0"/>
        <w:autoSpaceDN w:val="0"/>
        <w:adjustRightInd w:val="0"/>
        <w:spacing w:line="276" w:lineRule="auto"/>
        <w:ind w:right="-476"/>
        <w:jc w:val="both"/>
        <w:rPr>
          <w:rFonts w:asciiTheme="minorHAnsi" w:hAnsiTheme="minorHAnsi"/>
          <w:sz w:val="22"/>
          <w:szCs w:val="22"/>
        </w:rPr>
      </w:pPr>
    </w:p>
    <w:p w14:paraId="71DF3732" w14:textId="77777777" w:rsidR="00FF7823" w:rsidRDefault="00FF7823" w:rsidP="00FF7823">
      <w:pPr>
        <w:pStyle w:val="ListParagraph"/>
        <w:widowControl w:val="0"/>
        <w:numPr>
          <w:ilvl w:val="2"/>
          <w:numId w:val="2"/>
        </w:numPr>
        <w:autoSpaceDE w:val="0"/>
        <w:autoSpaceDN w:val="0"/>
        <w:adjustRightInd w:val="0"/>
        <w:spacing w:line="276" w:lineRule="auto"/>
        <w:ind w:right="-476"/>
        <w:jc w:val="both"/>
        <w:rPr>
          <w:rFonts w:asciiTheme="minorHAnsi" w:hAnsiTheme="minorHAnsi"/>
          <w:sz w:val="22"/>
          <w:szCs w:val="22"/>
        </w:rPr>
      </w:pPr>
      <w:r w:rsidRPr="00FF7823">
        <w:rPr>
          <w:rFonts w:asciiTheme="minorHAnsi" w:hAnsiTheme="minorHAnsi"/>
          <w:sz w:val="22"/>
          <w:szCs w:val="22"/>
        </w:rPr>
        <w:t xml:space="preserve">Taking all of this into account, the proposed costs are not unreasonable estimates at this early stage – allowing for the reality that there are many variables that could cause costs to rise or fall as the project develops. </w:t>
      </w:r>
    </w:p>
    <w:p w14:paraId="12B44BDB" w14:textId="77777777" w:rsidR="00FF7823" w:rsidRPr="00FF7823" w:rsidRDefault="00FF7823" w:rsidP="00FF7823">
      <w:pPr>
        <w:widowControl w:val="0"/>
        <w:autoSpaceDE w:val="0"/>
        <w:autoSpaceDN w:val="0"/>
        <w:adjustRightInd w:val="0"/>
        <w:spacing w:line="276" w:lineRule="auto"/>
        <w:ind w:right="-476"/>
        <w:jc w:val="both"/>
        <w:rPr>
          <w:rFonts w:asciiTheme="minorHAnsi" w:hAnsiTheme="minorHAnsi"/>
          <w:sz w:val="22"/>
          <w:szCs w:val="22"/>
        </w:rPr>
      </w:pPr>
    </w:p>
    <w:p w14:paraId="1B55698F" w14:textId="77777777" w:rsidR="00FF7823" w:rsidRDefault="00FF7823" w:rsidP="00FF7823">
      <w:pPr>
        <w:pStyle w:val="ListParagraph"/>
        <w:widowControl w:val="0"/>
        <w:numPr>
          <w:ilvl w:val="2"/>
          <w:numId w:val="2"/>
        </w:numPr>
        <w:autoSpaceDE w:val="0"/>
        <w:autoSpaceDN w:val="0"/>
        <w:adjustRightInd w:val="0"/>
        <w:spacing w:line="276" w:lineRule="auto"/>
        <w:ind w:right="-476"/>
        <w:jc w:val="both"/>
        <w:rPr>
          <w:rFonts w:asciiTheme="minorHAnsi" w:hAnsiTheme="minorHAnsi"/>
          <w:sz w:val="22"/>
          <w:szCs w:val="22"/>
        </w:rPr>
      </w:pPr>
      <w:r w:rsidRPr="00FF7823">
        <w:rPr>
          <w:rFonts w:asciiTheme="minorHAnsi" w:hAnsiTheme="minorHAnsi"/>
          <w:sz w:val="22"/>
          <w:szCs w:val="22"/>
        </w:rPr>
        <w:t>As the proposed project does not cause harm to the remaining significance of the heritage asset, it can be reasonably justified on this basis.</w:t>
      </w:r>
    </w:p>
    <w:p w14:paraId="644ADF43" w14:textId="77777777" w:rsidR="00FF7823" w:rsidRDefault="00FF7823" w:rsidP="00FF7823">
      <w:pPr>
        <w:widowControl w:val="0"/>
        <w:autoSpaceDE w:val="0"/>
        <w:autoSpaceDN w:val="0"/>
        <w:adjustRightInd w:val="0"/>
        <w:spacing w:line="276" w:lineRule="auto"/>
        <w:ind w:right="-476"/>
        <w:jc w:val="both"/>
        <w:rPr>
          <w:rFonts w:asciiTheme="minorHAnsi" w:hAnsiTheme="minorHAnsi"/>
          <w:sz w:val="22"/>
          <w:szCs w:val="22"/>
        </w:rPr>
      </w:pPr>
    </w:p>
    <w:p w14:paraId="296BDC75" w14:textId="29F54E1F" w:rsidR="00FF7823" w:rsidRPr="00FF7823" w:rsidRDefault="00FF7823" w:rsidP="00FF7823">
      <w:pPr>
        <w:widowControl w:val="0"/>
        <w:autoSpaceDE w:val="0"/>
        <w:autoSpaceDN w:val="0"/>
        <w:adjustRightInd w:val="0"/>
        <w:spacing w:line="276" w:lineRule="auto"/>
        <w:ind w:left="644" w:right="-476"/>
        <w:jc w:val="both"/>
        <w:rPr>
          <w:rFonts w:asciiTheme="minorHAnsi" w:hAnsiTheme="minorHAnsi"/>
          <w:i/>
          <w:sz w:val="22"/>
          <w:szCs w:val="22"/>
        </w:rPr>
      </w:pPr>
      <w:r>
        <w:rPr>
          <w:rFonts w:asciiTheme="minorHAnsi" w:hAnsiTheme="minorHAnsi"/>
          <w:i/>
          <w:sz w:val="22"/>
          <w:szCs w:val="22"/>
        </w:rPr>
        <w:t>Viability</w:t>
      </w:r>
    </w:p>
    <w:p w14:paraId="76E8EE5F" w14:textId="3866C1C6" w:rsidR="00FF7823" w:rsidRDefault="00FF7823" w:rsidP="00FF7823">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It would cost around £10m to repair and refurbish the Property;</w:t>
      </w:r>
    </w:p>
    <w:p w14:paraId="3D078661" w14:textId="6BE743DC" w:rsidR="00FF7823" w:rsidRDefault="00FF7823" w:rsidP="00FF7823">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BPS, acting on behalf of the Council concluded in their initial report that:</w:t>
      </w:r>
    </w:p>
    <w:p w14:paraId="0FE1C662" w14:textId="77777777" w:rsidR="00FF7823" w:rsidRDefault="00FF7823" w:rsidP="00515796">
      <w:pPr>
        <w:numPr>
          <w:ilvl w:val="2"/>
          <w:numId w:val="2"/>
        </w:numPr>
        <w:spacing w:after="240"/>
        <w:jc w:val="both"/>
        <w:rPr>
          <w:rFonts w:asciiTheme="minorHAnsi" w:hAnsiTheme="minorHAnsi"/>
          <w:sz w:val="22"/>
          <w:szCs w:val="22"/>
        </w:rPr>
      </w:pPr>
      <w:r w:rsidRPr="00FF7823">
        <w:rPr>
          <w:rFonts w:asciiTheme="minorHAnsi" w:hAnsiTheme="minorHAnsi"/>
          <w:sz w:val="22"/>
          <w:szCs w:val="22"/>
        </w:rPr>
        <w:t>The scheme is shown to be in deficit even when the benchmark land value is set as zero. It was initially unclear why the applicant is proceeding with the scheme on this basis given the unacceptable financial performance indicated. We understand that it is willing to proceed with the scheme in spite of this insufficient level of profit, due to the limited other options available to it in respect of this site. Following our review, we are in agreement with the overall conclusion that the scheme falls far short of a ‘break even’ position and therefore no additional planning contributions (including affordable housing contributions) can viably be delivered.</w:t>
      </w:r>
    </w:p>
    <w:p w14:paraId="3C803453" w14:textId="63844B15" w:rsidR="00FF7823" w:rsidRPr="00FF7823" w:rsidRDefault="00FF7823" w:rsidP="00515796">
      <w:pPr>
        <w:numPr>
          <w:ilvl w:val="2"/>
          <w:numId w:val="2"/>
        </w:numPr>
        <w:spacing w:after="240"/>
        <w:jc w:val="both"/>
        <w:rPr>
          <w:rFonts w:asciiTheme="minorHAnsi" w:hAnsiTheme="minorHAnsi"/>
          <w:sz w:val="22"/>
          <w:szCs w:val="22"/>
        </w:rPr>
      </w:pPr>
      <w:r w:rsidRPr="00FF7823">
        <w:rPr>
          <w:rFonts w:asciiTheme="minorHAnsi" w:hAnsiTheme="minorHAnsi"/>
          <w:sz w:val="22"/>
          <w:szCs w:val="22"/>
        </w:rPr>
        <w:t>Moreover, due to the nature of the disrepair to the building, the situation is likely to get worse over time as the building deteriorates further, thereby further compromising viability. This may in turn lead to a greater amount of ‘enabling development’ (i.e. additional floorspace) being required from the redevelopment, in order to cover the cost of the original cinema building’s renovation.</w:t>
      </w:r>
    </w:p>
    <w:p w14:paraId="592497FA" w14:textId="6F7FC44D" w:rsidR="00FF7823" w:rsidRDefault="00FF7823" w:rsidP="00FF7823">
      <w:pPr>
        <w:pStyle w:val="ListParagraph"/>
        <w:widowControl w:val="0"/>
        <w:numPr>
          <w:ilvl w:val="2"/>
          <w:numId w:val="2"/>
        </w:numPr>
        <w:autoSpaceDE w:val="0"/>
        <w:autoSpaceDN w:val="0"/>
        <w:adjustRightInd w:val="0"/>
        <w:spacing w:line="276" w:lineRule="auto"/>
        <w:ind w:right="-476"/>
        <w:jc w:val="both"/>
        <w:rPr>
          <w:rFonts w:asciiTheme="minorHAnsi" w:hAnsiTheme="minorHAnsi"/>
          <w:sz w:val="22"/>
          <w:szCs w:val="22"/>
        </w:rPr>
      </w:pPr>
      <w:r w:rsidRPr="00FF7823">
        <w:rPr>
          <w:rFonts w:asciiTheme="minorHAnsi" w:hAnsiTheme="minorHAnsi"/>
          <w:sz w:val="22"/>
          <w:szCs w:val="22"/>
        </w:rPr>
        <w:t>The proposed scheme is necessary as a form of ‘enabling development’ whereby the additional floorspace and new uses are necessary to generate the revenues to cross-subsidise the refurbishment and improvement works to the cinema. Therefore the hotel development and ancillary food and spa facilities are necessary in order to generate these revenues</w:t>
      </w:r>
      <w:r w:rsidR="00B248EA">
        <w:rPr>
          <w:rFonts w:asciiTheme="minorHAnsi" w:hAnsiTheme="minorHAnsi"/>
          <w:sz w:val="22"/>
          <w:szCs w:val="22"/>
        </w:rPr>
        <w:t>;</w:t>
      </w:r>
    </w:p>
    <w:p w14:paraId="69C69C63" w14:textId="2FBD1CEF" w:rsidR="00317DCB" w:rsidRDefault="00FF7823" w:rsidP="00FF7823">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The Council has received informal expressions of interest from a number of theatre operators on the basis of a 1400-seat theatre.</w:t>
      </w:r>
    </w:p>
    <w:p w14:paraId="7C070CD2" w14:textId="77777777" w:rsidR="00237318" w:rsidRDefault="00237318" w:rsidP="00237318">
      <w:pPr>
        <w:pStyle w:val="ListParagraph"/>
        <w:widowControl w:val="0"/>
        <w:autoSpaceDE w:val="0"/>
        <w:autoSpaceDN w:val="0"/>
        <w:adjustRightInd w:val="0"/>
        <w:spacing w:line="276" w:lineRule="auto"/>
        <w:ind w:left="644" w:right="-476"/>
        <w:jc w:val="both"/>
        <w:rPr>
          <w:rFonts w:asciiTheme="minorHAnsi" w:hAnsiTheme="minorHAnsi"/>
          <w:sz w:val="22"/>
          <w:szCs w:val="22"/>
        </w:rPr>
      </w:pPr>
    </w:p>
    <w:p w14:paraId="3583E188" w14:textId="1F6FE105" w:rsidR="00237318" w:rsidRPr="00237318" w:rsidRDefault="00237318" w:rsidP="00237318">
      <w:pPr>
        <w:pStyle w:val="ListParagraph"/>
        <w:widowControl w:val="0"/>
        <w:autoSpaceDE w:val="0"/>
        <w:autoSpaceDN w:val="0"/>
        <w:adjustRightInd w:val="0"/>
        <w:spacing w:line="276" w:lineRule="auto"/>
        <w:ind w:left="644" w:right="-476"/>
        <w:jc w:val="both"/>
        <w:rPr>
          <w:rFonts w:asciiTheme="minorHAnsi" w:hAnsiTheme="minorHAnsi"/>
          <w:i/>
          <w:sz w:val="22"/>
          <w:szCs w:val="22"/>
        </w:rPr>
      </w:pPr>
      <w:r>
        <w:rPr>
          <w:rFonts w:asciiTheme="minorHAnsi" w:hAnsiTheme="minorHAnsi"/>
          <w:i/>
          <w:sz w:val="22"/>
          <w:szCs w:val="22"/>
        </w:rPr>
        <w:t>Other</w:t>
      </w:r>
    </w:p>
    <w:p w14:paraId="47725347" w14:textId="7E9C2F6D" w:rsidR="00235C64" w:rsidRDefault="00237318" w:rsidP="00A809EA">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With appropriate conditions, the proposal would be acceptable on amenity grounds;</w:t>
      </w:r>
    </w:p>
    <w:p w14:paraId="1EA016EC" w14:textId="54D541C5" w:rsidR="00237318" w:rsidRDefault="00237318" w:rsidP="00E100FF">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sidRPr="00237318">
        <w:rPr>
          <w:rFonts w:asciiTheme="minorHAnsi" w:hAnsiTheme="minorHAnsi"/>
          <w:sz w:val="22"/>
          <w:szCs w:val="22"/>
        </w:rPr>
        <w:t>The proposed basement would be acceptable, subject to a condition requiring details of the engineers overseeing the excavation and regarding flood resistance measures</w:t>
      </w:r>
      <w:r>
        <w:rPr>
          <w:rFonts w:asciiTheme="minorHAnsi" w:hAnsiTheme="minorHAnsi"/>
          <w:sz w:val="22"/>
          <w:szCs w:val="22"/>
        </w:rPr>
        <w:t>;</w:t>
      </w:r>
    </w:p>
    <w:p w14:paraId="2BFE4622" w14:textId="61D344BE" w:rsidR="00237318" w:rsidRDefault="00237318" w:rsidP="00E100FF">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With appropriate conditions and s106 contributions, the proposal would be acceptable in transport, energy, sustainability, flood risk, air quality, safety, refuse, and local employment  terms;</w:t>
      </w:r>
    </w:p>
    <w:p w14:paraId="3B7429A0" w14:textId="6906CD50" w:rsidR="00237318" w:rsidRDefault="00237318" w:rsidP="00E100FF">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Reasons for refusal 4-14 could be overcome by entering into a s106 agreement (see Heads of Terms below);</w:t>
      </w:r>
    </w:p>
    <w:p w14:paraId="483D0C1F" w14:textId="2E102DCD" w:rsidR="00237318" w:rsidRDefault="00237318" w:rsidP="00E100FF">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Reason for Refusal 3 could be dealt with by way of condition.</w:t>
      </w:r>
    </w:p>
    <w:p w14:paraId="28B9786C" w14:textId="1A0FC996" w:rsidR="00886DC2" w:rsidRPr="00B964AF" w:rsidRDefault="00886DC2" w:rsidP="00645809">
      <w:pPr>
        <w:pStyle w:val="ListParagraph"/>
        <w:widowControl w:val="0"/>
        <w:autoSpaceDE w:val="0"/>
        <w:autoSpaceDN w:val="0"/>
        <w:adjustRightInd w:val="0"/>
        <w:spacing w:line="276" w:lineRule="auto"/>
        <w:ind w:left="1881" w:right="-476"/>
        <w:jc w:val="both"/>
        <w:rPr>
          <w:rFonts w:asciiTheme="minorHAnsi" w:hAnsiTheme="minorHAnsi"/>
          <w:sz w:val="22"/>
          <w:szCs w:val="22"/>
        </w:rPr>
      </w:pPr>
    </w:p>
    <w:p w14:paraId="5D57C57C" w14:textId="77777777" w:rsidR="00D12778" w:rsidRDefault="00D12778" w:rsidP="00C208E9">
      <w:pPr>
        <w:pStyle w:val="ListParagraph"/>
        <w:numPr>
          <w:ilvl w:val="0"/>
          <w:numId w:val="2"/>
        </w:numPr>
        <w:spacing w:line="276" w:lineRule="auto"/>
        <w:rPr>
          <w:rFonts w:asciiTheme="minorHAnsi" w:hAnsiTheme="minorHAnsi"/>
          <w:sz w:val="22"/>
          <w:szCs w:val="22"/>
          <w:u w:val="single"/>
        </w:rPr>
      </w:pPr>
      <w:r w:rsidRPr="00291BE4">
        <w:rPr>
          <w:rFonts w:asciiTheme="minorHAnsi" w:hAnsiTheme="minorHAnsi"/>
          <w:sz w:val="22"/>
          <w:szCs w:val="22"/>
          <w:u w:val="single"/>
        </w:rPr>
        <w:t>Areas of disagreement</w:t>
      </w:r>
    </w:p>
    <w:p w14:paraId="5D28989D" w14:textId="236062F1" w:rsidR="00515326" w:rsidRDefault="00515326" w:rsidP="00515326">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sidRPr="00515326">
        <w:rPr>
          <w:rFonts w:asciiTheme="minorHAnsi" w:hAnsiTheme="minorHAnsi"/>
          <w:sz w:val="22"/>
          <w:szCs w:val="22"/>
        </w:rPr>
        <w:t xml:space="preserve">Whether </w:t>
      </w:r>
      <w:r w:rsidR="00D90ABE">
        <w:rPr>
          <w:rFonts w:asciiTheme="minorHAnsi" w:hAnsiTheme="minorHAnsi"/>
          <w:sz w:val="22"/>
          <w:szCs w:val="22"/>
        </w:rPr>
        <w:t xml:space="preserve">the </w:t>
      </w:r>
      <w:r w:rsidR="00C13ACB">
        <w:rPr>
          <w:rFonts w:asciiTheme="minorHAnsi" w:hAnsiTheme="minorHAnsi"/>
          <w:sz w:val="22"/>
          <w:szCs w:val="22"/>
        </w:rPr>
        <w:t xml:space="preserve">proposals </w:t>
      </w:r>
      <w:r w:rsidR="00D90ABE">
        <w:rPr>
          <w:rFonts w:asciiTheme="minorHAnsi" w:hAnsiTheme="minorHAnsi"/>
          <w:sz w:val="22"/>
          <w:szCs w:val="22"/>
        </w:rPr>
        <w:t>would</w:t>
      </w:r>
      <w:r w:rsidR="00C13ACB">
        <w:rPr>
          <w:rFonts w:asciiTheme="minorHAnsi" w:hAnsiTheme="minorHAnsi"/>
          <w:sz w:val="22"/>
          <w:szCs w:val="22"/>
        </w:rPr>
        <w:t xml:space="preserve"> cause harm to the heritage significance of the </w:t>
      </w:r>
      <w:r w:rsidR="00173EF4">
        <w:rPr>
          <w:rFonts w:asciiTheme="minorHAnsi" w:hAnsiTheme="minorHAnsi"/>
          <w:sz w:val="22"/>
          <w:szCs w:val="22"/>
        </w:rPr>
        <w:t xml:space="preserve">Property, in terms of its </w:t>
      </w:r>
      <w:r w:rsidR="000B6162">
        <w:rPr>
          <w:rFonts w:asciiTheme="minorHAnsi" w:hAnsiTheme="minorHAnsi"/>
          <w:sz w:val="22"/>
          <w:szCs w:val="22"/>
        </w:rPr>
        <w:t xml:space="preserve">form, architectural character, </w:t>
      </w:r>
      <w:r w:rsidR="00173EF4" w:rsidRPr="00173EF4">
        <w:rPr>
          <w:rFonts w:asciiTheme="minorHAnsi" w:hAnsiTheme="minorHAnsi"/>
          <w:sz w:val="22"/>
          <w:szCs w:val="22"/>
        </w:rPr>
        <w:t>historic interest</w:t>
      </w:r>
      <w:r w:rsidR="000B6162">
        <w:rPr>
          <w:rFonts w:asciiTheme="minorHAnsi" w:hAnsiTheme="minorHAnsi"/>
          <w:sz w:val="22"/>
          <w:szCs w:val="22"/>
        </w:rPr>
        <w:t xml:space="preserve"> and main use</w:t>
      </w:r>
      <w:r w:rsidR="00D90ABE">
        <w:rPr>
          <w:rFonts w:asciiTheme="minorHAnsi" w:hAnsiTheme="minorHAnsi"/>
          <w:sz w:val="22"/>
          <w:szCs w:val="22"/>
        </w:rPr>
        <w:t xml:space="preserve">, or whether the heritage asset would be reserved or </w:t>
      </w:r>
      <w:r w:rsidR="002516D1">
        <w:rPr>
          <w:rFonts w:asciiTheme="minorHAnsi" w:hAnsiTheme="minorHAnsi"/>
          <w:sz w:val="22"/>
          <w:szCs w:val="22"/>
        </w:rPr>
        <w:t>enhanced</w:t>
      </w:r>
      <w:r w:rsidR="000123F9">
        <w:rPr>
          <w:rFonts w:asciiTheme="minorHAnsi" w:hAnsiTheme="minorHAnsi"/>
          <w:sz w:val="22"/>
          <w:szCs w:val="22"/>
        </w:rPr>
        <w:t>;</w:t>
      </w:r>
    </w:p>
    <w:p w14:paraId="44451F56" w14:textId="645B4853" w:rsidR="000123F9" w:rsidRDefault="000123F9" w:rsidP="00515326">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Whether the detailed design of the proposals is appropriate;</w:t>
      </w:r>
    </w:p>
    <w:p w14:paraId="00689F0A" w14:textId="64E99559" w:rsidR="000123F9" w:rsidRDefault="000123F9" w:rsidP="00515326">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 xml:space="preserve">Whether any harm would be caused by the proposals to the </w:t>
      </w:r>
      <w:r w:rsidR="00173EF4">
        <w:rPr>
          <w:rFonts w:asciiTheme="minorHAnsi" w:hAnsiTheme="minorHAnsi"/>
          <w:sz w:val="22"/>
          <w:szCs w:val="22"/>
        </w:rPr>
        <w:t xml:space="preserve">settings of the nearby </w:t>
      </w:r>
      <w:r>
        <w:rPr>
          <w:rFonts w:asciiTheme="minorHAnsi" w:hAnsiTheme="minorHAnsi"/>
          <w:sz w:val="22"/>
          <w:szCs w:val="22"/>
        </w:rPr>
        <w:t>conservation area</w:t>
      </w:r>
      <w:r w:rsidR="00173EF4">
        <w:rPr>
          <w:rFonts w:asciiTheme="minorHAnsi" w:hAnsiTheme="minorHAnsi"/>
          <w:sz w:val="22"/>
          <w:szCs w:val="22"/>
        </w:rPr>
        <w:t>s</w:t>
      </w:r>
      <w:r>
        <w:rPr>
          <w:rFonts w:asciiTheme="minorHAnsi" w:hAnsiTheme="minorHAnsi"/>
          <w:sz w:val="22"/>
          <w:szCs w:val="22"/>
        </w:rPr>
        <w:t>;</w:t>
      </w:r>
    </w:p>
    <w:p w14:paraId="70135B6F" w14:textId="0E739818" w:rsidR="00173EF4" w:rsidRDefault="00173EF4" w:rsidP="00515326">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If less than substantial harm is caused to the heritage asset(s)(which is itself disputed), whether such harm would be outweighed by the scheme’s public benefits</w:t>
      </w:r>
      <w:r w:rsidR="000B6162">
        <w:rPr>
          <w:rFonts w:asciiTheme="minorHAnsi" w:hAnsiTheme="minorHAnsi"/>
          <w:sz w:val="22"/>
          <w:szCs w:val="22"/>
        </w:rPr>
        <w:t>, and in particular, whether the proposals would be the optimum viable use of the Property</w:t>
      </w:r>
      <w:r>
        <w:rPr>
          <w:rFonts w:asciiTheme="minorHAnsi" w:hAnsiTheme="minorHAnsi"/>
          <w:sz w:val="22"/>
          <w:szCs w:val="22"/>
        </w:rPr>
        <w:t>;</w:t>
      </w:r>
    </w:p>
    <w:p w14:paraId="3B9BF310" w14:textId="613F97AB" w:rsidR="00173EF4" w:rsidRDefault="00173EF4" w:rsidP="00515326">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Whether the current cultural/leisure facility would be lost as part of the proposals;</w:t>
      </w:r>
    </w:p>
    <w:p w14:paraId="2698DD62" w14:textId="442869F2" w:rsidR="00173EF4" w:rsidRDefault="00173EF4" w:rsidP="00515326">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Pr>
          <w:rFonts w:asciiTheme="minorHAnsi" w:hAnsiTheme="minorHAnsi"/>
          <w:sz w:val="22"/>
          <w:szCs w:val="22"/>
        </w:rPr>
        <w:t>If the current facility will be lost (which is itself disputed), whether the proposals provide the maximum reasonable amount of cultural/leisure floorspace</w:t>
      </w:r>
      <w:r w:rsidR="000B6162">
        <w:rPr>
          <w:rFonts w:asciiTheme="minorHAnsi" w:hAnsiTheme="minorHAnsi"/>
          <w:sz w:val="22"/>
          <w:szCs w:val="22"/>
        </w:rPr>
        <w:t>;</w:t>
      </w:r>
    </w:p>
    <w:p w14:paraId="039E8A7E" w14:textId="7F3DE9DA" w:rsidR="000B6162" w:rsidRPr="000B6162" w:rsidRDefault="000B6162" w:rsidP="00E60F22">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sidRPr="000B6162">
        <w:rPr>
          <w:rFonts w:asciiTheme="minorHAnsi" w:hAnsiTheme="minorHAnsi"/>
          <w:sz w:val="22"/>
          <w:szCs w:val="22"/>
        </w:rPr>
        <w:t>Whether alternative proposals would be viable at the site</w:t>
      </w:r>
      <w:r>
        <w:rPr>
          <w:rFonts w:asciiTheme="minorHAnsi" w:hAnsiTheme="minorHAnsi"/>
          <w:sz w:val="22"/>
          <w:szCs w:val="22"/>
        </w:rPr>
        <w:t>;</w:t>
      </w:r>
    </w:p>
    <w:p w14:paraId="12A7A317" w14:textId="3A830F29" w:rsidR="000B6162" w:rsidRPr="000B6162" w:rsidRDefault="000B6162" w:rsidP="007778A8">
      <w:pPr>
        <w:pStyle w:val="ListParagraph"/>
        <w:widowControl w:val="0"/>
        <w:numPr>
          <w:ilvl w:val="1"/>
          <w:numId w:val="2"/>
        </w:numPr>
        <w:autoSpaceDE w:val="0"/>
        <w:autoSpaceDN w:val="0"/>
        <w:adjustRightInd w:val="0"/>
        <w:spacing w:line="276" w:lineRule="auto"/>
        <w:ind w:right="-476"/>
        <w:jc w:val="both"/>
        <w:rPr>
          <w:rFonts w:asciiTheme="minorHAnsi" w:hAnsiTheme="minorHAnsi"/>
          <w:sz w:val="22"/>
          <w:szCs w:val="22"/>
        </w:rPr>
      </w:pPr>
      <w:r w:rsidRPr="000B6162">
        <w:rPr>
          <w:rFonts w:asciiTheme="minorHAnsi" w:hAnsiTheme="minorHAnsi"/>
          <w:sz w:val="22"/>
          <w:szCs w:val="22"/>
        </w:rPr>
        <w:t>Whether sufficient information has been provided to demonstrate that the proposed roof top plant would operate in accordance with the Council's minimum noise and vibration standards and that that all plant, when operating at full capacity, would be capable of doing so without causing noise disturbance and harm to the local residential environment</w:t>
      </w:r>
      <w:r>
        <w:rPr>
          <w:rFonts w:asciiTheme="minorHAnsi" w:hAnsiTheme="minorHAnsi"/>
          <w:sz w:val="22"/>
          <w:szCs w:val="22"/>
        </w:rPr>
        <w:t>.</w:t>
      </w:r>
    </w:p>
    <w:p w14:paraId="6808F20B" w14:textId="77777777" w:rsidR="00D80D8E" w:rsidRPr="00D90ABE" w:rsidRDefault="00D80D8E" w:rsidP="00D90ABE">
      <w:pPr>
        <w:spacing w:line="276" w:lineRule="auto"/>
        <w:rPr>
          <w:rFonts w:asciiTheme="minorHAnsi" w:hAnsiTheme="minorHAnsi"/>
          <w:sz w:val="22"/>
          <w:szCs w:val="22"/>
          <w:u w:val="single"/>
        </w:rPr>
      </w:pPr>
    </w:p>
    <w:p w14:paraId="49DECBFA" w14:textId="77777777" w:rsidR="004436CF" w:rsidRPr="00291BE4" w:rsidRDefault="004436CF" w:rsidP="00C208E9">
      <w:pPr>
        <w:pStyle w:val="ListParagraph"/>
        <w:numPr>
          <w:ilvl w:val="0"/>
          <w:numId w:val="2"/>
        </w:numPr>
        <w:spacing w:line="276" w:lineRule="auto"/>
        <w:rPr>
          <w:rFonts w:asciiTheme="minorHAnsi" w:hAnsiTheme="minorHAnsi"/>
          <w:sz w:val="22"/>
          <w:szCs w:val="22"/>
          <w:u w:val="single"/>
        </w:rPr>
      </w:pPr>
      <w:r w:rsidRPr="00291BE4">
        <w:rPr>
          <w:rFonts w:asciiTheme="minorHAnsi" w:hAnsiTheme="minorHAnsi"/>
          <w:sz w:val="22"/>
          <w:szCs w:val="22"/>
          <w:u w:val="single"/>
        </w:rPr>
        <w:t>Conditions</w:t>
      </w:r>
    </w:p>
    <w:p w14:paraId="034421F2" w14:textId="1B5DF041" w:rsidR="009E7805" w:rsidRPr="009E7805" w:rsidRDefault="006F39EC" w:rsidP="00645809">
      <w:pPr>
        <w:pStyle w:val="ListParagraph"/>
        <w:spacing w:line="276" w:lineRule="auto"/>
        <w:ind w:left="644"/>
        <w:rPr>
          <w:rFonts w:asciiTheme="minorHAnsi" w:hAnsiTheme="minorHAnsi"/>
          <w:sz w:val="22"/>
          <w:szCs w:val="22"/>
          <w:u w:val="single"/>
        </w:rPr>
      </w:pPr>
      <w:r w:rsidRPr="00291BE4">
        <w:rPr>
          <w:rFonts w:asciiTheme="minorHAnsi" w:hAnsiTheme="minorHAnsi"/>
          <w:sz w:val="22"/>
          <w:szCs w:val="22"/>
        </w:rPr>
        <w:t xml:space="preserve">Draft conditions </w:t>
      </w:r>
      <w:r w:rsidR="00D80D8E">
        <w:rPr>
          <w:rFonts w:asciiTheme="minorHAnsi" w:hAnsiTheme="minorHAnsi"/>
          <w:sz w:val="22"/>
          <w:szCs w:val="22"/>
        </w:rPr>
        <w:t xml:space="preserve">will be agreed in advance of any </w:t>
      </w:r>
      <w:r w:rsidR="00B248EA">
        <w:rPr>
          <w:rFonts w:asciiTheme="minorHAnsi" w:hAnsiTheme="minorHAnsi"/>
          <w:sz w:val="22"/>
          <w:szCs w:val="22"/>
        </w:rPr>
        <w:t>inquiry</w:t>
      </w:r>
      <w:r w:rsidR="00D80D8E">
        <w:rPr>
          <w:rFonts w:asciiTheme="minorHAnsi" w:hAnsiTheme="minorHAnsi"/>
          <w:sz w:val="22"/>
          <w:szCs w:val="22"/>
        </w:rPr>
        <w:t xml:space="preserve">, with any outstanding disputes to be discussed at the </w:t>
      </w:r>
      <w:r w:rsidR="00B248EA">
        <w:rPr>
          <w:rFonts w:asciiTheme="minorHAnsi" w:hAnsiTheme="minorHAnsi"/>
          <w:sz w:val="22"/>
          <w:szCs w:val="22"/>
        </w:rPr>
        <w:t>inquiry</w:t>
      </w:r>
      <w:r w:rsidR="00D80D8E">
        <w:rPr>
          <w:rFonts w:asciiTheme="minorHAnsi" w:hAnsiTheme="minorHAnsi"/>
          <w:sz w:val="22"/>
          <w:szCs w:val="22"/>
        </w:rPr>
        <w:t xml:space="preserve"> itself.</w:t>
      </w:r>
    </w:p>
    <w:p w14:paraId="62EE6E36" w14:textId="77777777" w:rsidR="009E7805" w:rsidRPr="00002990" w:rsidRDefault="009E7805" w:rsidP="00011819">
      <w:pPr>
        <w:pStyle w:val="ListParagraph"/>
        <w:spacing w:line="276" w:lineRule="auto"/>
        <w:ind w:left="360" w:right="-476"/>
        <w:jc w:val="both"/>
        <w:rPr>
          <w:rFonts w:asciiTheme="minorHAnsi" w:hAnsiTheme="minorHAnsi" w:cs="Arial"/>
          <w:sz w:val="22"/>
          <w:szCs w:val="22"/>
        </w:rPr>
      </w:pPr>
    </w:p>
    <w:p w14:paraId="7006EEC2" w14:textId="41EAD205" w:rsidR="00235C64" w:rsidRDefault="00645809" w:rsidP="00C208E9">
      <w:pPr>
        <w:pStyle w:val="ListParagraph"/>
        <w:numPr>
          <w:ilvl w:val="0"/>
          <w:numId w:val="2"/>
        </w:numPr>
        <w:spacing w:line="276" w:lineRule="auto"/>
        <w:rPr>
          <w:rFonts w:asciiTheme="minorHAnsi" w:hAnsiTheme="minorHAnsi"/>
          <w:sz w:val="22"/>
          <w:szCs w:val="22"/>
          <w:u w:val="single"/>
        </w:rPr>
      </w:pPr>
      <w:r>
        <w:rPr>
          <w:rFonts w:asciiTheme="minorHAnsi" w:hAnsiTheme="minorHAnsi"/>
          <w:sz w:val="22"/>
          <w:szCs w:val="22"/>
          <w:u w:val="single"/>
        </w:rPr>
        <w:t>Section 106 Agreement</w:t>
      </w:r>
    </w:p>
    <w:p w14:paraId="5502889A" w14:textId="3E693D43" w:rsidR="00235C64" w:rsidRPr="0000249C" w:rsidRDefault="00235C64" w:rsidP="00C208E9">
      <w:pPr>
        <w:pStyle w:val="ListParagraph"/>
        <w:numPr>
          <w:ilvl w:val="1"/>
          <w:numId w:val="2"/>
        </w:numPr>
        <w:spacing w:line="276" w:lineRule="auto"/>
        <w:rPr>
          <w:rFonts w:asciiTheme="minorHAnsi" w:hAnsiTheme="minorHAnsi"/>
          <w:sz w:val="22"/>
          <w:szCs w:val="22"/>
          <w:u w:val="single"/>
        </w:rPr>
      </w:pPr>
      <w:r>
        <w:rPr>
          <w:rFonts w:asciiTheme="minorHAnsi" w:hAnsiTheme="minorHAnsi"/>
          <w:sz w:val="22"/>
          <w:szCs w:val="22"/>
        </w:rPr>
        <w:t xml:space="preserve">The following </w:t>
      </w:r>
      <w:r w:rsidR="0000249C">
        <w:rPr>
          <w:rFonts w:asciiTheme="minorHAnsi" w:hAnsiTheme="minorHAnsi"/>
          <w:sz w:val="22"/>
          <w:szCs w:val="22"/>
        </w:rPr>
        <w:t xml:space="preserve">heads of </w:t>
      </w:r>
      <w:r>
        <w:rPr>
          <w:rFonts w:asciiTheme="minorHAnsi" w:hAnsiTheme="minorHAnsi"/>
          <w:sz w:val="22"/>
          <w:szCs w:val="22"/>
        </w:rPr>
        <w:t>terms have been agreed</w:t>
      </w:r>
      <w:r w:rsidR="0000249C">
        <w:rPr>
          <w:rFonts w:asciiTheme="minorHAnsi" w:hAnsiTheme="minorHAnsi"/>
          <w:sz w:val="22"/>
          <w:szCs w:val="22"/>
        </w:rPr>
        <w:t>:</w:t>
      </w:r>
    </w:p>
    <w:p w14:paraId="7AC8E3DD" w14:textId="77777777" w:rsidR="00305397" w:rsidRDefault="00305397" w:rsidP="00305397">
      <w:pPr>
        <w:pStyle w:val="ListParagraph"/>
        <w:numPr>
          <w:ilvl w:val="2"/>
          <w:numId w:val="2"/>
        </w:numPr>
        <w:spacing w:line="276" w:lineRule="auto"/>
        <w:rPr>
          <w:rFonts w:asciiTheme="minorHAnsi" w:hAnsiTheme="minorHAnsi"/>
          <w:sz w:val="22"/>
          <w:szCs w:val="22"/>
        </w:rPr>
      </w:pPr>
      <w:r w:rsidRPr="00305397">
        <w:rPr>
          <w:rFonts w:asciiTheme="minorHAnsi" w:hAnsiTheme="minorHAnsi"/>
          <w:sz w:val="22"/>
          <w:szCs w:val="22"/>
        </w:rPr>
        <w:t>workplace travel plan and financial contribution for travel plan monitoring</w:t>
      </w:r>
      <w:r>
        <w:rPr>
          <w:rFonts w:asciiTheme="minorHAnsi" w:hAnsiTheme="minorHAnsi"/>
          <w:sz w:val="22"/>
          <w:szCs w:val="22"/>
        </w:rPr>
        <w:t>;</w:t>
      </w:r>
    </w:p>
    <w:p w14:paraId="12BDCABC" w14:textId="161968F2" w:rsidR="00305397" w:rsidRDefault="00305397" w:rsidP="00305397">
      <w:pPr>
        <w:pStyle w:val="ListParagraph"/>
        <w:numPr>
          <w:ilvl w:val="2"/>
          <w:numId w:val="2"/>
        </w:numPr>
        <w:spacing w:line="276" w:lineRule="auto"/>
        <w:rPr>
          <w:rFonts w:asciiTheme="minorHAnsi" w:hAnsiTheme="minorHAnsi"/>
          <w:sz w:val="22"/>
          <w:szCs w:val="22"/>
        </w:rPr>
      </w:pPr>
      <w:r>
        <w:rPr>
          <w:rFonts w:asciiTheme="minorHAnsi" w:hAnsiTheme="minorHAnsi"/>
          <w:sz w:val="22"/>
          <w:szCs w:val="22"/>
        </w:rPr>
        <w:t>“coach-free” development;</w:t>
      </w:r>
    </w:p>
    <w:p w14:paraId="2688EF4B" w14:textId="730C3ED6" w:rsidR="00305397" w:rsidRDefault="00305397" w:rsidP="00305397">
      <w:pPr>
        <w:pStyle w:val="ListParagraph"/>
        <w:numPr>
          <w:ilvl w:val="2"/>
          <w:numId w:val="2"/>
        </w:numPr>
        <w:spacing w:line="276" w:lineRule="auto"/>
        <w:rPr>
          <w:rFonts w:asciiTheme="minorHAnsi" w:hAnsiTheme="minorHAnsi"/>
          <w:sz w:val="22"/>
          <w:szCs w:val="22"/>
        </w:rPr>
      </w:pPr>
      <w:r>
        <w:rPr>
          <w:rFonts w:asciiTheme="minorHAnsi" w:hAnsiTheme="minorHAnsi"/>
          <w:sz w:val="22"/>
          <w:szCs w:val="22"/>
        </w:rPr>
        <w:t>Financial contribution towards public highways works;</w:t>
      </w:r>
    </w:p>
    <w:p w14:paraId="67DBBAF8" w14:textId="6BF60439" w:rsidR="00305397" w:rsidRPr="00305397" w:rsidRDefault="00305397" w:rsidP="00006610">
      <w:pPr>
        <w:pStyle w:val="ListParagraph"/>
        <w:numPr>
          <w:ilvl w:val="2"/>
          <w:numId w:val="2"/>
        </w:numPr>
        <w:spacing w:line="276" w:lineRule="auto"/>
        <w:rPr>
          <w:rFonts w:asciiTheme="minorHAnsi" w:hAnsiTheme="minorHAnsi"/>
          <w:sz w:val="22"/>
          <w:szCs w:val="22"/>
        </w:rPr>
      </w:pPr>
      <w:r w:rsidRPr="00305397">
        <w:rPr>
          <w:rFonts w:asciiTheme="minorHAnsi" w:hAnsiTheme="minorHAnsi"/>
          <w:sz w:val="22"/>
          <w:szCs w:val="22"/>
        </w:rPr>
        <w:t>Financial contributions towards pedestrian, cyclist and environmental improvements in the area</w:t>
      </w:r>
      <w:r>
        <w:rPr>
          <w:rFonts w:asciiTheme="minorHAnsi" w:hAnsiTheme="minorHAnsi"/>
          <w:sz w:val="22"/>
          <w:szCs w:val="22"/>
        </w:rPr>
        <w:t>;</w:t>
      </w:r>
    </w:p>
    <w:p w14:paraId="277D69D3" w14:textId="77777777" w:rsidR="00A07D5D" w:rsidRDefault="00305397" w:rsidP="00305397">
      <w:pPr>
        <w:pStyle w:val="ListParagraph"/>
        <w:numPr>
          <w:ilvl w:val="2"/>
          <w:numId w:val="2"/>
        </w:numPr>
        <w:spacing w:line="276" w:lineRule="auto"/>
        <w:rPr>
          <w:rFonts w:asciiTheme="minorHAnsi" w:hAnsiTheme="minorHAnsi"/>
          <w:sz w:val="22"/>
          <w:szCs w:val="22"/>
        </w:rPr>
      </w:pPr>
      <w:r w:rsidRPr="00305397">
        <w:rPr>
          <w:rFonts w:asciiTheme="minorHAnsi" w:hAnsiTheme="minorHAnsi"/>
          <w:sz w:val="22"/>
          <w:szCs w:val="22"/>
        </w:rPr>
        <w:t>Servicing Management Plan for the commercial element</w:t>
      </w:r>
      <w:r w:rsidR="00A07D5D">
        <w:rPr>
          <w:rFonts w:asciiTheme="minorHAnsi" w:hAnsiTheme="minorHAnsi"/>
          <w:sz w:val="22"/>
          <w:szCs w:val="22"/>
        </w:rPr>
        <w:t>;</w:t>
      </w:r>
    </w:p>
    <w:p w14:paraId="2D523976" w14:textId="77777777" w:rsidR="00A07D5D" w:rsidRDefault="00A07D5D" w:rsidP="0095186B">
      <w:pPr>
        <w:pStyle w:val="ListParagraph"/>
        <w:numPr>
          <w:ilvl w:val="2"/>
          <w:numId w:val="2"/>
        </w:numPr>
        <w:spacing w:line="276" w:lineRule="auto"/>
        <w:rPr>
          <w:rFonts w:asciiTheme="minorHAnsi" w:hAnsiTheme="minorHAnsi"/>
          <w:sz w:val="22"/>
          <w:szCs w:val="22"/>
        </w:rPr>
      </w:pPr>
      <w:r w:rsidRPr="00A07D5D">
        <w:rPr>
          <w:rFonts w:asciiTheme="minorHAnsi" w:hAnsiTheme="minorHAnsi"/>
          <w:sz w:val="22"/>
          <w:szCs w:val="22"/>
        </w:rPr>
        <w:t>Construction management plan, community working group and an appropriate financial contribution</w:t>
      </w:r>
      <w:r>
        <w:rPr>
          <w:rFonts w:asciiTheme="minorHAnsi" w:hAnsiTheme="minorHAnsi"/>
          <w:sz w:val="22"/>
          <w:szCs w:val="22"/>
        </w:rPr>
        <w:t xml:space="preserve"> towards implementation support;</w:t>
      </w:r>
    </w:p>
    <w:p w14:paraId="56A227AF" w14:textId="77777777" w:rsidR="00A07D5D" w:rsidRDefault="00A07D5D" w:rsidP="00F959A0">
      <w:pPr>
        <w:pStyle w:val="ListParagraph"/>
        <w:numPr>
          <w:ilvl w:val="2"/>
          <w:numId w:val="2"/>
        </w:numPr>
        <w:spacing w:line="276" w:lineRule="auto"/>
        <w:rPr>
          <w:rFonts w:asciiTheme="minorHAnsi" w:hAnsiTheme="minorHAnsi"/>
          <w:sz w:val="22"/>
          <w:szCs w:val="22"/>
        </w:rPr>
      </w:pPr>
      <w:r w:rsidRPr="00A07D5D">
        <w:rPr>
          <w:rFonts w:asciiTheme="minorHAnsi" w:hAnsiTheme="minorHAnsi"/>
          <w:sz w:val="22"/>
          <w:szCs w:val="22"/>
        </w:rPr>
        <w:t xml:space="preserve">Approval in Principle Report and appropriate financial contribution towards an approval in principle </w:t>
      </w:r>
      <w:r>
        <w:rPr>
          <w:rFonts w:asciiTheme="minorHAnsi" w:hAnsiTheme="minorHAnsi"/>
          <w:sz w:val="22"/>
          <w:szCs w:val="22"/>
        </w:rPr>
        <w:t>for basement works under the public highway;</w:t>
      </w:r>
    </w:p>
    <w:p w14:paraId="213145FB" w14:textId="77777777" w:rsidR="00A07D5D" w:rsidRDefault="00A07D5D" w:rsidP="00E912F8">
      <w:pPr>
        <w:pStyle w:val="ListParagraph"/>
        <w:numPr>
          <w:ilvl w:val="2"/>
          <w:numId w:val="2"/>
        </w:numPr>
        <w:spacing w:line="276" w:lineRule="auto"/>
        <w:rPr>
          <w:rFonts w:asciiTheme="minorHAnsi" w:hAnsiTheme="minorHAnsi"/>
          <w:sz w:val="22"/>
          <w:szCs w:val="22"/>
        </w:rPr>
      </w:pPr>
      <w:r w:rsidRPr="00A07D5D">
        <w:rPr>
          <w:rFonts w:asciiTheme="minorHAnsi" w:hAnsiTheme="minorHAnsi"/>
          <w:sz w:val="22"/>
          <w:szCs w:val="22"/>
        </w:rPr>
        <w:t>Energy Efficiency Plan and renewable energy plan including the measures set out in the Energy Strategy</w:t>
      </w:r>
      <w:r>
        <w:rPr>
          <w:rFonts w:asciiTheme="minorHAnsi" w:hAnsiTheme="minorHAnsi"/>
          <w:sz w:val="22"/>
          <w:szCs w:val="22"/>
        </w:rPr>
        <w:t>;</w:t>
      </w:r>
    </w:p>
    <w:p w14:paraId="31E5E9E1" w14:textId="77777777" w:rsidR="00A07D5D" w:rsidRDefault="00A07D5D" w:rsidP="00E151BD">
      <w:pPr>
        <w:pStyle w:val="ListParagraph"/>
        <w:numPr>
          <w:ilvl w:val="2"/>
          <w:numId w:val="2"/>
        </w:numPr>
        <w:spacing w:line="276" w:lineRule="auto"/>
        <w:rPr>
          <w:rFonts w:asciiTheme="minorHAnsi" w:hAnsiTheme="minorHAnsi"/>
          <w:sz w:val="22"/>
          <w:szCs w:val="22"/>
        </w:rPr>
      </w:pPr>
      <w:r w:rsidRPr="00A07D5D">
        <w:rPr>
          <w:rFonts w:asciiTheme="minorHAnsi" w:hAnsiTheme="minorHAnsi"/>
          <w:sz w:val="22"/>
          <w:szCs w:val="22"/>
        </w:rPr>
        <w:t>Carbon off-set contribution</w:t>
      </w:r>
      <w:r>
        <w:rPr>
          <w:rFonts w:asciiTheme="minorHAnsi" w:hAnsiTheme="minorHAnsi"/>
          <w:sz w:val="22"/>
          <w:szCs w:val="22"/>
        </w:rPr>
        <w:t>;</w:t>
      </w:r>
    </w:p>
    <w:p w14:paraId="525C0608" w14:textId="4FA49906" w:rsidR="00A07D5D" w:rsidRDefault="00A07D5D" w:rsidP="00FF44DD">
      <w:pPr>
        <w:pStyle w:val="ListParagraph"/>
        <w:numPr>
          <w:ilvl w:val="2"/>
          <w:numId w:val="2"/>
        </w:numPr>
        <w:spacing w:line="276" w:lineRule="auto"/>
        <w:rPr>
          <w:rFonts w:asciiTheme="minorHAnsi" w:hAnsiTheme="minorHAnsi"/>
          <w:sz w:val="22"/>
          <w:szCs w:val="22"/>
        </w:rPr>
      </w:pPr>
      <w:r w:rsidRPr="00A07D5D">
        <w:rPr>
          <w:rFonts w:asciiTheme="minorHAnsi" w:hAnsiTheme="minorHAnsi"/>
          <w:sz w:val="22"/>
          <w:szCs w:val="22"/>
        </w:rPr>
        <w:t>Sustainability Plan including Design Stage and Post Construction stage BR</w:t>
      </w:r>
      <w:r w:rsidR="00EC6E91">
        <w:rPr>
          <w:rFonts w:asciiTheme="minorHAnsi" w:hAnsiTheme="minorHAnsi"/>
          <w:sz w:val="22"/>
          <w:szCs w:val="22"/>
        </w:rPr>
        <w:t>E</w:t>
      </w:r>
      <w:r w:rsidRPr="00A07D5D">
        <w:rPr>
          <w:rFonts w:asciiTheme="minorHAnsi" w:hAnsiTheme="minorHAnsi"/>
          <w:sz w:val="22"/>
          <w:szCs w:val="22"/>
        </w:rPr>
        <w:t>EAM assessment reports and certificates</w:t>
      </w:r>
      <w:r>
        <w:rPr>
          <w:rFonts w:asciiTheme="minorHAnsi" w:hAnsiTheme="minorHAnsi"/>
          <w:sz w:val="22"/>
          <w:szCs w:val="22"/>
        </w:rPr>
        <w:t>;</w:t>
      </w:r>
    </w:p>
    <w:p w14:paraId="6AED16C4" w14:textId="77777777" w:rsidR="00A07D5D" w:rsidRDefault="00A07D5D" w:rsidP="002018EF">
      <w:pPr>
        <w:pStyle w:val="ListParagraph"/>
        <w:numPr>
          <w:ilvl w:val="2"/>
          <w:numId w:val="2"/>
        </w:numPr>
        <w:spacing w:line="276" w:lineRule="auto"/>
        <w:rPr>
          <w:rFonts w:asciiTheme="minorHAnsi" w:hAnsiTheme="minorHAnsi"/>
          <w:sz w:val="22"/>
          <w:szCs w:val="22"/>
        </w:rPr>
      </w:pPr>
      <w:r w:rsidRPr="00A07D5D">
        <w:rPr>
          <w:rFonts w:asciiTheme="minorHAnsi" w:hAnsiTheme="minorHAnsi"/>
          <w:sz w:val="22"/>
          <w:szCs w:val="22"/>
        </w:rPr>
        <w:t>Local employment and training package</w:t>
      </w:r>
      <w:r>
        <w:rPr>
          <w:rFonts w:asciiTheme="minorHAnsi" w:hAnsiTheme="minorHAnsi"/>
          <w:sz w:val="22"/>
          <w:szCs w:val="22"/>
        </w:rPr>
        <w:t>.</w:t>
      </w:r>
    </w:p>
    <w:p w14:paraId="492224D4" w14:textId="77777777" w:rsidR="002A6515" w:rsidRPr="00235C64" w:rsidRDefault="002A6515" w:rsidP="00645809">
      <w:pPr>
        <w:pStyle w:val="ListParagraph"/>
        <w:spacing w:line="276" w:lineRule="auto"/>
        <w:ind w:left="1881"/>
        <w:rPr>
          <w:rFonts w:asciiTheme="minorHAnsi" w:hAnsiTheme="minorHAnsi"/>
          <w:sz w:val="22"/>
          <w:szCs w:val="22"/>
          <w:u w:val="single"/>
        </w:rPr>
      </w:pPr>
    </w:p>
    <w:p w14:paraId="74A4D34A" w14:textId="45FEF1A6" w:rsidR="00002990" w:rsidRPr="007B17BD" w:rsidRDefault="0000249C" w:rsidP="00C208E9">
      <w:pPr>
        <w:pStyle w:val="ListParagraph"/>
        <w:numPr>
          <w:ilvl w:val="1"/>
          <w:numId w:val="2"/>
        </w:numPr>
        <w:spacing w:line="276" w:lineRule="auto"/>
        <w:rPr>
          <w:rFonts w:asciiTheme="minorHAnsi" w:hAnsiTheme="minorHAnsi"/>
          <w:sz w:val="22"/>
          <w:szCs w:val="22"/>
          <w:u w:val="single"/>
        </w:rPr>
      </w:pPr>
      <w:r>
        <w:rPr>
          <w:rFonts w:asciiTheme="minorHAnsi" w:hAnsiTheme="minorHAnsi"/>
          <w:sz w:val="22"/>
          <w:szCs w:val="22"/>
        </w:rPr>
        <w:t xml:space="preserve">Both </w:t>
      </w:r>
      <w:r w:rsidR="009A6D8F" w:rsidRPr="00291BE4">
        <w:rPr>
          <w:rFonts w:asciiTheme="minorHAnsi" w:hAnsiTheme="minorHAnsi"/>
          <w:sz w:val="22"/>
          <w:szCs w:val="22"/>
        </w:rPr>
        <w:t xml:space="preserve">sides are confident that </w:t>
      </w:r>
      <w:r w:rsidR="00D90ABE">
        <w:rPr>
          <w:rFonts w:asciiTheme="minorHAnsi" w:hAnsiTheme="minorHAnsi"/>
          <w:sz w:val="22"/>
          <w:szCs w:val="22"/>
        </w:rPr>
        <w:t>an agreed</w:t>
      </w:r>
      <w:r>
        <w:rPr>
          <w:rFonts w:asciiTheme="minorHAnsi" w:hAnsiTheme="minorHAnsi"/>
          <w:sz w:val="22"/>
          <w:szCs w:val="22"/>
        </w:rPr>
        <w:t xml:space="preserve"> </w:t>
      </w:r>
      <w:r w:rsidR="00D90ABE">
        <w:rPr>
          <w:rFonts w:asciiTheme="minorHAnsi" w:hAnsiTheme="minorHAnsi"/>
          <w:sz w:val="22"/>
          <w:szCs w:val="22"/>
        </w:rPr>
        <w:t xml:space="preserve">and completed </w:t>
      </w:r>
      <w:r>
        <w:rPr>
          <w:rFonts w:asciiTheme="minorHAnsi" w:hAnsiTheme="minorHAnsi"/>
          <w:sz w:val="22"/>
          <w:szCs w:val="22"/>
        </w:rPr>
        <w:t xml:space="preserve">version of the document </w:t>
      </w:r>
      <w:r w:rsidR="009A6D8F" w:rsidRPr="00291BE4">
        <w:rPr>
          <w:rFonts w:asciiTheme="minorHAnsi" w:hAnsiTheme="minorHAnsi"/>
          <w:sz w:val="22"/>
          <w:szCs w:val="22"/>
        </w:rPr>
        <w:t xml:space="preserve">will be </w:t>
      </w:r>
      <w:r>
        <w:rPr>
          <w:rFonts w:asciiTheme="minorHAnsi" w:hAnsiTheme="minorHAnsi"/>
          <w:sz w:val="22"/>
          <w:szCs w:val="22"/>
        </w:rPr>
        <w:t>submitted to the Inspector prior to the</w:t>
      </w:r>
      <w:r w:rsidR="00D90ABE">
        <w:rPr>
          <w:rFonts w:asciiTheme="minorHAnsi" w:hAnsiTheme="minorHAnsi"/>
          <w:sz w:val="22"/>
          <w:szCs w:val="22"/>
        </w:rPr>
        <w:t xml:space="preserve"> close of the</w:t>
      </w:r>
      <w:r>
        <w:rPr>
          <w:rFonts w:asciiTheme="minorHAnsi" w:hAnsiTheme="minorHAnsi"/>
          <w:sz w:val="22"/>
          <w:szCs w:val="22"/>
        </w:rPr>
        <w:t xml:space="preserve"> </w:t>
      </w:r>
      <w:r w:rsidR="00D90ABE">
        <w:rPr>
          <w:rFonts w:asciiTheme="minorHAnsi" w:hAnsiTheme="minorHAnsi"/>
          <w:sz w:val="22"/>
          <w:szCs w:val="22"/>
        </w:rPr>
        <w:t>inquiry.</w:t>
      </w:r>
    </w:p>
    <w:p w14:paraId="69522236" w14:textId="77777777" w:rsidR="007B17BD" w:rsidRPr="00002990" w:rsidRDefault="007B17BD" w:rsidP="007B17BD">
      <w:pPr>
        <w:pStyle w:val="ListParagraph"/>
        <w:spacing w:line="276" w:lineRule="auto"/>
        <w:ind w:left="644"/>
        <w:rPr>
          <w:rFonts w:asciiTheme="minorHAnsi" w:hAnsiTheme="minorHAnsi"/>
          <w:sz w:val="22"/>
          <w:szCs w:val="22"/>
          <w:u w:val="single"/>
        </w:rPr>
      </w:pPr>
    </w:p>
    <w:p w14:paraId="724AB35E" w14:textId="77777777" w:rsidR="00002990" w:rsidRPr="009E7805" w:rsidRDefault="00002990" w:rsidP="00C208E9">
      <w:pPr>
        <w:pStyle w:val="ListParagraph"/>
        <w:numPr>
          <w:ilvl w:val="0"/>
          <w:numId w:val="2"/>
        </w:numPr>
        <w:spacing w:line="276" w:lineRule="auto"/>
        <w:rPr>
          <w:rFonts w:asciiTheme="minorHAnsi" w:hAnsiTheme="minorHAnsi"/>
          <w:sz w:val="22"/>
          <w:szCs w:val="22"/>
          <w:u w:val="single"/>
        </w:rPr>
      </w:pPr>
      <w:r w:rsidRPr="009E7805">
        <w:rPr>
          <w:rFonts w:asciiTheme="minorHAnsi" w:hAnsiTheme="minorHAnsi"/>
          <w:sz w:val="22"/>
          <w:szCs w:val="22"/>
          <w:u w:val="single"/>
          <w:lang w:val="en"/>
        </w:rPr>
        <w:t>Community Infrastructure Levy</w:t>
      </w:r>
    </w:p>
    <w:p w14:paraId="52A834E7" w14:textId="0B1E45B0" w:rsidR="00291BE4" w:rsidRPr="00291BE4" w:rsidRDefault="00291BE4" w:rsidP="00011819">
      <w:pPr>
        <w:spacing w:line="276" w:lineRule="auto"/>
        <w:ind w:right="-476"/>
        <w:jc w:val="both"/>
        <w:rPr>
          <w:rFonts w:asciiTheme="minorHAnsi" w:hAnsiTheme="minorHAnsi" w:cs="Arial"/>
          <w:sz w:val="22"/>
          <w:szCs w:val="22"/>
        </w:rPr>
      </w:pPr>
      <w:r w:rsidRPr="00291BE4">
        <w:rPr>
          <w:rFonts w:asciiTheme="minorHAnsi" w:hAnsiTheme="minorHAnsi" w:cs="Arial"/>
          <w:sz w:val="22"/>
          <w:szCs w:val="22"/>
        </w:rPr>
        <w:tab/>
      </w:r>
    </w:p>
    <w:p w14:paraId="1A0274C9" w14:textId="0728318A" w:rsidR="00291BE4" w:rsidRDefault="00A07D5D" w:rsidP="00011819">
      <w:pPr>
        <w:spacing w:line="276" w:lineRule="auto"/>
        <w:ind w:right="-476"/>
        <w:jc w:val="both"/>
        <w:rPr>
          <w:rFonts w:asciiTheme="minorHAnsi" w:hAnsiTheme="minorHAnsi" w:cs="Arial"/>
          <w:sz w:val="22"/>
          <w:szCs w:val="22"/>
        </w:rPr>
      </w:pPr>
      <w:r>
        <w:rPr>
          <w:rFonts w:asciiTheme="minorHAnsi" w:hAnsiTheme="minorHAnsi" w:cs="Arial"/>
          <w:sz w:val="22"/>
          <w:szCs w:val="22"/>
        </w:rPr>
        <w:t>The</w:t>
      </w:r>
      <w:r w:rsidR="00D90ABE">
        <w:rPr>
          <w:rFonts w:asciiTheme="minorHAnsi" w:hAnsiTheme="minorHAnsi" w:cs="Arial"/>
          <w:sz w:val="22"/>
          <w:szCs w:val="22"/>
        </w:rPr>
        <w:t xml:space="preserve"> proposals would be subject to Council</w:t>
      </w:r>
      <w:r>
        <w:rPr>
          <w:rFonts w:asciiTheme="minorHAnsi" w:hAnsiTheme="minorHAnsi" w:cs="Arial"/>
          <w:sz w:val="22"/>
          <w:szCs w:val="22"/>
        </w:rPr>
        <w:t xml:space="preserve"> and Mayoral CIL</w:t>
      </w:r>
    </w:p>
    <w:p w14:paraId="2A587808" w14:textId="77777777" w:rsidR="00A07D5D" w:rsidRPr="00291BE4" w:rsidRDefault="00A07D5D" w:rsidP="00011819">
      <w:pPr>
        <w:spacing w:line="276" w:lineRule="auto"/>
        <w:ind w:right="-476"/>
        <w:jc w:val="both"/>
        <w:rPr>
          <w:rFonts w:asciiTheme="minorHAnsi" w:hAnsiTheme="minorHAnsi" w:cs="Arial"/>
          <w:sz w:val="22"/>
          <w:szCs w:val="22"/>
        </w:rPr>
      </w:pPr>
    </w:p>
    <w:p w14:paraId="6B4707F4" w14:textId="77777777" w:rsidR="00291BE4" w:rsidRPr="00291BE4" w:rsidRDefault="00291BE4" w:rsidP="00011819">
      <w:pPr>
        <w:spacing w:line="276" w:lineRule="auto"/>
        <w:ind w:right="-476"/>
        <w:jc w:val="both"/>
        <w:rPr>
          <w:rFonts w:asciiTheme="minorHAnsi" w:hAnsiTheme="minorHAnsi" w:cs="Arial"/>
          <w:b/>
          <w:sz w:val="22"/>
          <w:szCs w:val="22"/>
        </w:rPr>
      </w:pPr>
      <w:r w:rsidRPr="00291BE4">
        <w:rPr>
          <w:rFonts w:asciiTheme="minorHAnsi" w:hAnsiTheme="minorHAnsi" w:cs="Arial"/>
          <w:b/>
          <w:sz w:val="22"/>
          <w:szCs w:val="22"/>
        </w:rPr>
        <w:t xml:space="preserve">Document List  </w:t>
      </w:r>
    </w:p>
    <w:p w14:paraId="1F08F9AE" w14:textId="77777777" w:rsidR="00291BE4" w:rsidRPr="00291BE4" w:rsidRDefault="00291BE4" w:rsidP="00011819">
      <w:pPr>
        <w:spacing w:line="276" w:lineRule="auto"/>
        <w:ind w:right="-476"/>
        <w:jc w:val="both"/>
        <w:rPr>
          <w:rFonts w:asciiTheme="minorHAnsi" w:hAnsiTheme="minorHAnsi" w:cs="Arial"/>
          <w:b/>
          <w:sz w:val="22"/>
          <w:szCs w:val="22"/>
        </w:rPr>
      </w:pPr>
    </w:p>
    <w:p w14:paraId="365F3A30" w14:textId="77777777" w:rsidR="00291BE4" w:rsidRPr="009E7805" w:rsidRDefault="00291BE4" w:rsidP="00011819">
      <w:pPr>
        <w:widowControl w:val="0"/>
        <w:tabs>
          <w:tab w:val="left" w:pos="851"/>
          <w:tab w:val="left" w:pos="1134"/>
          <w:tab w:val="left" w:pos="2240"/>
          <w:tab w:val="left" w:pos="2800"/>
          <w:tab w:val="left" w:pos="3360"/>
          <w:tab w:val="left" w:pos="3920"/>
          <w:tab w:val="left" w:pos="4480"/>
          <w:tab w:val="left" w:pos="5040"/>
          <w:tab w:val="left" w:pos="5600"/>
          <w:tab w:val="left" w:pos="6160"/>
          <w:tab w:val="left" w:pos="6720"/>
          <w:tab w:val="left" w:pos="8364"/>
        </w:tabs>
        <w:autoSpaceDE w:val="0"/>
        <w:autoSpaceDN w:val="0"/>
        <w:adjustRightInd w:val="0"/>
        <w:spacing w:line="276" w:lineRule="auto"/>
        <w:ind w:right="-99"/>
        <w:contextualSpacing/>
        <w:jc w:val="both"/>
        <w:rPr>
          <w:rFonts w:asciiTheme="minorHAnsi" w:hAnsiTheme="minorHAnsi" w:cs="Arial"/>
          <w:sz w:val="22"/>
          <w:szCs w:val="22"/>
          <w:u w:val="single"/>
        </w:rPr>
      </w:pPr>
      <w:r w:rsidRPr="009E7805">
        <w:rPr>
          <w:rFonts w:asciiTheme="minorHAnsi" w:hAnsiTheme="minorHAnsi" w:cs="Arial"/>
          <w:sz w:val="22"/>
          <w:szCs w:val="22"/>
          <w:u w:val="single"/>
        </w:rPr>
        <w:t>Legislation</w:t>
      </w:r>
    </w:p>
    <w:p w14:paraId="7E482331" w14:textId="77777777" w:rsidR="00291BE4" w:rsidRPr="00291BE4" w:rsidRDefault="00291BE4" w:rsidP="00011819">
      <w:pPr>
        <w:widowControl w:val="0"/>
        <w:tabs>
          <w:tab w:val="left" w:pos="851"/>
          <w:tab w:val="left" w:pos="1134"/>
          <w:tab w:val="left" w:pos="2240"/>
          <w:tab w:val="left" w:pos="2800"/>
          <w:tab w:val="left" w:pos="3360"/>
          <w:tab w:val="left" w:pos="3920"/>
          <w:tab w:val="left" w:pos="4480"/>
          <w:tab w:val="left" w:pos="5040"/>
          <w:tab w:val="left" w:pos="5600"/>
          <w:tab w:val="left" w:pos="6160"/>
          <w:tab w:val="left" w:pos="6720"/>
          <w:tab w:val="left" w:pos="8364"/>
        </w:tabs>
        <w:autoSpaceDE w:val="0"/>
        <w:autoSpaceDN w:val="0"/>
        <w:adjustRightInd w:val="0"/>
        <w:spacing w:line="276" w:lineRule="auto"/>
        <w:ind w:right="-99"/>
        <w:contextualSpacing/>
        <w:jc w:val="both"/>
        <w:rPr>
          <w:rFonts w:asciiTheme="minorHAnsi" w:hAnsiTheme="minorHAnsi" w:cs="Arial"/>
          <w:sz w:val="22"/>
          <w:szCs w:val="22"/>
        </w:rPr>
      </w:pPr>
      <w:r w:rsidRPr="00291BE4">
        <w:rPr>
          <w:rFonts w:asciiTheme="minorHAnsi" w:hAnsiTheme="minorHAnsi" w:cs="Arial"/>
          <w:sz w:val="22"/>
          <w:szCs w:val="22"/>
        </w:rPr>
        <w:t>Town and Country Planning Act 1990</w:t>
      </w:r>
    </w:p>
    <w:p w14:paraId="307B1440" w14:textId="77777777" w:rsidR="00291BE4" w:rsidRPr="00291BE4" w:rsidRDefault="00291BE4" w:rsidP="00011819">
      <w:pPr>
        <w:widowControl w:val="0"/>
        <w:tabs>
          <w:tab w:val="left" w:pos="851"/>
          <w:tab w:val="left" w:pos="1134"/>
          <w:tab w:val="left" w:pos="2240"/>
          <w:tab w:val="left" w:pos="2800"/>
          <w:tab w:val="left" w:pos="3360"/>
          <w:tab w:val="left" w:pos="3920"/>
          <w:tab w:val="left" w:pos="4480"/>
          <w:tab w:val="left" w:pos="5040"/>
          <w:tab w:val="left" w:pos="5600"/>
          <w:tab w:val="left" w:pos="6160"/>
          <w:tab w:val="left" w:pos="6720"/>
          <w:tab w:val="left" w:pos="8364"/>
        </w:tabs>
        <w:autoSpaceDE w:val="0"/>
        <w:autoSpaceDN w:val="0"/>
        <w:adjustRightInd w:val="0"/>
        <w:spacing w:line="276" w:lineRule="auto"/>
        <w:ind w:right="-99"/>
        <w:contextualSpacing/>
        <w:jc w:val="both"/>
        <w:rPr>
          <w:rFonts w:asciiTheme="minorHAnsi" w:hAnsiTheme="minorHAnsi" w:cs="Arial"/>
          <w:sz w:val="22"/>
          <w:szCs w:val="22"/>
        </w:rPr>
      </w:pPr>
      <w:r w:rsidRPr="00291BE4">
        <w:rPr>
          <w:rFonts w:asciiTheme="minorHAnsi" w:hAnsiTheme="minorHAnsi" w:cs="Arial"/>
          <w:sz w:val="22"/>
          <w:szCs w:val="22"/>
        </w:rPr>
        <w:t>Planning and Compulsory Purchase Act 2004</w:t>
      </w:r>
    </w:p>
    <w:p w14:paraId="7CC4A20E" w14:textId="77777777" w:rsidR="00291BE4" w:rsidRDefault="00291BE4" w:rsidP="00011819">
      <w:pPr>
        <w:widowControl w:val="0"/>
        <w:tabs>
          <w:tab w:val="left" w:pos="851"/>
          <w:tab w:val="left" w:pos="1134"/>
          <w:tab w:val="left" w:pos="2240"/>
          <w:tab w:val="left" w:pos="2800"/>
          <w:tab w:val="left" w:pos="3360"/>
          <w:tab w:val="left" w:pos="3920"/>
          <w:tab w:val="left" w:pos="4480"/>
          <w:tab w:val="left" w:pos="5040"/>
          <w:tab w:val="left" w:pos="5600"/>
          <w:tab w:val="left" w:pos="6160"/>
          <w:tab w:val="left" w:pos="6720"/>
          <w:tab w:val="left" w:pos="8364"/>
        </w:tabs>
        <w:autoSpaceDE w:val="0"/>
        <w:autoSpaceDN w:val="0"/>
        <w:adjustRightInd w:val="0"/>
        <w:spacing w:line="276" w:lineRule="auto"/>
        <w:ind w:right="-99"/>
        <w:contextualSpacing/>
        <w:jc w:val="both"/>
        <w:rPr>
          <w:rFonts w:asciiTheme="minorHAnsi" w:hAnsiTheme="minorHAnsi" w:cs="Arial"/>
          <w:sz w:val="22"/>
          <w:szCs w:val="22"/>
        </w:rPr>
      </w:pPr>
      <w:r w:rsidRPr="00291BE4">
        <w:rPr>
          <w:rFonts w:asciiTheme="minorHAnsi" w:hAnsiTheme="minorHAnsi" w:cs="Arial"/>
          <w:sz w:val="22"/>
          <w:szCs w:val="22"/>
        </w:rPr>
        <w:t>Planning (Listed Buildings and Conservation Areas) Act 1990</w:t>
      </w:r>
    </w:p>
    <w:p w14:paraId="2B44A6B5" w14:textId="77777777" w:rsidR="00291BE4" w:rsidRPr="00291BE4" w:rsidRDefault="00291BE4" w:rsidP="00011819">
      <w:pPr>
        <w:widowControl w:val="0"/>
        <w:tabs>
          <w:tab w:val="left" w:pos="851"/>
          <w:tab w:val="left" w:pos="1134"/>
          <w:tab w:val="left" w:pos="2240"/>
          <w:tab w:val="left" w:pos="2800"/>
          <w:tab w:val="left" w:pos="3360"/>
          <w:tab w:val="left" w:pos="3920"/>
          <w:tab w:val="left" w:pos="4480"/>
          <w:tab w:val="left" w:pos="5040"/>
          <w:tab w:val="left" w:pos="5600"/>
          <w:tab w:val="left" w:pos="6160"/>
          <w:tab w:val="left" w:pos="6720"/>
          <w:tab w:val="left" w:pos="8364"/>
        </w:tabs>
        <w:autoSpaceDE w:val="0"/>
        <w:autoSpaceDN w:val="0"/>
        <w:adjustRightInd w:val="0"/>
        <w:spacing w:line="276" w:lineRule="auto"/>
        <w:ind w:left="1134" w:right="-99" w:hanging="425"/>
        <w:contextualSpacing/>
        <w:jc w:val="both"/>
        <w:rPr>
          <w:rFonts w:asciiTheme="minorHAnsi" w:hAnsiTheme="minorHAnsi" w:cs="Arial"/>
          <w:sz w:val="22"/>
          <w:szCs w:val="22"/>
        </w:rPr>
      </w:pPr>
    </w:p>
    <w:p w14:paraId="03BC298D" w14:textId="77777777" w:rsidR="00291BE4" w:rsidRPr="009E7805" w:rsidRDefault="00291BE4" w:rsidP="00011819">
      <w:pPr>
        <w:widowControl w:val="0"/>
        <w:tabs>
          <w:tab w:val="left" w:pos="851"/>
          <w:tab w:val="left" w:pos="1134"/>
          <w:tab w:val="left" w:pos="2240"/>
          <w:tab w:val="left" w:pos="2800"/>
          <w:tab w:val="left" w:pos="3360"/>
          <w:tab w:val="left" w:pos="3920"/>
          <w:tab w:val="left" w:pos="4480"/>
          <w:tab w:val="left" w:pos="5040"/>
          <w:tab w:val="left" w:pos="5600"/>
          <w:tab w:val="left" w:pos="6160"/>
          <w:tab w:val="left" w:pos="6720"/>
          <w:tab w:val="left" w:pos="8364"/>
        </w:tabs>
        <w:autoSpaceDE w:val="0"/>
        <w:autoSpaceDN w:val="0"/>
        <w:adjustRightInd w:val="0"/>
        <w:spacing w:line="276" w:lineRule="auto"/>
        <w:ind w:right="-99"/>
        <w:contextualSpacing/>
        <w:jc w:val="both"/>
        <w:rPr>
          <w:rFonts w:asciiTheme="minorHAnsi" w:hAnsiTheme="minorHAnsi" w:cs="Arial"/>
          <w:sz w:val="22"/>
          <w:szCs w:val="22"/>
          <w:u w:val="single"/>
        </w:rPr>
      </w:pPr>
      <w:r w:rsidRPr="009E7805">
        <w:rPr>
          <w:rFonts w:asciiTheme="minorHAnsi" w:hAnsiTheme="minorHAnsi" w:cs="Arial"/>
          <w:sz w:val="22"/>
          <w:szCs w:val="22"/>
          <w:u w:val="single"/>
        </w:rPr>
        <w:t>National Guidance</w:t>
      </w:r>
    </w:p>
    <w:p w14:paraId="6492B7C0" w14:textId="27F0CC4C" w:rsidR="00291BE4" w:rsidRPr="00291BE4" w:rsidRDefault="00291BE4" w:rsidP="00011819">
      <w:pPr>
        <w:widowControl w:val="0"/>
        <w:tabs>
          <w:tab w:val="left" w:pos="851"/>
          <w:tab w:val="left" w:pos="1134"/>
          <w:tab w:val="left" w:pos="2240"/>
          <w:tab w:val="left" w:pos="2800"/>
          <w:tab w:val="left" w:pos="3360"/>
          <w:tab w:val="left" w:pos="3920"/>
          <w:tab w:val="left" w:pos="4480"/>
          <w:tab w:val="left" w:pos="5040"/>
          <w:tab w:val="left" w:pos="5600"/>
          <w:tab w:val="left" w:pos="6160"/>
          <w:tab w:val="left" w:pos="6720"/>
          <w:tab w:val="left" w:pos="8364"/>
        </w:tabs>
        <w:autoSpaceDE w:val="0"/>
        <w:autoSpaceDN w:val="0"/>
        <w:adjustRightInd w:val="0"/>
        <w:spacing w:line="276" w:lineRule="auto"/>
        <w:ind w:right="-99"/>
        <w:contextualSpacing/>
        <w:jc w:val="both"/>
        <w:rPr>
          <w:rFonts w:asciiTheme="minorHAnsi" w:hAnsiTheme="minorHAnsi" w:cs="Arial"/>
          <w:sz w:val="22"/>
          <w:szCs w:val="22"/>
        </w:rPr>
      </w:pPr>
      <w:r w:rsidRPr="00291BE4">
        <w:rPr>
          <w:rFonts w:asciiTheme="minorHAnsi" w:hAnsiTheme="minorHAnsi" w:cs="Arial"/>
          <w:sz w:val="22"/>
          <w:szCs w:val="22"/>
        </w:rPr>
        <w:t>National Planning Policy Framework (201</w:t>
      </w:r>
      <w:r w:rsidR="00D80D8E">
        <w:rPr>
          <w:rFonts w:asciiTheme="minorHAnsi" w:hAnsiTheme="minorHAnsi" w:cs="Arial"/>
          <w:sz w:val="22"/>
          <w:szCs w:val="22"/>
        </w:rPr>
        <w:t>8</w:t>
      </w:r>
      <w:r w:rsidRPr="00291BE4">
        <w:rPr>
          <w:rFonts w:asciiTheme="minorHAnsi" w:hAnsiTheme="minorHAnsi" w:cs="Arial"/>
          <w:sz w:val="22"/>
          <w:szCs w:val="22"/>
        </w:rPr>
        <w:t>)</w:t>
      </w:r>
    </w:p>
    <w:p w14:paraId="6BA01D0F" w14:textId="77777777" w:rsidR="00291BE4" w:rsidRPr="00291BE4" w:rsidRDefault="00291BE4" w:rsidP="00011819">
      <w:pPr>
        <w:widowControl w:val="0"/>
        <w:tabs>
          <w:tab w:val="left" w:pos="851"/>
          <w:tab w:val="left" w:pos="1134"/>
          <w:tab w:val="left" w:pos="2240"/>
          <w:tab w:val="left" w:pos="2800"/>
          <w:tab w:val="left" w:pos="3360"/>
          <w:tab w:val="left" w:pos="3920"/>
          <w:tab w:val="left" w:pos="4480"/>
          <w:tab w:val="left" w:pos="5040"/>
          <w:tab w:val="left" w:pos="5600"/>
          <w:tab w:val="left" w:pos="6160"/>
          <w:tab w:val="left" w:pos="6720"/>
          <w:tab w:val="left" w:pos="8364"/>
        </w:tabs>
        <w:autoSpaceDE w:val="0"/>
        <w:autoSpaceDN w:val="0"/>
        <w:adjustRightInd w:val="0"/>
        <w:spacing w:line="276" w:lineRule="auto"/>
        <w:ind w:right="-99"/>
        <w:contextualSpacing/>
        <w:jc w:val="both"/>
        <w:rPr>
          <w:rFonts w:asciiTheme="minorHAnsi" w:hAnsiTheme="minorHAnsi" w:cs="Arial"/>
          <w:sz w:val="22"/>
          <w:szCs w:val="22"/>
        </w:rPr>
      </w:pPr>
      <w:r w:rsidRPr="00291BE4">
        <w:rPr>
          <w:rFonts w:asciiTheme="minorHAnsi" w:hAnsiTheme="minorHAnsi" w:cs="Arial"/>
          <w:sz w:val="22"/>
          <w:szCs w:val="22"/>
        </w:rPr>
        <w:t>National Planning Practice Guidance (Online)</w:t>
      </w:r>
    </w:p>
    <w:p w14:paraId="5022FD7A" w14:textId="77777777" w:rsidR="00291BE4" w:rsidRPr="00291BE4" w:rsidRDefault="00291BE4" w:rsidP="008963E4">
      <w:pPr>
        <w:widowControl w:val="0"/>
        <w:tabs>
          <w:tab w:val="left" w:pos="851"/>
          <w:tab w:val="left" w:pos="1134"/>
          <w:tab w:val="left" w:pos="2240"/>
          <w:tab w:val="left" w:pos="2800"/>
          <w:tab w:val="left" w:pos="3360"/>
          <w:tab w:val="left" w:pos="3920"/>
          <w:tab w:val="left" w:pos="4480"/>
          <w:tab w:val="left" w:pos="5040"/>
          <w:tab w:val="left" w:pos="5600"/>
          <w:tab w:val="left" w:pos="6160"/>
          <w:tab w:val="left" w:pos="6720"/>
          <w:tab w:val="left" w:pos="8364"/>
        </w:tabs>
        <w:autoSpaceDE w:val="0"/>
        <w:autoSpaceDN w:val="0"/>
        <w:adjustRightInd w:val="0"/>
        <w:spacing w:line="276" w:lineRule="auto"/>
        <w:ind w:right="-99"/>
        <w:contextualSpacing/>
        <w:jc w:val="both"/>
        <w:rPr>
          <w:rFonts w:asciiTheme="minorHAnsi" w:hAnsiTheme="minorHAnsi" w:cs="Arial"/>
          <w:sz w:val="22"/>
          <w:szCs w:val="22"/>
        </w:rPr>
      </w:pPr>
    </w:p>
    <w:p w14:paraId="69630D2E" w14:textId="77777777" w:rsidR="00291BE4" w:rsidRPr="00291BE4" w:rsidRDefault="00291BE4" w:rsidP="00011819">
      <w:pPr>
        <w:widowControl w:val="0"/>
        <w:tabs>
          <w:tab w:val="left" w:pos="851"/>
          <w:tab w:val="left" w:pos="1134"/>
          <w:tab w:val="left" w:pos="2240"/>
          <w:tab w:val="left" w:pos="2800"/>
          <w:tab w:val="left" w:pos="3360"/>
          <w:tab w:val="left" w:pos="3920"/>
          <w:tab w:val="left" w:pos="4480"/>
          <w:tab w:val="left" w:pos="5040"/>
          <w:tab w:val="left" w:pos="5600"/>
          <w:tab w:val="left" w:pos="6160"/>
          <w:tab w:val="left" w:pos="6720"/>
          <w:tab w:val="left" w:pos="8364"/>
        </w:tabs>
        <w:autoSpaceDE w:val="0"/>
        <w:autoSpaceDN w:val="0"/>
        <w:adjustRightInd w:val="0"/>
        <w:spacing w:line="276" w:lineRule="auto"/>
        <w:ind w:right="-99"/>
        <w:contextualSpacing/>
        <w:jc w:val="both"/>
        <w:rPr>
          <w:rFonts w:asciiTheme="minorHAnsi" w:hAnsiTheme="minorHAnsi" w:cs="Arial"/>
          <w:sz w:val="22"/>
          <w:szCs w:val="22"/>
          <w:u w:val="single"/>
        </w:rPr>
      </w:pPr>
      <w:r w:rsidRPr="00291BE4">
        <w:rPr>
          <w:rFonts w:asciiTheme="minorHAnsi" w:hAnsiTheme="minorHAnsi" w:cs="Arial"/>
          <w:sz w:val="22"/>
          <w:szCs w:val="22"/>
          <w:u w:val="single"/>
        </w:rPr>
        <w:t>Greater London Authority</w:t>
      </w:r>
    </w:p>
    <w:p w14:paraId="17FD9214" w14:textId="5BDA35EE" w:rsidR="009E7805" w:rsidRDefault="009E7805" w:rsidP="00011819">
      <w:pPr>
        <w:spacing w:line="276" w:lineRule="auto"/>
        <w:rPr>
          <w:rFonts w:asciiTheme="minorHAnsi" w:hAnsiTheme="minorHAnsi"/>
          <w:sz w:val="22"/>
          <w:szCs w:val="22"/>
        </w:rPr>
      </w:pPr>
      <w:r w:rsidRPr="009E7805">
        <w:rPr>
          <w:rFonts w:asciiTheme="minorHAnsi" w:hAnsiTheme="minorHAnsi"/>
          <w:sz w:val="22"/>
          <w:szCs w:val="22"/>
        </w:rPr>
        <w:t xml:space="preserve">The London Plan </w:t>
      </w:r>
      <w:r>
        <w:rPr>
          <w:rFonts w:asciiTheme="minorHAnsi" w:hAnsiTheme="minorHAnsi"/>
          <w:sz w:val="22"/>
          <w:szCs w:val="22"/>
        </w:rPr>
        <w:t>(201</w:t>
      </w:r>
      <w:r w:rsidR="0000249C">
        <w:rPr>
          <w:rFonts w:asciiTheme="minorHAnsi" w:hAnsiTheme="minorHAnsi"/>
          <w:sz w:val="22"/>
          <w:szCs w:val="22"/>
        </w:rPr>
        <w:t>6</w:t>
      </w:r>
      <w:r>
        <w:rPr>
          <w:rFonts w:asciiTheme="minorHAnsi" w:hAnsiTheme="minorHAnsi"/>
          <w:sz w:val="22"/>
          <w:szCs w:val="22"/>
        </w:rPr>
        <w:t>)</w:t>
      </w:r>
    </w:p>
    <w:p w14:paraId="788F4F19" w14:textId="50235183" w:rsidR="00EC6E91" w:rsidRDefault="00EC6E91" w:rsidP="00011819">
      <w:pPr>
        <w:spacing w:line="276" w:lineRule="auto"/>
        <w:rPr>
          <w:rFonts w:asciiTheme="minorHAnsi" w:hAnsiTheme="minorHAnsi"/>
          <w:sz w:val="22"/>
          <w:szCs w:val="22"/>
        </w:rPr>
      </w:pPr>
      <w:r>
        <w:rPr>
          <w:rFonts w:asciiTheme="minorHAnsi" w:hAnsiTheme="minorHAnsi"/>
          <w:sz w:val="22"/>
          <w:szCs w:val="22"/>
        </w:rPr>
        <w:t>Emerging London Plan</w:t>
      </w:r>
    </w:p>
    <w:p w14:paraId="22F54BE6" w14:textId="77777777" w:rsidR="008963E4" w:rsidRPr="008963E4" w:rsidRDefault="008963E4" w:rsidP="008963E4">
      <w:pPr>
        <w:spacing w:line="276" w:lineRule="auto"/>
        <w:ind w:right="-476"/>
        <w:jc w:val="both"/>
        <w:rPr>
          <w:rFonts w:asciiTheme="minorHAnsi" w:hAnsiTheme="minorHAnsi"/>
          <w:sz w:val="22"/>
          <w:szCs w:val="22"/>
        </w:rPr>
      </w:pPr>
    </w:p>
    <w:p w14:paraId="376D751F" w14:textId="13D7CB06" w:rsidR="00291BE4" w:rsidRPr="00291BE4" w:rsidRDefault="0000249C" w:rsidP="00011819">
      <w:pPr>
        <w:spacing w:line="276" w:lineRule="auto"/>
        <w:ind w:right="-476"/>
        <w:jc w:val="both"/>
        <w:rPr>
          <w:rFonts w:asciiTheme="minorHAnsi" w:hAnsiTheme="minorHAnsi"/>
          <w:sz w:val="22"/>
          <w:szCs w:val="22"/>
          <w:u w:val="single"/>
        </w:rPr>
      </w:pPr>
      <w:r>
        <w:rPr>
          <w:rFonts w:asciiTheme="minorHAnsi" w:hAnsiTheme="minorHAnsi"/>
          <w:sz w:val="22"/>
          <w:szCs w:val="22"/>
          <w:u w:val="single"/>
        </w:rPr>
        <w:t>Camden</w:t>
      </w:r>
    </w:p>
    <w:p w14:paraId="052B73BB" w14:textId="0CA7E048" w:rsidR="00F6041B" w:rsidRDefault="00D80D8E" w:rsidP="00F6041B">
      <w:pPr>
        <w:spacing w:line="276" w:lineRule="auto"/>
        <w:rPr>
          <w:rFonts w:asciiTheme="minorHAnsi" w:hAnsiTheme="minorHAnsi"/>
          <w:sz w:val="22"/>
          <w:szCs w:val="22"/>
        </w:rPr>
      </w:pPr>
      <w:r>
        <w:rPr>
          <w:rFonts w:asciiTheme="minorHAnsi" w:hAnsiTheme="minorHAnsi"/>
          <w:sz w:val="22"/>
          <w:szCs w:val="22"/>
        </w:rPr>
        <w:t>Camden Local Plan (2017)</w:t>
      </w:r>
    </w:p>
    <w:p w14:paraId="315F8358" w14:textId="77777777" w:rsidR="006942BD" w:rsidRPr="006942BD" w:rsidRDefault="006942BD" w:rsidP="006942BD">
      <w:pPr>
        <w:spacing w:line="276" w:lineRule="auto"/>
        <w:rPr>
          <w:rFonts w:ascii="Calibri" w:hAnsi="Calibri"/>
          <w:sz w:val="22"/>
          <w:szCs w:val="22"/>
        </w:rPr>
      </w:pPr>
      <w:r w:rsidRPr="006942BD">
        <w:rPr>
          <w:rFonts w:ascii="Calibri" w:hAnsi="Calibri"/>
          <w:sz w:val="22"/>
          <w:szCs w:val="22"/>
        </w:rPr>
        <w:t xml:space="preserve">CPG Access for all (2019) </w:t>
      </w:r>
    </w:p>
    <w:p w14:paraId="383E8922" w14:textId="77777777" w:rsidR="006942BD" w:rsidRPr="006942BD" w:rsidRDefault="006942BD" w:rsidP="006942BD">
      <w:pPr>
        <w:spacing w:line="276" w:lineRule="auto"/>
        <w:rPr>
          <w:rFonts w:ascii="Calibri" w:hAnsi="Calibri"/>
          <w:sz w:val="22"/>
          <w:szCs w:val="22"/>
        </w:rPr>
      </w:pPr>
      <w:r w:rsidRPr="006942BD">
        <w:rPr>
          <w:rFonts w:ascii="Calibri" w:hAnsi="Calibri"/>
          <w:sz w:val="22"/>
          <w:szCs w:val="22"/>
        </w:rPr>
        <w:t xml:space="preserve">CPG Amenity (2018)  </w:t>
      </w:r>
    </w:p>
    <w:p w14:paraId="521F9FBD" w14:textId="77777777" w:rsidR="006942BD" w:rsidRPr="006942BD" w:rsidRDefault="006942BD" w:rsidP="006942BD">
      <w:pPr>
        <w:spacing w:line="276" w:lineRule="auto"/>
        <w:rPr>
          <w:rFonts w:ascii="Calibri" w:hAnsi="Calibri"/>
          <w:sz w:val="22"/>
          <w:szCs w:val="22"/>
        </w:rPr>
      </w:pPr>
      <w:r w:rsidRPr="006942BD">
        <w:rPr>
          <w:rFonts w:ascii="Calibri" w:hAnsi="Calibri"/>
          <w:sz w:val="22"/>
          <w:szCs w:val="22"/>
        </w:rPr>
        <w:t xml:space="preserve">CPG Basements (2018) </w:t>
      </w:r>
    </w:p>
    <w:p w14:paraId="223FECF4" w14:textId="77777777" w:rsidR="006942BD" w:rsidRPr="006942BD" w:rsidRDefault="006942BD" w:rsidP="006942BD">
      <w:pPr>
        <w:spacing w:line="276" w:lineRule="auto"/>
        <w:rPr>
          <w:rFonts w:ascii="Calibri" w:hAnsi="Calibri"/>
          <w:sz w:val="22"/>
          <w:szCs w:val="22"/>
        </w:rPr>
      </w:pPr>
      <w:r w:rsidRPr="006942BD">
        <w:rPr>
          <w:rFonts w:ascii="Calibri" w:hAnsi="Calibri"/>
          <w:sz w:val="22"/>
          <w:szCs w:val="22"/>
        </w:rPr>
        <w:t xml:space="preserve">CPG Biodiversity (2018) </w:t>
      </w:r>
    </w:p>
    <w:p w14:paraId="09721793" w14:textId="77777777" w:rsidR="006942BD" w:rsidRPr="006942BD" w:rsidRDefault="006942BD" w:rsidP="006942BD">
      <w:pPr>
        <w:spacing w:line="276" w:lineRule="auto"/>
        <w:rPr>
          <w:rFonts w:ascii="Calibri" w:hAnsi="Calibri"/>
          <w:sz w:val="22"/>
          <w:szCs w:val="22"/>
        </w:rPr>
      </w:pPr>
      <w:r w:rsidRPr="006942BD">
        <w:rPr>
          <w:rFonts w:ascii="Calibri" w:hAnsi="Calibri"/>
          <w:sz w:val="22"/>
          <w:szCs w:val="22"/>
        </w:rPr>
        <w:t xml:space="preserve">CPG Design (2019) </w:t>
      </w:r>
    </w:p>
    <w:p w14:paraId="78FF0817" w14:textId="77777777" w:rsidR="006942BD" w:rsidRPr="006942BD" w:rsidRDefault="006942BD" w:rsidP="006942BD">
      <w:pPr>
        <w:spacing w:line="276" w:lineRule="auto"/>
        <w:rPr>
          <w:rFonts w:ascii="Calibri" w:hAnsi="Calibri"/>
          <w:sz w:val="22"/>
          <w:szCs w:val="22"/>
        </w:rPr>
      </w:pPr>
      <w:r w:rsidRPr="006942BD">
        <w:rPr>
          <w:rFonts w:ascii="Calibri" w:hAnsi="Calibri"/>
          <w:sz w:val="22"/>
          <w:szCs w:val="22"/>
        </w:rPr>
        <w:t xml:space="preserve">CPG Developer contributions (2019) </w:t>
      </w:r>
    </w:p>
    <w:p w14:paraId="6AE64234" w14:textId="77777777" w:rsidR="006942BD" w:rsidRPr="006942BD" w:rsidRDefault="006942BD" w:rsidP="006942BD">
      <w:pPr>
        <w:spacing w:line="276" w:lineRule="auto"/>
        <w:rPr>
          <w:rFonts w:ascii="Calibri" w:hAnsi="Calibri"/>
          <w:sz w:val="22"/>
          <w:szCs w:val="22"/>
        </w:rPr>
      </w:pPr>
      <w:r w:rsidRPr="006942BD">
        <w:rPr>
          <w:rFonts w:ascii="Calibri" w:hAnsi="Calibri"/>
          <w:sz w:val="22"/>
          <w:szCs w:val="22"/>
        </w:rPr>
        <w:t xml:space="preserve">CPG Energy efficiency (2019) </w:t>
      </w:r>
    </w:p>
    <w:p w14:paraId="1E86BBCE" w14:textId="77777777" w:rsidR="006942BD" w:rsidRPr="006942BD" w:rsidRDefault="006942BD" w:rsidP="006942BD">
      <w:pPr>
        <w:spacing w:line="276" w:lineRule="auto"/>
        <w:rPr>
          <w:rFonts w:ascii="Calibri" w:hAnsi="Calibri"/>
          <w:sz w:val="22"/>
          <w:szCs w:val="22"/>
        </w:rPr>
      </w:pPr>
      <w:r w:rsidRPr="006942BD">
        <w:rPr>
          <w:rFonts w:ascii="Calibri" w:hAnsi="Calibri"/>
          <w:sz w:val="22"/>
          <w:szCs w:val="22"/>
        </w:rPr>
        <w:t xml:space="preserve">CPG Interim Housing (2019) </w:t>
      </w:r>
    </w:p>
    <w:p w14:paraId="31DF8B81" w14:textId="77777777" w:rsidR="006942BD" w:rsidRPr="006942BD" w:rsidRDefault="006942BD" w:rsidP="006942BD">
      <w:pPr>
        <w:spacing w:line="276" w:lineRule="auto"/>
        <w:rPr>
          <w:rFonts w:ascii="Calibri" w:hAnsi="Calibri"/>
          <w:sz w:val="22"/>
          <w:szCs w:val="22"/>
        </w:rPr>
      </w:pPr>
      <w:r w:rsidRPr="006942BD">
        <w:rPr>
          <w:rFonts w:ascii="Calibri" w:hAnsi="Calibri"/>
          <w:sz w:val="22"/>
          <w:szCs w:val="22"/>
        </w:rPr>
        <w:t xml:space="preserve">CPG2 Housing (2016, amended 2019) </w:t>
      </w:r>
    </w:p>
    <w:p w14:paraId="67F79A25" w14:textId="77777777" w:rsidR="006942BD" w:rsidRPr="006942BD" w:rsidRDefault="006942BD" w:rsidP="006942BD">
      <w:pPr>
        <w:spacing w:line="276" w:lineRule="auto"/>
        <w:rPr>
          <w:rFonts w:ascii="Calibri" w:hAnsi="Calibri"/>
          <w:sz w:val="22"/>
          <w:szCs w:val="22"/>
        </w:rPr>
      </w:pPr>
      <w:r w:rsidRPr="006942BD">
        <w:rPr>
          <w:rFonts w:ascii="Calibri" w:hAnsi="Calibri"/>
          <w:sz w:val="22"/>
          <w:szCs w:val="22"/>
        </w:rPr>
        <w:t xml:space="preserve">CPG Transport (2019) </w:t>
      </w:r>
    </w:p>
    <w:p w14:paraId="20E165D2" w14:textId="77777777" w:rsidR="006942BD" w:rsidRPr="006942BD" w:rsidRDefault="006942BD" w:rsidP="006942BD">
      <w:pPr>
        <w:spacing w:line="276" w:lineRule="auto"/>
        <w:rPr>
          <w:rFonts w:ascii="Calibri" w:hAnsi="Calibri"/>
          <w:sz w:val="22"/>
          <w:szCs w:val="22"/>
        </w:rPr>
      </w:pPr>
      <w:r w:rsidRPr="006942BD">
        <w:rPr>
          <w:rFonts w:ascii="Calibri" w:hAnsi="Calibri"/>
          <w:sz w:val="22"/>
          <w:szCs w:val="22"/>
        </w:rPr>
        <w:t xml:space="preserve">CPG Trees (2019) </w:t>
      </w:r>
    </w:p>
    <w:p w14:paraId="7663FD4B" w14:textId="686D8C39" w:rsidR="00F6041B" w:rsidRPr="00D90ABE" w:rsidRDefault="006942BD" w:rsidP="00F6041B">
      <w:pPr>
        <w:spacing w:line="276" w:lineRule="auto"/>
        <w:rPr>
          <w:rFonts w:ascii="Calibri" w:hAnsi="Calibri"/>
          <w:sz w:val="22"/>
          <w:szCs w:val="22"/>
        </w:rPr>
      </w:pPr>
      <w:r w:rsidRPr="006942BD">
        <w:rPr>
          <w:rFonts w:ascii="Calibri" w:hAnsi="Calibri"/>
          <w:sz w:val="22"/>
          <w:szCs w:val="22"/>
        </w:rPr>
        <w:t>CPG Water and flooding (2019)</w:t>
      </w:r>
    </w:p>
    <w:p w14:paraId="10FF01E4" w14:textId="75FAEC8C" w:rsidR="009E7805" w:rsidRDefault="00F6041B" w:rsidP="00011819">
      <w:pPr>
        <w:widowControl w:val="0"/>
        <w:autoSpaceDE w:val="0"/>
        <w:autoSpaceDN w:val="0"/>
        <w:adjustRightInd w:val="0"/>
        <w:spacing w:line="276" w:lineRule="auto"/>
        <w:ind w:right="-99"/>
        <w:rPr>
          <w:rFonts w:asciiTheme="minorHAnsi" w:hAnsiTheme="minorHAnsi" w:cs="Calibri"/>
          <w:sz w:val="22"/>
          <w:szCs w:val="22"/>
        </w:rPr>
      </w:pPr>
      <w:r w:rsidRPr="009E7805">
        <w:rPr>
          <w:rFonts w:asciiTheme="minorHAnsi" w:hAnsiTheme="minorHAnsi" w:cs="Calibri"/>
          <w:sz w:val="22"/>
          <w:szCs w:val="22"/>
        </w:rPr>
        <w:t>LB</w:t>
      </w:r>
      <w:r>
        <w:rPr>
          <w:rFonts w:asciiTheme="minorHAnsi" w:hAnsiTheme="minorHAnsi" w:cs="Calibri"/>
          <w:sz w:val="22"/>
          <w:szCs w:val="22"/>
        </w:rPr>
        <w:t xml:space="preserve">C </w:t>
      </w:r>
      <w:r w:rsidR="009E7805" w:rsidRPr="009E7805">
        <w:rPr>
          <w:rFonts w:asciiTheme="minorHAnsi" w:hAnsiTheme="minorHAnsi" w:cs="Calibri"/>
          <w:sz w:val="22"/>
          <w:szCs w:val="22"/>
        </w:rPr>
        <w:t>CIL Charging Schedule</w:t>
      </w:r>
      <w:r w:rsidR="009E7805">
        <w:rPr>
          <w:rFonts w:asciiTheme="minorHAnsi" w:hAnsiTheme="minorHAnsi" w:cs="Calibri"/>
          <w:sz w:val="22"/>
          <w:szCs w:val="22"/>
        </w:rPr>
        <w:t xml:space="preserve"> </w:t>
      </w:r>
    </w:p>
    <w:p w14:paraId="6AF4C69E" w14:textId="77777777" w:rsidR="008963E4" w:rsidRPr="00291BE4" w:rsidRDefault="008963E4" w:rsidP="00011819">
      <w:pPr>
        <w:spacing w:line="276" w:lineRule="auto"/>
        <w:ind w:right="-476"/>
        <w:jc w:val="both"/>
        <w:rPr>
          <w:rFonts w:asciiTheme="minorHAnsi" w:hAnsiTheme="minorHAnsi"/>
          <w:sz w:val="22"/>
          <w:szCs w:val="22"/>
        </w:rPr>
      </w:pPr>
    </w:p>
    <w:p w14:paraId="48A47B1C" w14:textId="7C352F40" w:rsidR="00291BE4" w:rsidRDefault="00291BE4" w:rsidP="00011819">
      <w:pPr>
        <w:widowControl w:val="0"/>
        <w:autoSpaceDE w:val="0"/>
        <w:autoSpaceDN w:val="0"/>
        <w:adjustRightInd w:val="0"/>
        <w:spacing w:line="276" w:lineRule="auto"/>
        <w:ind w:right="-99"/>
        <w:rPr>
          <w:rFonts w:asciiTheme="minorHAnsi" w:hAnsiTheme="minorHAnsi" w:cs="Calibri"/>
          <w:sz w:val="22"/>
          <w:szCs w:val="22"/>
        </w:rPr>
      </w:pPr>
    </w:p>
    <w:sectPr w:rsidR="00291BE4">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379F3" w14:textId="77777777" w:rsidR="00D078E4" w:rsidRDefault="00D078E4" w:rsidP="00CC394F">
      <w:r>
        <w:separator/>
      </w:r>
    </w:p>
  </w:endnote>
  <w:endnote w:type="continuationSeparator" w:id="0">
    <w:p w14:paraId="4A8679AC" w14:textId="77777777" w:rsidR="00D078E4" w:rsidRDefault="00D078E4" w:rsidP="00CC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369828"/>
      <w:docPartObj>
        <w:docPartGallery w:val="Page Numbers (Bottom of Page)"/>
        <w:docPartUnique/>
      </w:docPartObj>
    </w:sdtPr>
    <w:sdtEndPr>
      <w:rPr>
        <w:rFonts w:asciiTheme="minorHAnsi" w:hAnsiTheme="minorHAnsi"/>
        <w:noProof/>
        <w:sz w:val="20"/>
        <w:szCs w:val="20"/>
      </w:rPr>
    </w:sdtEndPr>
    <w:sdtContent>
      <w:p w14:paraId="780E4E8A" w14:textId="5127CC87" w:rsidR="008D5471" w:rsidRPr="00EF1965" w:rsidRDefault="008D5471">
        <w:pPr>
          <w:pStyle w:val="Footer"/>
          <w:jc w:val="right"/>
          <w:rPr>
            <w:rFonts w:asciiTheme="minorHAnsi" w:hAnsiTheme="minorHAnsi"/>
            <w:sz w:val="20"/>
            <w:szCs w:val="20"/>
          </w:rPr>
        </w:pPr>
        <w:r w:rsidRPr="00EF1965">
          <w:rPr>
            <w:rFonts w:asciiTheme="minorHAnsi" w:hAnsiTheme="minorHAnsi"/>
            <w:sz w:val="20"/>
            <w:szCs w:val="20"/>
          </w:rPr>
          <w:fldChar w:fldCharType="begin"/>
        </w:r>
        <w:r w:rsidRPr="00EF1965">
          <w:rPr>
            <w:rFonts w:asciiTheme="minorHAnsi" w:hAnsiTheme="minorHAnsi"/>
            <w:sz w:val="20"/>
            <w:szCs w:val="20"/>
          </w:rPr>
          <w:instrText xml:space="preserve"> PAGE   \* MERGEFORMAT </w:instrText>
        </w:r>
        <w:r w:rsidRPr="00EF1965">
          <w:rPr>
            <w:rFonts w:asciiTheme="minorHAnsi" w:hAnsiTheme="minorHAnsi"/>
            <w:sz w:val="20"/>
            <w:szCs w:val="20"/>
          </w:rPr>
          <w:fldChar w:fldCharType="separate"/>
        </w:r>
        <w:r w:rsidR="00D078E4">
          <w:rPr>
            <w:rFonts w:asciiTheme="minorHAnsi" w:hAnsiTheme="minorHAnsi"/>
            <w:noProof/>
            <w:sz w:val="20"/>
            <w:szCs w:val="20"/>
          </w:rPr>
          <w:t>1</w:t>
        </w:r>
        <w:r w:rsidRPr="00EF1965">
          <w:rPr>
            <w:rFonts w:asciiTheme="minorHAnsi" w:hAnsiTheme="minorHAnsi"/>
            <w:noProof/>
            <w:sz w:val="20"/>
            <w:szCs w:val="20"/>
          </w:rPr>
          <w:fldChar w:fldCharType="end"/>
        </w:r>
      </w:p>
    </w:sdtContent>
  </w:sdt>
  <w:p w14:paraId="280EE4B7" w14:textId="77777777" w:rsidR="008D5471" w:rsidRDefault="008D5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AB470" w14:textId="77777777" w:rsidR="00D078E4" w:rsidRDefault="00D078E4" w:rsidP="00CC394F">
      <w:r>
        <w:separator/>
      </w:r>
    </w:p>
  </w:footnote>
  <w:footnote w:type="continuationSeparator" w:id="0">
    <w:p w14:paraId="084FF424" w14:textId="77777777" w:rsidR="00D078E4" w:rsidRDefault="00D078E4" w:rsidP="00CC3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38DE3" w14:textId="1C2EB65D" w:rsidR="008D5471" w:rsidRDefault="008D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15F"/>
    <w:multiLevelType w:val="hybridMultilevel"/>
    <w:tmpl w:val="4908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47D02"/>
    <w:multiLevelType w:val="hybridMultilevel"/>
    <w:tmpl w:val="953A6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F2BAB"/>
    <w:multiLevelType w:val="multilevel"/>
    <w:tmpl w:val="D4D6BC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3C59F0"/>
    <w:multiLevelType w:val="hybridMultilevel"/>
    <w:tmpl w:val="10167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A75E5"/>
    <w:multiLevelType w:val="hybridMultilevel"/>
    <w:tmpl w:val="31B8A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56A89"/>
    <w:multiLevelType w:val="hybridMultilevel"/>
    <w:tmpl w:val="C0CA7A98"/>
    <w:lvl w:ilvl="0" w:tplc="14BE41FA">
      <w:start w:val="1"/>
      <w:numFmt w:val="decimal"/>
      <w:lvlText w:val="%1"/>
      <w:lvlJc w:val="left"/>
      <w:pPr>
        <w:ind w:left="360" w:hanging="360"/>
      </w:pPr>
      <w:rPr>
        <w:rFonts w:hint="default"/>
      </w:rPr>
    </w:lvl>
    <w:lvl w:ilvl="1" w:tplc="22C2C808">
      <w:start w:val="1"/>
      <w:numFmt w:val="lowerLetter"/>
      <w:lvlText w:val="%2."/>
      <w:lvlJc w:val="left"/>
      <w:pPr>
        <w:ind w:left="644" w:hanging="360"/>
      </w:pPr>
      <w:rPr>
        <w:rFonts w:asciiTheme="minorHAnsi" w:hAnsiTheme="minorHAnsi" w:hint="default"/>
        <w:i w:val="0"/>
        <w:sz w:val="22"/>
        <w:szCs w:val="22"/>
      </w:rPr>
    </w:lvl>
    <w:lvl w:ilvl="2" w:tplc="D4A4366E">
      <w:start w:val="1"/>
      <w:numFmt w:val="lowerRoman"/>
      <w:lvlText w:val="%3."/>
      <w:lvlJc w:val="right"/>
      <w:pPr>
        <w:ind w:left="1881" w:hanging="180"/>
      </w:pPr>
      <w:rPr>
        <w:b w:val="0"/>
        <w:i w:val="0"/>
      </w:rPr>
    </w:lvl>
    <w:lvl w:ilvl="3" w:tplc="0809000F">
      <w:start w:val="1"/>
      <w:numFmt w:val="decimal"/>
      <w:lvlText w:val="%4."/>
      <w:lvlJc w:val="left"/>
      <w:pPr>
        <w:ind w:left="2520" w:hanging="360"/>
      </w:pPr>
    </w:lvl>
    <w:lvl w:ilvl="4" w:tplc="828A6102">
      <w:numFmt w:val="bullet"/>
      <w:lvlText w:val=""/>
      <w:lvlJc w:val="left"/>
      <w:pPr>
        <w:ind w:left="3240" w:hanging="360"/>
      </w:pPr>
      <w:rPr>
        <w:rFonts w:asciiTheme="minorHAnsi" w:eastAsia="Times New Roman" w:hAnsiTheme="minorHAnsi" w:cs="Times New Roman"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E248E7"/>
    <w:multiLevelType w:val="hybridMultilevel"/>
    <w:tmpl w:val="2E8E5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00A16"/>
    <w:multiLevelType w:val="hybridMultilevel"/>
    <w:tmpl w:val="52BA05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AA559B"/>
    <w:multiLevelType w:val="multilevel"/>
    <w:tmpl w:val="B3F074FE"/>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asciiTheme="minorHAnsi" w:hAnsiTheme="minorHAnsi" w:hint="default"/>
        <w:b w:val="0"/>
        <w:i w:val="0"/>
        <w:sz w:val="22"/>
        <w:szCs w:val="22"/>
      </w:rPr>
    </w:lvl>
    <w:lvl w:ilvl="2">
      <w:start w:val="1"/>
      <w:numFmt w:val="decimal"/>
      <w:lvlText w:val="%1.%2.%3."/>
      <w:lvlJc w:val="left"/>
      <w:pPr>
        <w:ind w:left="1701" w:hanging="850"/>
      </w:pPr>
      <w:rPr>
        <w:rFonts w:hint="default"/>
        <w:b w:val="0"/>
        <w:i w:val="0"/>
      </w:rPr>
    </w:lvl>
    <w:lvl w:ilvl="3">
      <w:start w:val="1"/>
      <w:numFmt w:val="decimal"/>
      <w:lvlText w:val="%1.%2.%3.%4."/>
      <w:lvlJc w:val="left"/>
      <w:pPr>
        <w:ind w:left="2552" w:hanging="851"/>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E32D3C"/>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3AC1B03"/>
    <w:multiLevelType w:val="hybridMultilevel"/>
    <w:tmpl w:val="FC0CF3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3330CD"/>
    <w:multiLevelType w:val="multilevel"/>
    <w:tmpl w:val="EFAA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C68BD"/>
    <w:multiLevelType w:val="multilevel"/>
    <w:tmpl w:val="C6927E76"/>
    <w:lvl w:ilvl="0">
      <w:start w:val="1"/>
      <w:numFmt w:val="decimal"/>
      <w:lvlText w:val="%1."/>
      <w:lvlJc w:val="left"/>
      <w:pPr>
        <w:ind w:left="851" w:hanging="851"/>
      </w:pPr>
      <w:rPr>
        <w:rFonts w:cs="Times New Roman" w:hint="default"/>
        <w:b/>
        <w:bCs/>
        <w:i w:val="0"/>
        <w:iCs w:val="0"/>
      </w:rPr>
    </w:lvl>
    <w:lvl w:ilvl="1">
      <w:start w:val="1"/>
      <w:numFmt w:val="decimal"/>
      <w:lvlText w:val="%1.%2."/>
      <w:lvlJc w:val="left"/>
      <w:pPr>
        <w:ind w:left="851" w:hanging="851"/>
      </w:pPr>
      <w:rPr>
        <w:rFonts w:cs="Times New Roman" w:hint="default"/>
        <w:b w:val="0"/>
        <w:i w:val="0"/>
      </w:rPr>
    </w:lvl>
    <w:lvl w:ilvl="2">
      <w:start w:val="1"/>
      <w:numFmt w:val="decimal"/>
      <w:lvlText w:val="%1.%2.%3."/>
      <w:lvlJc w:val="left"/>
      <w:pPr>
        <w:ind w:left="1701" w:hanging="850"/>
      </w:pPr>
      <w:rPr>
        <w:rFonts w:cs="Times New Roman" w:hint="default"/>
        <w:b w:val="0"/>
        <w:i w:val="0"/>
      </w:rPr>
    </w:lvl>
    <w:lvl w:ilvl="3">
      <w:start w:val="1"/>
      <w:numFmt w:val="decimal"/>
      <w:lvlText w:val="%1.%2.%3.%4."/>
      <w:lvlJc w:val="left"/>
      <w:pPr>
        <w:ind w:left="2552" w:hanging="851"/>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4A143764"/>
    <w:multiLevelType w:val="hybridMultilevel"/>
    <w:tmpl w:val="CCAC6D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D567D1"/>
    <w:multiLevelType w:val="hybridMultilevel"/>
    <w:tmpl w:val="35045786"/>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5FC979C6"/>
    <w:multiLevelType w:val="hybridMultilevel"/>
    <w:tmpl w:val="CF2EB2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7264A9"/>
    <w:multiLevelType w:val="hybridMultilevel"/>
    <w:tmpl w:val="0C22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5441BE"/>
    <w:multiLevelType w:val="hybridMultilevel"/>
    <w:tmpl w:val="CC70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D7EF3"/>
    <w:multiLevelType w:val="hybridMultilevel"/>
    <w:tmpl w:val="00CAB7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C444D7"/>
    <w:multiLevelType w:val="hybridMultilevel"/>
    <w:tmpl w:val="70781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DEA6951"/>
    <w:multiLevelType w:val="hybridMultilevel"/>
    <w:tmpl w:val="303CB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3B6C12"/>
    <w:multiLevelType w:val="hybridMultilevel"/>
    <w:tmpl w:val="6CA2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8F7133"/>
    <w:multiLevelType w:val="hybridMultilevel"/>
    <w:tmpl w:val="10527A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5"/>
  </w:num>
  <w:num w:numId="3">
    <w:abstractNumId w:val="9"/>
  </w:num>
  <w:num w:numId="4">
    <w:abstractNumId w:val="7"/>
  </w:num>
  <w:num w:numId="5">
    <w:abstractNumId w:val="18"/>
  </w:num>
  <w:num w:numId="6">
    <w:abstractNumId w:val="15"/>
  </w:num>
  <w:num w:numId="7">
    <w:abstractNumId w:val="16"/>
  </w:num>
  <w:num w:numId="8">
    <w:abstractNumId w:val="10"/>
  </w:num>
  <w:num w:numId="9">
    <w:abstractNumId w:val="17"/>
  </w:num>
  <w:num w:numId="10">
    <w:abstractNumId w:val="20"/>
  </w:num>
  <w:num w:numId="11">
    <w:abstractNumId w:val="1"/>
  </w:num>
  <w:num w:numId="12">
    <w:abstractNumId w:val="21"/>
  </w:num>
  <w:num w:numId="13">
    <w:abstractNumId w:val="22"/>
  </w:num>
  <w:num w:numId="14">
    <w:abstractNumId w:val="0"/>
  </w:num>
  <w:num w:numId="15">
    <w:abstractNumId w:val="4"/>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4"/>
  </w:num>
  <w:num w:numId="30">
    <w:abstractNumId w:val="11"/>
  </w:num>
  <w:num w:numId="31">
    <w:abstractNumId w:val="8"/>
  </w:num>
  <w:num w:numId="32">
    <w:abstractNumId w:val="3"/>
  </w:num>
  <w:num w:numId="33">
    <w:abstractNumId w:val="6"/>
  </w:num>
  <w:num w:numId="34">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94"/>
    <w:rsid w:val="0000249C"/>
    <w:rsid w:val="00002990"/>
    <w:rsid w:val="00011819"/>
    <w:rsid w:val="000123F9"/>
    <w:rsid w:val="00015281"/>
    <w:rsid w:val="00030447"/>
    <w:rsid w:val="00041D2E"/>
    <w:rsid w:val="00043867"/>
    <w:rsid w:val="000607E9"/>
    <w:rsid w:val="00083F27"/>
    <w:rsid w:val="00086FDB"/>
    <w:rsid w:val="0009441A"/>
    <w:rsid w:val="000949C1"/>
    <w:rsid w:val="000A6638"/>
    <w:rsid w:val="000B2609"/>
    <w:rsid w:val="000B6162"/>
    <w:rsid w:val="000C4928"/>
    <w:rsid w:val="000F34C4"/>
    <w:rsid w:val="000F52FE"/>
    <w:rsid w:val="0011228A"/>
    <w:rsid w:val="00114F9E"/>
    <w:rsid w:val="00117AE2"/>
    <w:rsid w:val="00140DE9"/>
    <w:rsid w:val="00142AE7"/>
    <w:rsid w:val="00145008"/>
    <w:rsid w:val="0014753F"/>
    <w:rsid w:val="00173EF4"/>
    <w:rsid w:val="0019519A"/>
    <w:rsid w:val="001A038F"/>
    <w:rsid w:val="001A6596"/>
    <w:rsid w:val="001E051E"/>
    <w:rsid w:val="001F276E"/>
    <w:rsid w:val="001F30AB"/>
    <w:rsid w:val="001F3409"/>
    <w:rsid w:val="002071A5"/>
    <w:rsid w:val="00212229"/>
    <w:rsid w:val="00215101"/>
    <w:rsid w:val="00230B7C"/>
    <w:rsid w:val="00235C64"/>
    <w:rsid w:val="00237318"/>
    <w:rsid w:val="00243DAF"/>
    <w:rsid w:val="002512AC"/>
    <w:rsid w:val="002516D1"/>
    <w:rsid w:val="002648F3"/>
    <w:rsid w:val="00273B6A"/>
    <w:rsid w:val="002744DA"/>
    <w:rsid w:val="00291BE4"/>
    <w:rsid w:val="00296B4C"/>
    <w:rsid w:val="002A3CFC"/>
    <w:rsid w:val="002A6515"/>
    <w:rsid w:val="002B057E"/>
    <w:rsid w:val="002C33D3"/>
    <w:rsid w:val="002D128C"/>
    <w:rsid w:val="002D44BF"/>
    <w:rsid w:val="002D5F40"/>
    <w:rsid w:val="002E2033"/>
    <w:rsid w:val="002E2A26"/>
    <w:rsid w:val="002F6CFB"/>
    <w:rsid w:val="003029CF"/>
    <w:rsid w:val="00305397"/>
    <w:rsid w:val="003126B1"/>
    <w:rsid w:val="00312F0F"/>
    <w:rsid w:val="00317DCB"/>
    <w:rsid w:val="00325ECD"/>
    <w:rsid w:val="00326E9B"/>
    <w:rsid w:val="00336257"/>
    <w:rsid w:val="003513C6"/>
    <w:rsid w:val="0035625A"/>
    <w:rsid w:val="00361B4D"/>
    <w:rsid w:val="0036380C"/>
    <w:rsid w:val="003731D2"/>
    <w:rsid w:val="00386C79"/>
    <w:rsid w:val="00386E7E"/>
    <w:rsid w:val="003870DD"/>
    <w:rsid w:val="003A01F6"/>
    <w:rsid w:val="003B5288"/>
    <w:rsid w:val="003C69B4"/>
    <w:rsid w:val="003E279A"/>
    <w:rsid w:val="003E68FE"/>
    <w:rsid w:val="00417576"/>
    <w:rsid w:val="004230AB"/>
    <w:rsid w:val="00433312"/>
    <w:rsid w:val="004436CF"/>
    <w:rsid w:val="00445880"/>
    <w:rsid w:val="00452F94"/>
    <w:rsid w:val="00461168"/>
    <w:rsid w:val="00492C7D"/>
    <w:rsid w:val="004A13FB"/>
    <w:rsid w:val="004A2364"/>
    <w:rsid w:val="004B4F96"/>
    <w:rsid w:val="004C3ECE"/>
    <w:rsid w:val="004D4855"/>
    <w:rsid w:val="004E6EDB"/>
    <w:rsid w:val="004F20B4"/>
    <w:rsid w:val="00515326"/>
    <w:rsid w:val="005247C6"/>
    <w:rsid w:val="0054211F"/>
    <w:rsid w:val="00546710"/>
    <w:rsid w:val="00573259"/>
    <w:rsid w:val="005826CD"/>
    <w:rsid w:val="00584997"/>
    <w:rsid w:val="00597B58"/>
    <w:rsid w:val="005B2E8C"/>
    <w:rsid w:val="005C505E"/>
    <w:rsid w:val="005D243D"/>
    <w:rsid w:val="005F378C"/>
    <w:rsid w:val="005F504A"/>
    <w:rsid w:val="00616CE2"/>
    <w:rsid w:val="0062387F"/>
    <w:rsid w:val="0062472D"/>
    <w:rsid w:val="00634AD7"/>
    <w:rsid w:val="0064525F"/>
    <w:rsid w:val="00645809"/>
    <w:rsid w:val="00645E50"/>
    <w:rsid w:val="00652290"/>
    <w:rsid w:val="00655923"/>
    <w:rsid w:val="00657B11"/>
    <w:rsid w:val="0066293F"/>
    <w:rsid w:val="006640BA"/>
    <w:rsid w:val="006728F8"/>
    <w:rsid w:val="00682E30"/>
    <w:rsid w:val="006942BD"/>
    <w:rsid w:val="00697B36"/>
    <w:rsid w:val="006B26A4"/>
    <w:rsid w:val="006B35A1"/>
    <w:rsid w:val="006B4EF9"/>
    <w:rsid w:val="006C28D0"/>
    <w:rsid w:val="006F2579"/>
    <w:rsid w:val="006F39EC"/>
    <w:rsid w:val="006F5C8C"/>
    <w:rsid w:val="00740DB3"/>
    <w:rsid w:val="007533D2"/>
    <w:rsid w:val="0075682D"/>
    <w:rsid w:val="007719A8"/>
    <w:rsid w:val="0077643D"/>
    <w:rsid w:val="0079184D"/>
    <w:rsid w:val="007A3F9B"/>
    <w:rsid w:val="007A7879"/>
    <w:rsid w:val="007B17BD"/>
    <w:rsid w:val="007D3D3E"/>
    <w:rsid w:val="007E4351"/>
    <w:rsid w:val="007E4851"/>
    <w:rsid w:val="008107B1"/>
    <w:rsid w:val="00816045"/>
    <w:rsid w:val="008205B7"/>
    <w:rsid w:val="00820757"/>
    <w:rsid w:val="0083192C"/>
    <w:rsid w:val="00832CE0"/>
    <w:rsid w:val="008738F0"/>
    <w:rsid w:val="00886DC2"/>
    <w:rsid w:val="00890621"/>
    <w:rsid w:val="00890B64"/>
    <w:rsid w:val="00892878"/>
    <w:rsid w:val="008963E4"/>
    <w:rsid w:val="008A4287"/>
    <w:rsid w:val="008C7272"/>
    <w:rsid w:val="008D2BFB"/>
    <w:rsid w:val="008D5471"/>
    <w:rsid w:val="008E5DBE"/>
    <w:rsid w:val="008F3534"/>
    <w:rsid w:val="008F35C9"/>
    <w:rsid w:val="008F5242"/>
    <w:rsid w:val="009238B6"/>
    <w:rsid w:val="009517AB"/>
    <w:rsid w:val="00961525"/>
    <w:rsid w:val="009969F3"/>
    <w:rsid w:val="009978F6"/>
    <w:rsid w:val="009A6D8F"/>
    <w:rsid w:val="009D71C3"/>
    <w:rsid w:val="009E7805"/>
    <w:rsid w:val="009F21B9"/>
    <w:rsid w:val="009F2D7A"/>
    <w:rsid w:val="009F5AA2"/>
    <w:rsid w:val="00A053E4"/>
    <w:rsid w:val="00A07D5D"/>
    <w:rsid w:val="00A20452"/>
    <w:rsid w:val="00A43CF8"/>
    <w:rsid w:val="00A651AA"/>
    <w:rsid w:val="00A67EB3"/>
    <w:rsid w:val="00A704BE"/>
    <w:rsid w:val="00A734EB"/>
    <w:rsid w:val="00A86EFC"/>
    <w:rsid w:val="00A97D49"/>
    <w:rsid w:val="00AA1DAE"/>
    <w:rsid w:val="00AB75D2"/>
    <w:rsid w:val="00AC7EE9"/>
    <w:rsid w:val="00AD05B4"/>
    <w:rsid w:val="00AD2AEA"/>
    <w:rsid w:val="00AF17A5"/>
    <w:rsid w:val="00AF3D14"/>
    <w:rsid w:val="00B0070F"/>
    <w:rsid w:val="00B01D18"/>
    <w:rsid w:val="00B248EA"/>
    <w:rsid w:val="00B376EB"/>
    <w:rsid w:val="00B3785F"/>
    <w:rsid w:val="00B4545A"/>
    <w:rsid w:val="00B52B8F"/>
    <w:rsid w:val="00B8599A"/>
    <w:rsid w:val="00B964AF"/>
    <w:rsid w:val="00BA3AC7"/>
    <w:rsid w:val="00BA71C5"/>
    <w:rsid w:val="00BB55E2"/>
    <w:rsid w:val="00BD5AE9"/>
    <w:rsid w:val="00BF16B2"/>
    <w:rsid w:val="00C07034"/>
    <w:rsid w:val="00C11B82"/>
    <w:rsid w:val="00C13ACB"/>
    <w:rsid w:val="00C208E9"/>
    <w:rsid w:val="00C21878"/>
    <w:rsid w:val="00C233FD"/>
    <w:rsid w:val="00C25D33"/>
    <w:rsid w:val="00C30851"/>
    <w:rsid w:val="00C46789"/>
    <w:rsid w:val="00C652CC"/>
    <w:rsid w:val="00C73639"/>
    <w:rsid w:val="00C82EBB"/>
    <w:rsid w:val="00C87322"/>
    <w:rsid w:val="00C87504"/>
    <w:rsid w:val="00C97B30"/>
    <w:rsid w:val="00CA1282"/>
    <w:rsid w:val="00CB35AA"/>
    <w:rsid w:val="00CB6082"/>
    <w:rsid w:val="00CC3486"/>
    <w:rsid w:val="00CC394F"/>
    <w:rsid w:val="00CD1F1E"/>
    <w:rsid w:val="00CF515D"/>
    <w:rsid w:val="00D05587"/>
    <w:rsid w:val="00D078E4"/>
    <w:rsid w:val="00D118F0"/>
    <w:rsid w:val="00D12778"/>
    <w:rsid w:val="00D1365E"/>
    <w:rsid w:val="00D212BC"/>
    <w:rsid w:val="00D253EF"/>
    <w:rsid w:val="00D41E91"/>
    <w:rsid w:val="00D446E0"/>
    <w:rsid w:val="00D4635D"/>
    <w:rsid w:val="00D60F56"/>
    <w:rsid w:val="00D80D8E"/>
    <w:rsid w:val="00D90ABE"/>
    <w:rsid w:val="00D91B1E"/>
    <w:rsid w:val="00DC4CC8"/>
    <w:rsid w:val="00DD33AC"/>
    <w:rsid w:val="00DD7681"/>
    <w:rsid w:val="00DE2C3A"/>
    <w:rsid w:val="00DF299A"/>
    <w:rsid w:val="00DF5640"/>
    <w:rsid w:val="00E14791"/>
    <w:rsid w:val="00E17B35"/>
    <w:rsid w:val="00E373E0"/>
    <w:rsid w:val="00E57836"/>
    <w:rsid w:val="00E64056"/>
    <w:rsid w:val="00E81875"/>
    <w:rsid w:val="00EA2A9F"/>
    <w:rsid w:val="00EC5DF6"/>
    <w:rsid w:val="00EC6E91"/>
    <w:rsid w:val="00ED2794"/>
    <w:rsid w:val="00EE3E51"/>
    <w:rsid w:val="00EF1965"/>
    <w:rsid w:val="00F10140"/>
    <w:rsid w:val="00F1593F"/>
    <w:rsid w:val="00F20D73"/>
    <w:rsid w:val="00F2420E"/>
    <w:rsid w:val="00F271CC"/>
    <w:rsid w:val="00F53361"/>
    <w:rsid w:val="00F53CFE"/>
    <w:rsid w:val="00F6041B"/>
    <w:rsid w:val="00F6496E"/>
    <w:rsid w:val="00F74FA6"/>
    <w:rsid w:val="00F82095"/>
    <w:rsid w:val="00F82C05"/>
    <w:rsid w:val="00F85F7E"/>
    <w:rsid w:val="00F9293B"/>
    <w:rsid w:val="00F9453D"/>
    <w:rsid w:val="00FA691C"/>
    <w:rsid w:val="00FB260E"/>
    <w:rsid w:val="00FF1B33"/>
    <w:rsid w:val="00FF4839"/>
    <w:rsid w:val="00FF7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DE9E7"/>
  <w15:docId w15:val="{5C19AE54-C6DF-4CE3-B61B-05884ADB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291BE4"/>
    <w:pPr>
      <w:keepNext/>
      <w:numPr>
        <w:numId w:val="3"/>
      </w:numPr>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21510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BE4"/>
    <w:rPr>
      <w:rFonts w:ascii="Arial" w:hAnsi="Arial" w:cs="Arial"/>
      <w:b/>
      <w:bCs/>
      <w:kern w:val="32"/>
      <w:sz w:val="32"/>
      <w:szCs w:val="32"/>
    </w:rPr>
  </w:style>
  <w:style w:type="paragraph" w:styleId="ListParagraph">
    <w:name w:val="List Paragraph"/>
    <w:basedOn w:val="Normal"/>
    <w:uiPriority w:val="34"/>
    <w:qFormat/>
    <w:rsid w:val="00CC394F"/>
    <w:pPr>
      <w:ind w:left="720"/>
      <w:contextualSpacing/>
    </w:pPr>
  </w:style>
  <w:style w:type="table" w:styleId="TableGrid">
    <w:name w:val="Table Grid"/>
    <w:basedOn w:val="TableNormal"/>
    <w:rsid w:val="00CC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C394F"/>
    <w:pPr>
      <w:tabs>
        <w:tab w:val="center" w:pos="4513"/>
        <w:tab w:val="right" w:pos="9026"/>
      </w:tabs>
    </w:pPr>
  </w:style>
  <w:style w:type="character" w:customStyle="1" w:styleId="HeaderChar">
    <w:name w:val="Header Char"/>
    <w:basedOn w:val="DefaultParagraphFont"/>
    <w:link w:val="Header"/>
    <w:rsid w:val="00CC394F"/>
    <w:rPr>
      <w:rFonts w:ascii="Arial" w:hAnsi="Arial"/>
      <w:sz w:val="24"/>
      <w:szCs w:val="24"/>
    </w:rPr>
  </w:style>
  <w:style w:type="paragraph" w:styleId="Footer">
    <w:name w:val="footer"/>
    <w:basedOn w:val="Normal"/>
    <w:link w:val="FooterChar"/>
    <w:uiPriority w:val="99"/>
    <w:rsid w:val="00CC394F"/>
    <w:pPr>
      <w:tabs>
        <w:tab w:val="center" w:pos="4513"/>
        <w:tab w:val="right" w:pos="9026"/>
      </w:tabs>
    </w:pPr>
  </w:style>
  <w:style w:type="character" w:customStyle="1" w:styleId="FooterChar">
    <w:name w:val="Footer Char"/>
    <w:basedOn w:val="DefaultParagraphFont"/>
    <w:link w:val="Footer"/>
    <w:uiPriority w:val="99"/>
    <w:rsid w:val="00CC394F"/>
    <w:rPr>
      <w:rFonts w:ascii="Arial" w:hAnsi="Arial"/>
      <w:sz w:val="24"/>
      <w:szCs w:val="24"/>
    </w:rPr>
  </w:style>
  <w:style w:type="paragraph" w:styleId="BalloonText">
    <w:name w:val="Balloon Text"/>
    <w:basedOn w:val="Normal"/>
    <w:link w:val="BalloonTextChar"/>
    <w:rsid w:val="00CC394F"/>
    <w:rPr>
      <w:rFonts w:ascii="Tahoma" w:hAnsi="Tahoma" w:cs="Tahoma"/>
      <w:sz w:val="16"/>
      <w:szCs w:val="16"/>
    </w:rPr>
  </w:style>
  <w:style w:type="character" w:customStyle="1" w:styleId="BalloonTextChar">
    <w:name w:val="Balloon Text Char"/>
    <w:basedOn w:val="DefaultParagraphFont"/>
    <w:link w:val="BalloonText"/>
    <w:rsid w:val="00CC394F"/>
    <w:rPr>
      <w:rFonts w:ascii="Tahoma" w:hAnsi="Tahoma" w:cs="Tahoma"/>
      <w:sz w:val="16"/>
      <w:szCs w:val="16"/>
    </w:rPr>
  </w:style>
  <w:style w:type="character" w:customStyle="1" w:styleId="NormalChar">
    <w:name w:val="[Normal] Char"/>
    <w:link w:val="Normal0"/>
    <w:locked/>
    <w:rsid w:val="00CC394F"/>
    <w:rPr>
      <w:rFonts w:ascii="Arial" w:hAnsi="Arial" w:cs="Arial"/>
      <w:sz w:val="24"/>
      <w:szCs w:val="24"/>
    </w:rPr>
  </w:style>
  <w:style w:type="paragraph" w:customStyle="1" w:styleId="Normal0">
    <w:name w:val="[Normal]"/>
    <w:link w:val="NormalChar"/>
    <w:rsid w:val="00CC394F"/>
    <w:pPr>
      <w:autoSpaceDE w:val="0"/>
      <w:autoSpaceDN w:val="0"/>
      <w:adjustRightInd w:val="0"/>
    </w:pPr>
    <w:rPr>
      <w:rFonts w:ascii="Arial" w:hAnsi="Arial" w:cs="Arial"/>
      <w:sz w:val="24"/>
      <w:szCs w:val="24"/>
    </w:rPr>
  </w:style>
  <w:style w:type="character" w:styleId="CommentReference">
    <w:name w:val="annotation reference"/>
    <w:rsid w:val="00AF17A5"/>
    <w:rPr>
      <w:sz w:val="16"/>
      <w:szCs w:val="16"/>
    </w:rPr>
  </w:style>
  <w:style w:type="paragraph" w:styleId="CommentText">
    <w:name w:val="annotation text"/>
    <w:basedOn w:val="Normal"/>
    <w:link w:val="CommentTextChar"/>
    <w:rsid w:val="00AF17A5"/>
    <w:rPr>
      <w:sz w:val="20"/>
      <w:szCs w:val="20"/>
    </w:rPr>
  </w:style>
  <w:style w:type="character" w:customStyle="1" w:styleId="CommentTextChar">
    <w:name w:val="Comment Text Char"/>
    <w:basedOn w:val="DefaultParagraphFont"/>
    <w:link w:val="CommentText"/>
    <w:rsid w:val="00AF17A5"/>
    <w:rPr>
      <w:rFonts w:ascii="Arial" w:hAnsi="Arial"/>
    </w:rPr>
  </w:style>
  <w:style w:type="paragraph" w:customStyle="1" w:styleId="Default">
    <w:name w:val="Default"/>
    <w:rsid w:val="00F6496E"/>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4436CF"/>
    <w:rPr>
      <w:b/>
      <w:bCs/>
    </w:rPr>
  </w:style>
  <w:style w:type="character" w:customStyle="1" w:styleId="CommentSubjectChar">
    <w:name w:val="Comment Subject Char"/>
    <w:basedOn w:val="CommentTextChar"/>
    <w:link w:val="CommentSubject"/>
    <w:rsid w:val="004436CF"/>
    <w:rPr>
      <w:rFonts w:ascii="Arial" w:hAnsi="Arial"/>
      <w:b/>
      <w:bCs/>
    </w:rPr>
  </w:style>
  <w:style w:type="character" w:styleId="PageNumber">
    <w:name w:val="page number"/>
    <w:basedOn w:val="DefaultParagraphFont"/>
    <w:rsid w:val="00291BE4"/>
  </w:style>
  <w:style w:type="paragraph" w:styleId="BodyText">
    <w:name w:val="Body Text"/>
    <w:basedOn w:val="Normal"/>
    <w:link w:val="BodyTextChar"/>
    <w:rsid w:val="00291BE4"/>
    <w:pPr>
      <w:spacing w:line="360" w:lineRule="auto"/>
      <w:ind w:right="-475"/>
      <w:jc w:val="both"/>
    </w:pPr>
    <w:rPr>
      <w:sz w:val="22"/>
      <w:szCs w:val="20"/>
    </w:rPr>
  </w:style>
  <w:style w:type="character" w:customStyle="1" w:styleId="BodyTextChar">
    <w:name w:val="Body Text Char"/>
    <w:basedOn w:val="DefaultParagraphFont"/>
    <w:link w:val="BodyText"/>
    <w:rsid w:val="00291BE4"/>
    <w:rPr>
      <w:rFonts w:ascii="Arial" w:hAnsi="Arial"/>
      <w:sz w:val="22"/>
    </w:rPr>
  </w:style>
  <w:style w:type="character" w:styleId="Hyperlink">
    <w:name w:val="Hyperlink"/>
    <w:rsid w:val="00291BE4"/>
    <w:rPr>
      <w:color w:val="0000FF"/>
      <w:u w:val="single"/>
    </w:rPr>
  </w:style>
  <w:style w:type="character" w:styleId="Emphasis">
    <w:name w:val="Emphasis"/>
    <w:uiPriority w:val="20"/>
    <w:qFormat/>
    <w:rsid w:val="00291BE4"/>
    <w:rPr>
      <w:i/>
      <w:iCs/>
    </w:rPr>
  </w:style>
  <w:style w:type="character" w:customStyle="1" w:styleId="st">
    <w:name w:val="st"/>
    <w:rsid w:val="00291BE4"/>
  </w:style>
  <w:style w:type="character" w:customStyle="1" w:styleId="f">
    <w:name w:val="f"/>
    <w:rsid w:val="00291BE4"/>
  </w:style>
  <w:style w:type="paragraph" w:customStyle="1" w:styleId="Pa0">
    <w:name w:val="Pa0"/>
    <w:basedOn w:val="Default"/>
    <w:next w:val="Default"/>
    <w:uiPriority w:val="99"/>
    <w:rsid w:val="00291BE4"/>
    <w:pPr>
      <w:spacing w:line="240" w:lineRule="atLeast"/>
    </w:pPr>
    <w:rPr>
      <w:color w:val="auto"/>
    </w:rPr>
  </w:style>
  <w:style w:type="character" w:customStyle="1" w:styleId="A2">
    <w:name w:val="A2"/>
    <w:uiPriority w:val="99"/>
    <w:rsid w:val="00291BE4"/>
    <w:rPr>
      <w:color w:val="000000"/>
      <w:sz w:val="22"/>
      <w:szCs w:val="22"/>
    </w:rPr>
  </w:style>
  <w:style w:type="paragraph" w:styleId="Revision">
    <w:name w:val="Revision"/>
    <w:hidden/>
    <w:uiPriority w:val="99"/>
    <w:semiHidden/>
    <w:rsid w:val="00212229"/>
    <w:rPr>
      <w:rFonts w:ascii="Arial" w:hAnsi="Arial"/>
      <w:sz w:val="24"/>
      <w:szCs w:val="24"/>
    </w:rPr>
  </w:style>
  <w:style w:type="character" w:customStyle="1" w:styleId="Heading2Char">
    <w:name w:val="Heading 2 Char"/>
    <w:basedOn w:val="DefaultParagraphFont"/>
    <w:link w:val="Heading2"/>
    <w:semiHidden/>
    <w:rsid w:val="00215101"/>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7A7879"/>
    <w:rPr>
      <w:b/>
      <w:bCs/>
    </w:rPr>
  </w:style>
  <w:style w:type="character" w:customStyle="1" w:styleId="apple-converted-space">
    <w:name w:val="apple-converted-space"/>
    <w:basedOn w:val="DefaultParagraphFont"/>
    <w:rsid w:val="007A7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06805">
      <w:bodyDiv w:val="1"/>
      <w:marLeft w:val="0"/>
      <w:marRight w:val="0"/>
      <w:marTop w:val="0"/>
      <w:marBottom w:val="0"/>
      <w:divBdr>
        <w:top w:val="none" w:sz="0" w:space="0" w:color="auto"/>
        <w:left w:val="none" w:sz="0" w:space="0" w:color="auto"/>
        <w:bottom w:val="none" w:sz="0" w:space="0" w:color="auto"/>
        <w:right w:val="none" w:sz="0" w:space="0" w:color="auto"/>
      </w:divBdr>
    </w:div>
    <w:div w:id="366680463">
      <w:bodyDiv w:val="1"/>
      <w:marLeft w:val="0"/>
      <w:marRight w:val="0"/>
      <w:marTop w:val="0"/>
      <w:marBottom w:val="0"/>
      <w:divBdr>
        <w:top w:val="none" w:sz="0" w:space="0" w:color="auto"/>
        <w:left w:val="none" w:sz="0" w:space="0" w:color="auto"/>
        <w:bottom w:val="none" w:sz="0" w:space="0" w:color="auto"/>
        <w:right w:val="none" w:sz="0" w:space="0" w:color="auto"/>
      </w:divBdr>
    </w:div>
    <w:div w:id="484860898">
      <w:bodyDiv w:val="1"/>
      <w:marLeft w:val="0"/>
      <w:marRight w:val="0"/>
      <w:marTop w:val="0"/>
      <w:marBottom w:val="0"/>
      <w:divBdr>
        <w:top w:val="none" w:sz="0" w:space="0" w:color="auto"/>
        <w:left w:val="none" w:sz="0" w:space="0" w:color="auto"/>
        <w:bottom w:val="none" w:sz="0" w:space="0" w:color="auto"/>
        <w:right w:val="none" w:sz="0" w:space="0" w:color="auto"/>
      </w:divBdr>
    </w:div>
    <w:div w:id="500318036">
      <w:bodyDiv w:val="1"/>
      <w:marLeft w:val="0"/>
      <w:marRight w:val="0"/>
      <w:marTop w:val="0"/>
      <w:marBottom w:val="0"/>
      <w:divBdr>
        <w:top w:val="none" w:sz="0" w:space="0" w:color="auto"/>
        <w:left w:val="none" w:sz="0" w:space="0" w:color="auto"/>
        <w:bottom w:val="none" w:sz="0" w:space="0" w:color="auto"/>
        <w:right w:val="none" w:sz="0" w:space="0" w:color="auto"/>
      </w:divBdr>
    </w:div>
    <w:div w:id="843327104">
      <w:bodyDiv w:val="1"/>
      <w:marLeft w:val="0"/>
      <w:marRight w:val="0"/>
      <w:marTop w:val="0"/>
      <w:marBottom w:val="0"/>
      <w:divBdr>
        <w:top w:val="none" w:sz="0" w:space="0" w:color="auto"/>
        <w:left w:val="none" w:sz="0" w:space="0" w:color="auto"/>
        <w:bottom w:val="none" w:sz="0" w:space="0" w:color="auto"/>
        <w:right w:val="none" w:sz="0" w:space="0" w:color="auto"/>
      </w:divBdr>
      <w:divsChild>
        <w:div w:id="1609580844">
          <w:marLeft w:val="0"/>
          <w:marRight w:val="0"/>
          <w:marTop w:val="0"/>
          <w:marBottom w:val="0"/>
          <w:divBdr>
            <w:top w:val="none" w:sz="0" w:space="0" w:color="auto"/>
            <w:left w:val="none" w:sz="0" w:space="0" w:color="auto"/>
            <w:bottom w:val="single" w:sz="6" w:space="1" w:color="auto"/>
            <w:right w:val="none" w:sz="0" w:space="0" w:color="auto"/>
          </w:divBdr>
        </w:div>
        <w:div w:id="1503858334">
          <w:marLeft w:val="0"/>
          <w:marRight w:val="0"/>
          <w:marTop w:val="0"/>
          <w:marBottom w:val="0"/>
          <w:divBdr>
            <w:top w:val="none" w:sz="0" w:space="0" w:color="auto"/>
            <w:left w:val="none" w:sz="0" w:space="0" w:color="auto"/>
            <w:bottom w:val="single" w:sz="6" w:space="1" w:color="auto"/>
            <w:right w:val="none" w:sz="0" w:space="0" w:color="auto"/>
          </w:divBdr>
        </w:div>
        <w:div w:id="1195853187">
          <w:marLeft w:val="0"/>
          <w:marRight w:val="0"/>
          <w:marTop w:val="0"/>
          <w:marBottom w:val="0"/>
          <w:divBdr>
            <w:top w:val="none" w:sz="0" w:space="0" w:color="auto"/>
            <w:left w:val="none" w:sz="0" w:space="0" w:color="auto"/>
            <w:bottom w:val="single" w:sz="6" w:space="1" w:color="auto"/>
            <w:right w:val="none" w:sz="0" w:space="0" w:color="auto"/>
          </w:divBdr>
        </w:div>
        <w:div w:id="1162625265">
          <w:marLeft w:val="0"/>
          <w:marRight w:val="0"/>
          <w:marTop w:val="0"/>
          <w:marBottom w:val="0"/>
          <w:divBdr>
            <w:top w:val="none" w:sz="0" w:space="0" w:color="auto"/>
            <w:left w:val="none" w:sz="0" w:space="0" w:color="auto"/>
            <w:bottom w:val="single" w:sz="6" w:space="1" w:color="auto"/>
            <w:right w:val="none" w:sz="0" w:space="0" w:color="auto"/>
          </w:divBdr>
        </w:div>
        <w:div w:id="2101564971">
          <w:marLeft w:val="0"/>
          <w:marRight w:val="0"/>
          <w:marTop w:val="0"/>
          <w:marBottom w:val="0"/>
          <w:divBdr>
            <w:top w:val="none" w:sz="0" w:space="0" w:color="auto"/>
            <w:left w:val="none" w:sz="0" w:space="0" w:color="auto"/>
            <w:bottom w:val="single" w:sz="6" w:space="1" w:color="auto"/>
            <w:right w:val="none" w:sz="0" w:space="0" w:color="auto"/>
          </w:divBdr>
        </w:div>
        <w:div w:id="1266378481">
          <w:marLeft w:val="0"/>
          <w:marRight w:val="0"/>
          <w:marTop w:val="0"/>
          <w:marBottom w:val="0"/>
          <w:divBdr>
            <w:top w:val="none" w:sz="0" w:space="0" w:color="auto"/>
            <w:left w:val="none" w:sz="0" w:space="0" w:color="auto"/>
            <w:bottom w:val="single" w:sz="6" w:space="1" w:color="auto"/>
            <w:right w:val="none" w:sz="0" w:space="0" w:color="auto"/>
          </w:divBdr>
        </w:div>
        <w:div w:id="1488739851">
          <w:marLeft w:val="0"/>
          <w:marRight w:val="0"/>
          <w:marTop w:val="0"/>
          <w:marBottom w:val="0"/>
          <w:divBdr>
            <w:top w:val="none" w:sz="0" w:space="0" w:color="auto"/>
            <w:left w:val="none" w:sz="0" w:space="0" w:color="auto"/>
            <w:bottom w:val="single" w:sz="6" w:space="1" w:color="auto"/>
            <w:right w:val="none" w:sz="0" w:space="0" w:color="auto"/>
          </w:divBdr>
        </w:div>
        <w:div w:id="1993606964">
          <w:marLeft w:val="0"/>
          <w:marRight w:val="0"/>
          <w:marTop w:val="0"/>
          <w:marBottom w:val="0"/>
          <w:divBdr>
            <w:top w:val="none" w:sz="0" w:space="0" w:color="auto"/>
            <w:left w:val="none" w:sz="0" w:space="0" w:color="auto"/>
            <w:bottom w:val="single" w:sz="6" w:space="1" w:color="auto"/>
            <w:right w:val="none" w:sz="0" w:space="0" w:color="auto"/>
          </w:divBdr>
        </w:div>
      </w:divsChild>
    </w:div>
    <w:div w:id="886991052">
      <w:bodyDiv w:val="1"/>
      <w:marLeft w:val="0"/>
      <w:marRight w:val="0"/>
      <w:marTop w:val="0"/>
      <w:marBottom w:val="0"/>
      <w:divBdr>
        <w:top w:val="none" w:sz="0" w:space="0" w:color="auto"/>
        <w:left w:val="none" w:sz="0" w:space="0" w:color="auto"/>
        <w:bottom w:val="none" w:sz="0" w:space="0" w:color="auto"/>
        <w:right w:val="none" w:sz="0" w:space="0" w:color="auto"/>
      </w:divBdr>
    </w:div>
    <w:div w:id="1015427390">
      <w:bodyDiv w:val="1"/>
      <w:marLeft w:val="0"/>
      <w:marRight w:val="0"/>
      <w:marTop w:val="0"/>
      <w:marBottom w:val="0"/>
      <w:divBdr>
        <w:top w:val="none" w:sz="0" w:space="0" w:color="auto"/>
        <w:left w:val="none" w:sz="0" w:space="0" w:color="auto"/>
        <w:bottom w:val="none" w:sz="0" w:space="0" w:color="auto"/>
        <w:right w:val="none" w:sz="0" w:space="0" w:color="auto"/>
      </w:divBdr>
    </w:div>
    <w:div w:id="1283070228">
      <w:bodyDiv w:val="1"/>
      <w:marLeft w:val="0"/>
      <w:marRight w:val="0"/>
      <w:marTop w:val="0"/>
      <w:marBottom w:val="0"/>
      <w:divBdr>
        <w:top w:val="none" w:sz="0" w:space="0" w:color="auto"/>
        <w:left w:val="none" w:sz="0" w:space="0" w:color="auto"/>
        <w:bottom w:val="none" w:sz="0" w:space="0" w:color="auto"/>
        <w:right w:val="none" w:sz="0" w:space="0" w:color="auto"/>
      </w:divBdr>
    </w:div>
    <w:div w:id="1295062100">
      <w:bodyDiv w:val="1"/>
      <w:marLeft w:val="0"/>
      <w:marRight w:val="0"/>
      <w:marTop w:val="0"/>
      <w:marBottom w:val="0"/>
      <w:divBdr>
        <w:top w:val="none" w:sz="0" w:space="0" w:color="auto"/>
        <w:left w:val="none" w:sz="0" w:space="0" w:color="auto"/>
        <w:bottom w:val="none" w:sz="0" w:space="0" w:color="auto"/>
        <w:right w:val="none" w:sz="0" w:space="0" w:color="auto"/>
      </w:divBdr>
    </w:div>
    <w:div w:id="1519782048">
      <w:bodyDiv w:val="1"/>
      <w:marLeft w:val="0"/>
      <w:marRight w:val="0"/>
      <w:marTop w:val="0"/>
      <w:marBottom w:val="0"/>
      <w:divBdr>
        <w:top w:val="none" w:sz="0" w:space="0" w:color="auto"/>
        <w:left w:val="none" w:sz="0" w:space="0" w:color="auto"/>
        <w:bottom w:val="none" w:sz="0" w:space="0" w:color="auto"/>
        <w:right w:val="none" w:sz="0" w:space="0" w:color="auto"/>
      </w:divBdr>
    </w:div>
    <w:div w:id="1615097226">
      <w:bodyDiv w:val="1"/>
      <w:marLeft w:val="0"/>
      <w:marRight w:val="0"/>
      <w:marTop w:val="0"/>
      <w:marBottom w:val="0"/>
      <w:divBdr>
        <w:top w:val="none" w:sz="0" w:space="0" w:color="auto"/>
        <w:left w:val="none" w:sz="0" w:space="0" w:color="auto"/>
        <w:bottom w:val="none" w:sz="0" w:space="0" w:color="auto"/>
        <w:right w:val="none" w:sz="0" w:space="0" w:color="auto"/>
      </w:divBdr>
    </w:div>
    <w:div w:id="1634287076">
      <w:bodyDiv w:val="1"/>
      <w:marLeft w:val="0"/>
      <w:marRight w:val="0"/>
      <w:marTop w:val="0"/>
      <w:marBottom w:val="0"/>
      <w:divBdr>
        <w:top w:val="none" w:sz="0" w:space="0" w:color="auto"/>
        <w:left w:val="none" w:sz="0" w:space="0" w:color="auto"/>
        <w:bottom w:val="none" w:sz="0" w:space="0" w:color="auto"/>
        <w:right w:val="none" w:sz="0" w:space="0" w:color="auto"/>
      </w:divBdr>
    </w:div>
    <w:div w:id="183661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BF14E-47E5-48F9-A7AF-114085710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9</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17444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Chadwick</dc:creator>
  <cp:lastModifiedBy>James</cp:lastModifiedBy>
  <cp:revision>8</cp:revision>
  <cp:lastPrinted>2019-11-01T10:52:00Z</cp:lastPrinted>
  <dcterms:created xsi:type="dcterms:W3CDTF">2019-09-23T13:38:00Z</dcterms:created>
  <dcterms:modified xsi:type="dcterms:W3CDTF">2019-12-03T17:39:00Z</dcterms:modified>
</cp:coreProperties>
</file>