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EFCB" w14:textId="5CE61B7C" w:rsidR="00B30217" w:rsidRPr="00E42505" w:rsidRDefault="00B30217" w:rsidP="00B3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2505">
        <w:rPr>
          <w:rFonts w:ascii="Times New Roman" w:hAnsi="Times New Roman" w:cs="Times New Roman"/>
          <w:b/>
          <w:sz w:val="24"/>
          <w:szCs w:val="24"/>
        </w:rPr>
        <w:t xml:space="preserve">APPEAL BY </w:t>
      </w:r>
      <w:r w:rsidR="007B3E50" w:rsidRPr="00E42505">
        <w:rPr>
          <w:rFonts w:ascii="Times New Roman" w:hAnsi="Times New Roman" w:cs="Times New Roman"/>
          <w:b/>
          <w:sz w:val="24"/>
          <w:szCs w:val="24"/>
        </w:rPr>
        <w:t>KNIGHTSBRIDGE PARKS LLP</w:t>
      </w:r>
    </w:p>
    <w:p w14:paraId="249DB273" w14:textId="77777777" w:rsidR="007B3E50" w:rsidRPr="00E42505" w:rsidRDefault="007B3E50" w:rsidP="00B30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3AEFB" w14:textId="0C5FD234" w:rsidR="007B3E50" w:rsidRPr="00E42505" w:rsidRDefault="007B3E50" w:rsidP="00B3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>NORTH FAIRGROUND SITE, VALE OF HEALTH, NW3 1AU</w:t>
      </w:r>
    </w:p>
    <w:p w14:paraId="675A0CF8" w14:textId="77777777" w:rsidR="00B30217" w:rsidRPr="00E42505" w:rsidRDefault="00B30217" w:rsidP="00B30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B3800" w14:textId="42FF7556" w:rsidR="007B3E50" w:rsidRPr="00E42505" w:rsidRDefault="00B30217" w:rsidP="007B3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 xml:space="preserve">APPEAL REFERENCE: </w:t>
      </w:r>
      <w:r w:rsidR="007B3E50" w:rsidRPr="00E42505">
        <w:rPr>
          <w:rFonts w:ascii="Times New Roman" w:hAnsi="Times New Roman" w:cs="Times New Roman"/>
          <w:b/>
          <w:sz w:val="24"/>
          <w:szCs w:val="24"/>
        </w:rPr>
        <w:t>APP/X5210/X/18/3198526</w:t>
      </w:r>
    </w:p>
    <w:p w14:paraId="414636A5" w14:textId="77777777" w:rsidR="007B3E50" w:rsidRPr="00E42505" w:rsidRDefault="007B3E50" w:rsidP="00B30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07B99" w14:textId="77777777" w:rsidR="00CC21EC" w:rsidRPr="00E42505" w:rsidRDefault="00CC21EC" w:rsidP="00CC2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571B" w14:textId="77777777" w:rsidR="00CC21EC" w:rsidRPr="00E42505" w:rsidRDefault="00CC21EC" w:rsidP="00CC2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E34BF" w14:textId="77777777" w:rsidR="001E578B" w:rsidRPr="00E42505" w:rsidRDefault="001E578B" w:rsidP="001E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197A43C1" w14:textId="77777777" w:rsidR="001E578B" w:rsidRPr="00E42505" w:rsidRDefault="001E578B" w:rsidP="001E57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6A79" w14:textId="339171C4" w:rsidR="006C3766" w:rsidRPr="00E42505" w:rsidRDefault="001E578B" w:rsidP="006C3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 xml:space="preserve">OPENING </w:t>
      </w:r>
      <w:r w:rsidR="00AA1CD6" w:rsidRPr="00E42505">
        <w:rPr>
          <w:rFonts w:ascii="Times New Roman" w:hAnsi="Times New Roman" w:cs="Times New Roman"/>
          <w:b/>
          <w:sz w:val="24"/>
          <w:szCs w:val="24"/>
        </w:rPr>
        <w:t>S</w:t>
      </w:r>
      <w:r w:rsidR="003E000C" w:rsidRPr="00E42505">
        <w:rPr>
          <w:rFonts w:ascii="Times New Roman" w:hAnsi="Times New Roman" w:cs="Times New Roman"/>
          <w:b/>
          <w:sz w:val="24"/>
          <w:szCs w:val="24"/>
        </w:rPr>
        <w:t>UBMISSIONS</w:t>
      </w:r>
      <w:r w:rsidRPr="00E42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0E564" w14:textId="77777777" w:rsidR="00AA1CD6" w:rsidRPr="00E42505" w:rsidRDefault="00AA1CD6" w:rsidP="001E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>ON BEHALF OF</w:t>
      </w:r>
    </w:p>
    <w:p w14:paraId="687CEE96" w14:textId="22369FD0" w:rsidR="001E578B" w:rsidRPr="00E42505" w:rsidRDefault="001E578B" w:rsidP="001E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50" w:rsidRPr="00E42505">
        <w:rPr>
          <w:rFonts w:ascii="Times New Roman" w:hAnsi="Times New Roman" w:cs="Times New Roman"/>
          <w:b/>
          <w:sz w:val="24"/>
          <w:szCs w:val="24"/>
        </w:rPr>
        <w:t>THE CITY OF LONDON (RULE 6 PARTY)</w:t>
      </w:r>
    </w:p>
    <w:p w14:paraId="1BD9D8CC" w14:textId="77777777" w:rsidR="001E578B" w:rsidRPr="00E42505" w:rsidRDefault="001E578B" w:rsidP="001E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4C052B4E" w14:textId="77777777" w:rsidR="00CC21EC" w:rsidRPr="00E42505" w:rsidRDefault="00CC21EC" w:rsidP="00CC2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B317D" w14:textId="4B4D3BC1" w:rsidR="00C37588" w:rsidRPr="003554BC" w:rsidRDefault="006A1FD6" w:rsidP="006A1FD6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4BC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 w14:paraId="07EB444A" w14:textId="77777777" w:rsidR="006A1FD6" w:rsidRPr="006A1FD6" w:rsidRDefault="006A1FD6" w:rsidP="00DE71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DAF9F2" w14:textId="3A438E5B" w:rsidR="007B280A" w:rsidRDefault="00AA1CD6" w:rsidP="007B28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05">
        <w:rPr>
          <w:rFonts w:ascii="Times New Roman" w:hAnsi="Times New Roman" w:cs="Times New Roman"/>
          <w:sz w:val="24"/>
          <w:szCs w:val="24"/>
        </w:rPr>
        <w:t>Th</w:t>
      </w:r>
      <w:r w:rsidR="007B3E50" w:rsidRPr="00E42505">
        <w:rPr>
          <w:rFonts w:ascii="Times New Roman" w:hAnsi="Times New Roman" w:cs="Times New Roman"/>
          <w:sz w:val="24"/>
          <w:szCs w:val="24"/>
        </w:rPr>
        <w:t>is is an appeal under s. 195(2</w:t>
      </w:r>
      <w:r w:rsidR="00DC3568" w:rsidRPr="00E42505">
        <w:rPr>
          <w:rFonts w:ascii="Times New Roman" w:hAnsi="Times New Roman" w:cs="Times New Roman"/>
          <w:sz w:val="24"/>
          <w:szCs w:val="24"/>
        </w:rPr>
        <w:t>) of the Town and Country Planning Act 1990 (as amended)</w:t>
      </w:r>
      <w:r w:rsidR="000160C9" w:rsidRPr="00E42505">
        <w:rPr>
          <w:rFonts w:ascii="Times New Roman" w:hAnsi="Times New Roman" w:cs="Times New Roman"/>
          <w:sz w:val="24"/>
          <w:szCs w:val="24"/>
        </w:rPr>
        <w:t xml:space="preserve"> (“TCPA 1990”)</w:t>
      </w:r>
      <w:r w:rsidR="00DC3568" w:rsidRPr="00E42505">
        <w:rPr>
          <w:rFonts w:ascii="Times New Roman" w:hAnsi="Times New Roman" w:cs="Times New Roman"/>
          <w:sz w:val="24"/>
          <w:szCs w:val="24"/>
        </w:rPr>
        <w:t xml:space="preserve"> in respect of the </w:t>
      </w:r>
      <w:r w:rsidR="007B280A" w:rsidRPr="00E42505">
        <w:rPr>
          <w:rFonts w:ascii="Times New Roman" w:hAnsi="Times New Roman" w:cs="Times New Roman"/>
          <w:sz w:val="24"/>
          <w:szCs w:val="24"/>
        </w:rPr>
        <w:t xml:space="preserve">non-determination by the London Borough of Camden </w:t>
      </w:r>
      <w:r w:rsidR="00DC3568" w:rsidRPr="00E42505">
        <w:rPr>
          <w:rFonts w:ascii="Times New Roman" w:hAnsi="Times New Roman" w:cs="Times New Roman"/>
          <w:sz w:val="24"/>
          <w:szCs w:val="24"/>
        </w:rPr>
        <w:t xml:space="preserve">(“the Council”) </w:t>
      </w:r>
      <w:r w:rsidR="007B280A" w:rsidRPr="00E42505">
        <w:rPr>
          <w:rFonts w:ascii="Times New Roman" w:hAnsi="Times New Roman" w:cs="Times New Roman"/>
          <w:sz w:val="24"/>
          <w:szCs w:val="24"/>
        </w:rPr>
        <w:t>of the application by the Appellant for a Certificate of Lawfulness of Proposed Use or Development (“CLOPUD”) under s. 192 TCPA 1990.</w:t>
      </w:r>
      <w:r w:rsidR="004214CB">
        <w:rPr>
          <w:rFonts w:ascii="Times New Roman" w:hAnsi="Times New Roman" w:cs="Times New Roman"/>
          <w:sz w:val="24"/>
          <w:szCs w:val="24"/>
        </w:rPr>
        <w:t xml:space="preserve"> The application, made on 31 July 2017, sought a certificate for </w:t>
      </w:r>
      <w:r w:rsidR="004214CB" w:rsidRPr="004214CB">
        <w:rPr>
          <w:rFonts w:ascii="Times New Roman" w:hAnsi="Times New Roman" w:cs="Times New Roman"/>
          <w:i/>
          <w:sz w:val="24"/>
          <w:szCs w:val="24"/>
        </w:rPr>
        <w:t>“use as a site for seven static caravans for residential occupation”.</w:t>
      </w:r>
    </w:p>
    <w:p w14:paraId="18208468" w14:textId="77777777" w:rsidR="00E42505" w:rsidRDefault="00E42505" w:rsidP="00E4250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D0B5DF6" w14:textId="3ED19576" w:rsidR="00E42505" w:rsidRPr="00E42505" w:rsidRDefault="00E42505" w:rsidP="007B28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of London</w:t>
      </w:r>
      <w:r w:rsidR="009028E3">
        <w:rPr>
          <w:rFonts w:ascii="Times New Roman" w:hAnsi="Times New Roman" w:cs="Times New Roman"/>
          <w:sz w:val="24"/>
          <w:szCs w:val="24"/>
        </w:rPr>
        <w:t xml:space="preserve"> (“the City”)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65D">
        <w:rPr>
          <w:rFonts w:ascii="Times New Roman" w:hAnsi="Times New Roman" w:cs="Times New Roman"/>
          <w:sz w:val="24"/>
          <w:szCs w:val="24"/>
        </w:rPr>
        <w:t>has sought</w:t>
      </w:r>
      <w:r>
        <w:rPr>
          <w:rFonts w:ascii="Times New Roman" w:hAnsi="Times New Roman" w:cs="Times New Roman"/>
          <w:sz w:val="24"/>
          <w:szCs w:val="24"/>
        </w:rPr>
        <w:t xml:space="preserve"> Rule 6 status in this appeal </w:t>
      </w:r>
      <w:r w:rsidR="005B065D">
        <w:rPr>
          <w:rFonts w:ascii="Times New Roman" w:hAnsi="Times New Roman" w:cs="Times New Roman"/>
          <w:sz w:val="24"/>
          <w:szCs w:val="24"/>
        </w:rPr>
        <w:t>on the basis of its</w:t>
      </w:r>
      <w:r w:rsidR="004B5B42">
        <w:rPr>
          <w:rFonts w:ascii="Times New Roman" w:hAnsi="Times New Roman" w:cs="Times New Roman"/>
          <w:sz w:val="24"/>
          <w:szCs w:val="24"/>
        </w:rPr>
        <w:t xml:space="preserve"> responsibility for the management of Hampstead Heath and </w:t>
      </w:r>
      <w:r w:rsidR="00897A16">
        <w:rPr>
          <w:rFonts w:ascii="Times New Roman" w:hAnsi="Times New Roman" w:cs="Times New Roman"/>
          <w:sz w:val="24"/>
          <w:szCs w:val="24"/>
        </w:rPr>
        <w:t>the active role that it takes in making representations in respect of proposals concerning developme</w:t>
      </w:r>
      <w:r w:rsidR="003554BC">
        <w:rPr>
          <w:rFonts w:ascii="Times New Roman" w:hAnsi="Times New Roman" w:cs="Times New Roman"/>
          <w:sz w:val="24"/>
          <w:szCs w:val="24"/>
        </w:rPr>
        <w:t xml:space="preserve">nt </w:t>
      </w:r>
      <w:r w:rsidR="003A1434">
        <w:rPr>
          <w:rFonts w:ascii="Times New Roman" w:hAnsi="Times New Roman" w:cs="Times New Roman"/>
          <w:sz w:val="24"/>
          <w:szCs w:val="24"/>
        </w:rPr>
        <w:t>on the Heath</w:t>
      </w:r>
      <w:r w:rsidR="003554BC">
        <w:rPr>
          <w:rFonts w:ascii="Times New Roman" w:hAnsi="Times New Roman" w:cs="Times New Roman"/>
          <w:sz w:val="24"/>
          <w:szCs w:val="24"/>
        </w:rPr>
        <w:t xml:space="preserve"> and, as in this case, on </w:t>
      </w:r>
      <w:r w:rsidR="003A1434">
        <w:rPr>
          <w:rFonts w:ascii="Times New Roman" w:hAnsi="Times New Roman" w:cs="Times New Roman"/>
          <w:sz w:val="24"/>
          <w:szCs w:val="24"/>
        </w:rPr>
        <w:t>its</w:t>
      </w:r>
      <w:r w:rsidR="0072040F">
        <w:rPr>
          <w:rFonts w:ascii="Times New Roman" w:hAnsi="Times New Roman" w:cs="Times New Roman"/>
          <w:sz w:val="24"/>
          <w:szCs w:val="24"/>
        </w:rPr>
        <w:t xml:space="preserve"> boundary, with the aim of protecting the open, natural character of the Heath. </w:t>
      </w:r>
    </w:p>
    <w:p w14:paraId="313D39B1" w14:textId="77777777" w:rsidR="007B280A" w:rsidRPr="00E42505" w:rsidRDefault="007B280A" w:rsidP="00E4250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3E51BC" w14:textId="34FA10E3" w:rsidR="001554BC" w:rsidRDefault="004214CB" w:rsidP="00AA1C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is the </w:t>
      </w:r>
      <w:r w:rsidR="005B065D">
        <w:rPr>
          <w:rFonts w:ascii="Times New Roman" w:hAnsi="Times New Roman" w:cs="Times New Roman"/>
          <w:sz w:val="24"/>
          <w:szCs w:val="24"/>
        </w:rPr>
        <w:t xml:space="preserve">position with all CLOPUD </w:t>
      </w:r>
      <w:r w:rsidR="00BD5A86">
        <w:rPr>
          <w:rFonts w:ascii="Times New Roman" w:hAnsi="Times New Roman" w:cs="Times New Roman"/>
          <w:sz w:val="24"/>
          <w:szCs w:val="24"/>
        </w:rPr>
        <w:t>cases, the burden of proof fa</w:t>
      </w:r>
      <w:r w:rsidR="001554BC">
        <w:rPr>
          <w:rFonts w:ascii="Times New Roman" w:hAnsi="Times New Roman" w:cs="Times New Roman"/>
          <w:sz w:val="24"/>
          <w:szCs w:val="24"/>
        </w:rPr>
        <w:t xml:space="preserve">lls on the Appellant, with the standard of proof being the balance of probabilities. Again, as with all CLOPUD cases, the substantive merits of the proposal, in planning policy terms, </w:t>
      </w:r>
      <w:r w:rsidR="0072040F">
        <w:rPr>
          <w:rFonts w:ascii="Times New Roman" w:hAnsi="Times New Roman" w:cs="Times New Roman"/>
          <w:sz w:val="24"/>
          <w:szCs w:val="24"/>
        </w:rPr>
        <w:t>are</w:t>
      </w:r>
      <w:r w:rsidR="001554BC">
        <w:rPr>
          <w:rFonts w:ascii="Times New Roman" w:hAnsi="Times New Roman" w:cs="Times New Roman"/>
          <w:sz w:val="24"/>
          <w:szCs w:val="24"/>
        </w:rPr>
        <w:t xml:space="preserve"> irrelevant to the determination of the appeal.</w:t>
      </w:r>
    </w:p>
    <w:p w14:paraId="18E0B937" w14:textId="77777777" w:rsidR="001554BC" w:rsidRPr="001554BC" w:rsidRDefault="001554BC" w:rsidP="001554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5D8DCB" w14:textId="26B43ACE" w:rsidR="00DC3568" w:rsidRDefault="001554BC" w:rsidP="00AA1C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8E3">
        <w:rPr>
          <w:rFonts w:ascii="Times New Roman" w:hAnsi="Times New Roman" w:cs="Times New Roman"/>
          <w:sz w:val="24"/>
          <w:szCs w:val="24"/>
        </w:rPr>
        <w:t xml:space="preserve">The City agrees with the Inspector’s </w:t>
      </w:r>
      <w:r w:rsidR="007C25D8">
        <w:rPr>
          <w:rFonts w:ascii="Times New Roman" w:hAnsi="Times New Roman" w:cs="Times New Roman"/>
          <w:sz w:val="24"/>
          <w:szCs w:val="24"/>
        </w:rPr>
        <w:t>characteris</w:t>
      </w:r>
      <w:r w:rsidR="009028E3">
        <w:rPr>
          <w:rFonts w:ascii="Times New Roman" w:hAnsi="Times New Roman" w:cs="Times New Roman"/>
          <w:sz w:val="24"/>
          <w:szCs w:val="24"/>
        </w:rPr>
        <w:t>ation of the main issue in this appeal as:</w:t>
      </w:r>
    </w:p>
    <w:p w14:paraId="4BA4943D" w14:textId="77777777" w:rsidR="009028E3" w:rsidRPr="009028E3" w:rsidRDefault="009028E3" w:rsidP="009028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646582" w14:textId="42836AE3" w:rsidR="009028E3" w:rsidRPr="009028E3" w:rsidRDefault="009028E3" w:rsidP="009028E3">
      <w:pPr>
        <w:pStyle w:val="ListParagraph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8E3">
        <w:rPr>
          <w:rFonts w:ascii="Times New Roman" w:hAnsi="Times New Roman" w:cs="Times New Roman"/>
          <w:i/>
          <w:sz w:val="24"/>
          <w:szCs w:val="24"/>
        </w:rPr>
        <w:lastRenderedPageBreak/>
        <w:t>“Whether refusal of the LDC application would have been well-founded. To succeed, the appellant will need to prove on the balance of probability that use of land as a site for the stationing of seven static caravans for the purposes of human habitation would not have involved a material change of use, if begun on 31 July 2017 (the date of the application). This necessitates consideration of the existing lawful use at that date.”</w:t>
      </w:r>
    </w:p>
    <w:p w14:paraId="64527B33" w14:textId="77777777" w:rsidR="006A1FD6" w:rsidRDefault="006A1FD6" w:rsidP="005B0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044FE6" w14:textId="3A1C2209" w:rsidR="006A1FD6" w:rsidRPr="003554BC" w:rsidRDefault="006A1FD6" w:rsidP="006A1FD6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4BC">
        <w:rPr>
          <w:rFonts w:ascii="Times New Roman" w:hAnsi="Times New Roman" w:cs="Times New Roman"/>
          <w:b/>
          <w:sz w:val="24"/>
          <w:szCs w:val="24"/>
          <w:u w:val="single"/>
        </w:rPr>
        <w:t>The City’s Case</w:t>
      </w:r>
    </w:p>
    <w:p w14:paraId="79C31ECE" w14:textId="69B8E7F1" w:rsidR="003554BC" w:rsidRDefault="003554BC" w:rsidP="00355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DD0A42" w14:textId="23A9078A" w:rsidR="003554BC" w:rsidRPr="003554BC" w:rsidRDefault="003554BC" w:rsidP="00355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54BC">
        <w:rPr>
          <w:rFonts w:ascii="Times New Roman" w:hAnsi="Times New Roman" w:cs="Times New Roman"/>
          <w:sz w:val="24"/>
          <w:szCs w:val="24"/>
          <w:u w:val="single"/>
        </w:rPr>
        <w:t>Existing Lawful Use</w:t>
      </w:r>
    </w:p>
    <w:p w14:paraId="2692F7ED" w14:textId="77777777" w:rsidR="003554BC" w:rsidRPr="003554BC" w:rsidRDefault="003554BC" w:rsidP="003554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F9CE6" w14:textId="32455123" w:rsidR="003A1434" w:rsidRDefault="004D52E0" w:rsidP="00651D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05">
        <w:rPr>
          <w:rFonts w:ascii="Times New Roman" w:hAnsi="Times New Roman" w:cs="Times New Roman"/>
          <w:sz w:val="24"/>
          <w:szCs w:val="24"/>
        </w:rPr>
        <w:t>The</w:t>
      </w:r>
      <w:r w:rsidR="009A7247" w:rsidRPr="00E42505">
        <w:rPr>
          <w:rFonts w:ascii="Times New Roman" w:hAnsi="Times New Roman" w:cs="Times New Roman"/>
          <w:sz w:val="24"/>
          <w:szCs w:val="24"/>
        </w:rPr>
        <w:t xml:space="preserve"> </w:t>
      </w:r>
      <w:r w:rsidR="003554BC">
        <w:rPr>
          <w:rFonts w:ascii="Times New Roman" w:hAnsi="Times New Roman" w:cs="Times New Roman"/>
          <w:sz w:val="24"/>
          <w:szCs w:val="24"/>
        </w:rPr>
        <w:t>City’s case differs from that of the Council</w:t>
      </w:r>
      <w:r w:rsidR="00FC2776">
        <w:rPr>
          <w:rFonts w:ascii="Times New Roman" w:hAnsi="Times New Roman" w:cs="Times New Roman"/>
          <w:sz w:val="24"/>
          <w:szCs w:val="24"/>
        </w:rPr>
        <w:t xml:space="preserve"> </w:t>
      </w:r>
      <w:r w:rsidR="00D7476E">
        <w:rPr>
          <w:rFonts w:ascii="Times New Roman" w:hAnsi="Times New Roman" w:cs="Times New Roman"/>
          <w:sz w:val="24"/>
          <w:szCs w:val="24"/>
        </w:rPr>
        <w:t xml:space="preserve">and the Appellant </w:t>
      </w:r>
      <w:r w:rsidR="00FC2776">
        <w:rPr>
          <w:rFonts w:ascii="Times New Roman" w:hAnsi="Times New Roman" w:cs="Times New Roman"/>
          <w:sz w:val="24"/>
          <w:szCs w:val="24"/>
        </w:rPr>
        <w:t>as to the existing lawful use, albeit there is</w:t>
      </w:r>
      <w:r w:rsidR="00671173">
        <w:rPr>
          <w:rFonts w:ascii="Times New Roman" w:hAnsi="Times New Roman" w:cs="Times New Roman"/>
          <w:sz w:val="24"/>
          <w:szCs w:val="24"/>
        </w:rPr>
        <w:t xml:space="preserve"> some</w:t>
      </w:r>
      <w:r w:rsidR="00FC2776">
        <w:rPr>
          <w:rFonts w:ascii="Times New Roman" w:hAnsi="Times New Roman" w:cs="Times New Roman"/>
          <w:sz w:val="24"/>
          <w:szCs w:val="24"/>
        </w:rPr>
        <w:t xml:space="preserve"> common ground between the parties</w:t>
      </w:r>
      <w:r w:rsidR="003554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EB4C8" w14:textId="77777777" w:rsidR="00113C20" w:rsidRDefault="00113C20" w:rsidP="00113C2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A3A534" w14:textId="77777777" w:rsidR="00D7476E" w:rsidRDefault="00113C20" w:rsidP="00651D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starting point is that in default of a planning permission or LDC, the determination of the existing lawful use must be undertaken by relying on the evidence. </w:t>
      </w:r>
    </w:p>
    <w:p w14:paraId="7C263CF1" w14:textId="77777777" w:rsidR="00D7476E" w:rsidRPr="00D7476E" w:rsidRDefault="00D7476E" w:rsidP="00D747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C5A3EE" w14:textId="660580AC" w:rsidR="00113C20" w:rsidRDefault="00113C20" w:rsidP="00651D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agreed that the planning unit corresponds with the entirety of the site.</w:t>
      </w:r>
    </w:p>
    <w:p w14:paraId="51F57DE5" w14:textId="77777777" w:rsidR="003A1434" w:rsidRDefault="003A1434" w:rsidP="003A143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9DDAFA" w14:textId="6B1DBE4B" w:rsidR="003554BC" w:rsidRDefault="00FC2776" w:rsidP="00651D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671173">
        <w:rPr>
          <w:rFonts w:ascii="Times New Roman" w:hAnsi="Times New Roman" w:cs="Times New Roman"/>
          <w:sz w:val="24"/>
          <w:szCs w:val="24"/>
        </w:rPr>
        <w:t>the Council and the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173">
        <w:rPr>
          <w:rFonts w:ascii="Times New Roman" w:hAnsi="Times New Roman" w:cs="Times New Roman"/>
          <w:sz w:val="24"/>
          <w:szCs w:val="24"/>
        </w:rPr>
        <w:t xml:space="preserve">share </w:t>
      </w:r>
      <w:r>
        <w:rPr>
          <w:rFonts w:ascii="Times New Roman" w:hAnsi="Times New Roman" w:cs="Times New Roman"/>
          <w:sz w:val="24"/>
          <w:szCs w:val="24"/>
        </w:rPr>
        <w:t xml:space="preserve">the view that the site is in lawful use as a travelling showpersons’ </w:t>
      </w:r>
      <w:r w:rsidR="00671173">
        <w:rPr>
          <w:rFonts w:ascii="Times New Roman" w:hAnsi="Times New Roman" w:cs="Times New Roman"/>
          <w:sz w:val="24"/>
          <w:szCs w:val="24"/>
        </w:rPr>
        <w:t xml:space="preserve">(“TS”) </w:t>
      </w:r>
      <w:r>
        <w:rPr>
          <w:rFonts w:ascii="Times New Roman" w:hAnsi="Times New Roman" w:cs="Times New Roman"/>
          <w:sz w:val="24"/>
          <w:szCs w:val="24"/>
        </w:rPr>
        <w:t>site</w:t>
      </w:r>
      <w:r w:rsidR="00671173">
        <w:rPr>
          <w:rFonts w:ascii="Times New Roman" w:hAnsi="Times New Roman" w:cs="Times New Roman"/>
          <w:sz w:val="24"/>
          <w:szCs w:val="24"/>
        </w:rPr>
        <w:t xml:space="preserve">. </w:t>
      </w:r>
      <w:r w:rsidR="00D7476E">
        <w:rPr>
          <w:rFonts w:ascii="Times New Roman" w:hAnsi="Times New Roman" w:cs="Times New Roman"/>
          <w:sz w:val="24"/>
          <w:szCs w:val="24"/>
        </w:rPr>
        <w:t>Whereas the Council’s position is that the existing lawful use comprises a mixed use of majority TS use and a minor element of unrelated residential use, the City submits that the site’s established lawful use is solely that of a TS site.</w:t>
      </w:r>
      <w:r w:rsidR="000F0428">
        <w:rPr>
          <w:rFonts w:ascii="Times New Roman" w:hAnsi="Times New Roman" w:cs="Times New Roman"/>
          <w:sz w:val="24"/>
          <w:szCs w:val="24"/>
        </w:rPr>
        <w:t xml:space="preserve"> In this regard, t</w:t>
      </w:r>
      <w:r w:rsidR="00D7476E">
        <w:rPr>
          <w:rFonts w:ascii="Times New Roman" w:hAnsi="Times New Roman" w:cs="Times New Roman"/>
          <w:sz w:val="24"/>
          <w:szCs w:val="24"/>
        </w:rPr>
        <w:t xml:space="preserve">he City relies upon Mr O’Neill’s proof with its appended photographs, </w:t>
      </w:r>
      <w:r w:rsidR="00B2295F">
        <w:rPr>
          <w:rFonts w:ascii="Times New Roman" w:hAnsi="Times New Roman" w:cs="Times New Roman"/>
          <w:sz w:val="24"/>
          <w:szCs w:val="24"/>
        </w:rPr>
        <w:t xml:space="preserve">review of the Appellant’s evidence, </w:t>
      </w:r>
      <w:r w:rsidR="000F0428">
        <w:rPr>
          <w:rFonts w:ascii="Times New Roman" w:hAnsi="Times New Roman" w:cs="Times New Roman"/>
          <w:sz w:val="24"/>
          <w:szCs w:val="24"/>
        </w:rPr>
        <w:t xml:space="preserve">review of </w:t>
      </w:r>
      <w:r w:rsidR="00B2295F">
        <w:rPr>
          <w:rFonts w:ascii="Times New Roman" w:hAnsi="Times New Roman" w:cs="Times New Roman"/>
          <w:sz w:val="24"/>
          <w:szCs w:val="24"/>
        </w:rPr>
        <w:t>the planning history of the site, consideration of the Council’s site surveys, notes, annotated plans, council tax and business rates records.</w:t>
      </w:r>
    </w:p>
    <w:p w14:paraId="0A0BF13D" w14:textId="77777777" w:rsidR="00122018" w:rsidRDefault="00122018" w:rsidP="0012201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1705BC" w14:textId="529A5CD3" w:rsidR="00122018" w:rsidRPr="000F0428" w:rsidRDefault="000D1B56" w:rsidP="000F04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sui generis TS site use is particular and unusual, in land use planning terms. </w:t>
      </w:r>
      <w:r w:rsidR="00E65715">
        <w:rPr>
          <w:rFonts w:ascii="Times New Roman" w:hAnsi="Times New Roman" w:cs="Times New Roman"/>
          <w:sz w:val="24"/>
          <w:szCs w:val="24"/>
        </w:rPr>
        <w:t>Such sites are mixe</w:t>
      </w:r>
      <w:r w:rsidR="005B6543">
        <w:rPr>
          <w:rFonts w:ascii="Times New Roman" w:hAnsi="Times New Roman" w:cs="Times New Roman"/>
          <w:sz w:val="24"/>
          <w:szCs w:val="24"/>
        </w:rPr>
        <w:t xml:space="preserve">d </w:t>
      </w:r>
      <w:r w:rsidR="003A1434">
        <w:rPr>
          <w:rFonts w:ascii="Times New Roman" w:hAnsi="Times New Roman" w:cs="Times New Roman"/>
          <w:sz w:val="24"/>
          <w:szCs w:val="24"/>
        </w:rPr>
        <w:t xml:space="preserve">in </w:t>
      </w:r>
      <w:r w:rsidR="005B6543">
        <w:rPr>
          <w:rFonts w:ascii="Times New Roman" w:hAnsi="Times New Roman" w:cs="Times New Roman"/>
          <w:sz w:val="24"/>
          <w:szCs w:val="24"/>
        </w:rPr>
        <w:t xml:space="preserve">use by </w:t>
      </w:r>
      <w:r w:rsidR="002346D2">
        <w:rPr>
          <w:rFonts w:ascii="Times New Roman" w:hAnsi="Times New Roman" w:cs="Times New Roman"/>
          <w:sz w:val="24"/>
          <w:szCs w:val="24"/>
        </w:rPr>
        <w:t xml:space="preserve">their very </w:t>
      </w:r>
      <w:r w:rsidR="005B6543">
        <w:rPr>
          <w:rFonts w:ascii="Times New Roman" w:hAnsi="Times New Roman" w:cs="Times New Roman"/>
          <w:sz w:val="24"/>
          <w:szCs w:val="24"/>
        </w:rPr>
        <w:t xml:space="preserve">definition and </w:t>
      </w:r>
      <w:r w:rsidR="00E65715">
        <w:rPr>
          <w:rFonts w:ascii="Times New Roman" w:hAnsi="Times New Roman" w:cs="Times New Roman"/>
          <w:sz w:val="24"/>
          <w:szCs w:val="24"/>
        </w:rPr>
        <w:t xml:space="preserve">combine </w:t>
      </w:r>
      <w:r w:rsidR="003728F0">
        <w:rPr>
          <w:rFonts w:ascii="Times New Roman" w:hAnsi="Times New Roman" w:cs="Times New Roman"/>
          <w:sz w:val="24"/>
          <w:szCs w:val="24"/>
        </w:rPr>
        <w:t>accommodation</w:t>
      </w:r>
      <w:r w:rsidR="00E65715">
        <w:rPr>
          <w:rFonts w:ascii="Times New Roman" w:hAnsi="Times New Roman" w:cs="Times New Roman"/>
          <w:sz w:val="24"/>
          <w:szCs w:val="24"/>
        </w:rPr>
        <w:t xml:space="preserve"> and business</w:t>
      </w:r>
      <w:r w:rsidR="003728F0">
        <w:rPr>
          <w:rFonts w:ascii="Times New Roman" w:hAnsi="Times New Roman" w:cs="Times New Roman"/>
          <w:sz w:val="24"/>
          <w:szCs w:val="24"/>
        </w:rPr>
        <w:t xml:space="preserve"> uses on </w:t>
      </w:r>
      <w:r w:rsidR="002346D2">
        <w:rPr>
          <w:rFonts w:ascii="Times New Roman" w:hAnsi="Times New Roman" w:cs="Times New Roman"/>
          <w:sz w:val="24"/>
          <w:szCs w:val="24"/>
        </w:rPr>
        <w:t xml:space="preserve">the </w:t>
      </w:r>
      <w:r w:rsidR="003728F0">
        <w:rPr>
          <w:rFonts w:ascii="Times New Roman" w:hAnsi="Times New Roman" w:cs="Times New Roman"/>
          <w:sz w:val="24"/>
          <w:szCs w:val="24"/>
        </w:rPr>
        <w:t>one site, typically com</w:t>
      </w:r>
      <w:r w:rsidR="005B6543">
        <w:rPr>
          <w:rFonts w:ascii="Times New Roman" w:hAnsi="Times New Roman" w:cs="Times New Roman"/>
          <w:sz w:val="24"/>
          <w:szCs w:val="24"/>
        </w:rPr>
        <w:t>prising</w:t>
      </w:r>
      <w:r w:rsidR="003728F0">
        <w:rPr>
          <w:rFonts w:ascii="Times New Roman" w:hAnsi="Times New Roman" w:cs="Times New Roman"/>
          <w:sz w:val="24"/>
          <w:szCs w:val="24"/>
        </w:rPr>
        <w:t xml:space="preserve"> residential, </w:t>
      </w:r>
      <w:r w:rsidR="002346D2">
        <w:rPr>
          <w:rFonts w:ascii="Times New Roman" w:hAnsi="Times New Roman" w:cs="Times New Roman"/>
          <w:sz w:val="24"/>
          <w:szCs w:val="24"/>
        </w:rPr>
        <w:t xml:space="preserve">fairground </w:t>
      </w:r>
      <w:r w:rsidR="003728F0">
        <w:rPr>
          <w:rFonts w:ascii="Times New Roman" w:hAnsi="Times New Roman" w:cs="Times New Roman"/>
          <w:sz w:val="24"/>
          <w:szCs w:val="24"/>
        </w:rPr>
        <w:t>storage and maintenance uses</w:t>
      </w:r>
      <w:r w:rsidR="0056566D">
        <w:rPr>
          <w:rFonts w:ascii="Times New Roman" w:hAnsi="Times New Roman" w:cs="Times New Roman"/>
          <w:sz w:val="24"/>
          <w:szCs w:val="24"/>
        </w:rPr>
        <w:t xml:space="preserve"> with</w:t>
      </w:r>
      <w:r w:rsidR="005B6543">
        <w:rPr>
          <w:rFonts w:ascii="Times New Roman" w:hAnsi="Times New Roman" w:cs="Times New Roman"/>
          <w:sz w:val="24"/>
          <w:szCs w:val="24"/>
        </w:rPr>
        <w:t xml:space="preserve"> some degree of</w:t>
      </w:r>
      <w:r w:rsidR="0056566D">
        <w:rPr>
          <w:rFonts w:ascii="Times New Roman" w:hAnsi="Times New Roman" w:cs="Times New Roman"/>
          <w:sz w:val="24"/>
          <w:szCs w:val="24"/>
        </w:rPr>
        <w:t xml:space="preserve"> peripatetic </w:t>
      </w:r>
      <w:r w:rsidR="00EB632C">
        <w:rPr>
          <w:rFonts w:ascii="Times New Roman" w:hAnsi="Times New Roman" w:cs="Times New Roman"/>
          <w:sz w:val="24"/>
          <w:szCs w:val="24"/>
        </w:rPr>
        <w:t xml:space="preserve">and seasonal </w:t>
      </w:r>
      <w:r w:rsidR="0056566D">
        <w:rPr>
          <w:rFonts w:ascii="Times New Roman" w:hAnsi="Times New Roman" w:cs="Times New Roman"/>
          <w:sz w:val="24"/>
          <w:szCs w:val="24"/>
        </w:rPr>
        <w:t>occupation</w:t>
      </w:r>
      <w:r w:rsidR="002346D2">
        <w:rPr>
          <w:rFonts w:ascii="Times New Roman" w:hAnsi="Times New Roman" w:cs="Times New Roman"/>
          <w:sz w:val="24"/>
          <w:szCs w:val="24"/>
        </w:rPr>
        <w:t xml:space="preserve"> by those travelling to fairs</w:t>
      </w:r>
      <w:r w:rsidR="003728F0">
        <w:rPr>
          <w:rFonts w:ascii="Times New Roman" w:hAnsi="Times New Roman" w:cs="Times New Roman"/>
          <w:sz w:val="24"/>
          <w:szCs w:val="24"/>
        </w:rPr>
        <w:t xml:space="preserve">. </w:t>
      </w:r>
      <w:r w:rsidR="003728F0" w:rsidRPr="000F0428">
        <w:rPr>
          <w:rFonts w:ascii="Times New Roman" w:hAnsi="Times New Roman" w:cs="Times New Roman"/>
          <w:sz w:val="24"/>
          <w:szCs w:val="24"/>
        </w:rPr>
        <w:t>Th</w:t>
      </w:r>
      <w:r w:rsidR="002346D2" w:rsidRPr="000F0428">
        <w:rPr>
          <w:rFonts w:ascii="Times New Roman" w:hAnsi="Times New Roman" w:cs="Times New Roman"/>
          <w:sz w:val="24"/>
          <w:szCs w:val="24"/>
        </w:rPr>
        <w:t>is</w:t>
      </w:r>
      <w:r w:rsidR="003728F0" w:rsidRPr="000F0428">
        <w:rPr>
          <w:rFonts w:ascii="Times New Roman" w:hAnsi="Times New Roman" w:cs="Times New Roman"/>
          <w:sz w:val="24"/>
          <w:szCs w:val="24"/>
        </w:rPr>
        <w:t xml:space="preserve"> specific </w:t>
      </w:r>
      <w:r w:rsidR="003728F0" w:rsidRPr="000F0428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="00CA719F" w:rsidRPr="000F0428">
        <w:rPr>
          <w:rFonts w:ascii="Times New Roman" w:hAnsi="Times New Roman" w:cs="Times New Roman"/>
          <w:sz w:val="24"/>
          <w:szCs w:val="24"/>
        </w:rPr>
        <w:t xml:space="preserve">unusual </w:t>
      </w:r>
      <w:r w:rsidR="00D401A3" w:rsidRPr="000F0428">
        <w:rPr>
          <w:rFonts w:ascii="Times New Roman" w:hAnsi="Times New Roman" w:cs="Times New Roman"/>
          <w:sz w:val="24"/>
          <w:szCs w:val="24"/>
        </w:rPr>
        <w:t xml:space="preserve">nature </w:t>
      </w:r>
      <w:r w:rsidR="002346D2" w:rsidRPr="000F0428">
        <w:rPr>
          <w:rFonts w:ascii="Times New Roman" w:hAnsi="Times New Roman" w:cs="Times New Roman"/>
          <w:sz w:val="24"/>
          <w:szCs w:val="24"/>
        </w:rPr>
        <w:t xml:space="preserve">of the </w:t>
      </w:r>
      <w:r w:rsidR="00CA719F" w:rsidRPr="000F0428">
        <w:rPr>
          <w:rFonts w:ascii="Times New Roman" w:hAnsi="Times New Roman" w:cs="Times New Roman"/>
          <w:sz w:val="24"/>
          <w:szCs w:val="24"/>
        </w:rPr>
        <w:t>use has been long</w:t>
      </w:r>
      <w:r w:rsidR="003728F0" w:rsidRPr="000F0428">
        <w:rPr>
          <w:rFonts w:ascii="Times New Roman" w:hAnsi="Times New Roman" w:cs="Times New Roman"/>
          <w:sz w:val="24"/>
          <w:szCs w:val="24"/>
        </w:rPr>
        <w:t xml:space="preserve"> </w:t>
      </w:r>
      <w:r w:rsidR="00CA719F" w:rsidRPr="000F0428">
        <w:rPr>
          <w:rFonts w:ascii="Times New Roman" w:hAnsi="Times New Roman" w:cs="Times New Roman"/>
          <w:sz w:val="24"/>
          <w:szCs w:val="24"/>
        </w:rPr>
        <w:t>recognised through successive</w:t>
      </w:r>
      <w:r w:rsidR="003728F0" w:rsidRPr="000F0428">
        <w:rPr>
          <w:rFonts w:ascii="Times New Roman" w:hAnsi="Times New Roman" w:cs="Times New Roman"/>
          <w:sz w:val="24"/>
          <w:szCs w:val="24"/>
        </w:rPr>
        <w:t xml:space="preserve"> government guidance</w:t>
      </w:r>
      <w:r w:rsidR="00CA719F" w:rsidRPr="000F0428">
        <w:rPr>
          <w:rFonts w:ascii="Times New Roman" w:hAnsi="Times New Roman" w:cs="Times New Roman"/>
          <w:sz w:val="24"/>
          <w:szCs w:val="24"/>
        </w:rPr>
        <w:t xml:space="preserve"> documents</w:t>
      </w:r>
      <w:r w:rsidR="003728F0" w:rsidRPr="000F0428">
        <w:rPr>
          <w:rFonts w:ascii="Times New Roman" w:hAnsi="Times New Roman" w:cs="Times New Roman"/>
          <w:sz w:val="24"/>
          <w:szCs w:val="24"/>
        </w:rPr>
        <w:t>.</w:t>
      </w:r>
      <w:r w:rsidR="00CA719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01A3" w:rsidRPr="000F0428">
        <w:rPr>
          <w:rFonts w:ascii="Times New Roman" w:hAnsi="Times New Roman" w:cs="Times New Roman"/>
          <w:sz w:val="24"/>
          <w:szCs w:val="24"/>
        </w:rPr>
        <w:t xml:space="preserve"> It has also been </w:t>
      </w:r>
      <w:r w:rsidR="0056566D" w:rsidRPr="000F0428">
        <w:rPr>
          <w:rFonts w:ascii="Times New Roman" w:hAnsi="Times New Roman" w:cs="Times New Roman"/>
          <w:sz w:val="24"/>
          <w:szCs w:val="24"/>
        </w:rPr>
        <w:t xml:space="preserve">recognised </w:t>
      </w:r>
      <w:r w:rsidR="00776EB3" w:rsidRPr="000F0428">
        <w:rPr>
          <w:rFonts w:ascii="Times New Roman" w:hAnsi="Times New Roman" w:cs="Times New Roman"/>
          <w:sz w:val="24"/>
          <w:szCs w:val="24"/>
        </w:rPr>
        <w:t xml:space="preserve">in </w:t>
      </w:r>
      <w:r w:rsidR="0056566D" w:rsidRPr="000F0428">
        <w:rPr>
          <w:rFonts w:ascii="Times New Roman" w:hAnsi="Times New Roman" w:cs="Times New Roman"/>
          <w:sz w:val="24"/>
          <w:szCs w:val="24"/>
        </w:rPr>
        <w:t xml:space="preserve">case law, specifically </w:t>
      </w:r>
      <w:r w:rsidR="0056566D" w:rsidRPr="000F0428">
        <w:rPr>
          <w:rFonts w:ascii="Times New Roman" w:hAnsi="Times New Roman" w:cs="Times New Roman"/>
          <w:i/>
          <w:sz w:val="24"/>
          <w:szCs w:val="24"/>
        </w:rPr>
        <w:t>Winchester City Council v SSCLG</w:t>
      </w:r>
      <w:r w:rsidR="0056566D" w:rsidRPr="000F0428">
        <w:rPr>
          <w:rFonts w:ascii="Times New Roman" w:hAnsi="Times New Roman" w:cs="Times New Roman"/>
          <w:sz w:val="24"/>
          <w:szCs w:val="24"/>
        </w:rPr>
        <w:t xml:space="preserve"> [2013] EWHC 101 (Admin) in which Mr Mott QC, sitting as a deputy High Court judge, </w:t>
      </w:r>
      <w:r w:rsidR="002346D2" w:rsidRPr="000F0428">
        <w:rPr>
          <w:rFonts w:ascii="Times New Roman" w:hAnsi="Times New Roman" w:cs="Times New Roman"/>
          <w:sz w:val="24"/>
          <w:szCs w:val="24"/>
        </w:rPr>
        <w:t xml:space="preserve">concluded that there was a </w:t>
      </w:r>
      <w:r w:rsidR="00776EB3" w:rsidRPr="000F0428">
        <w:rPr>
          <w:rFonts w:ascii="Times New Roman" w:hAnsi="Times New Roman" w:cs="Times New Roman"/>
          <w:i/>
          <w:sz w:val="24"/>
          <w:szCs w:val="24"/>
        </w:rPr>
        <w:t>“distinction, significant</w:t>
      </w:r>
      <w:r w:rsidR="002346D2" w:rsidRPr="000F0428">
        <w:rPr>
          <w:rFonts w:ascii="Times New Roman" w:hAnsi="Times New Roman" w:cs="Times New Roman"/>
          <w:i/>
          <w:sz w:val="24"/>
          <w:szCs w:val="24"/>
        </w:rPr>
        <w:t xml:space="preserve"> in planning terms between the use of </w:t>
      </w:r>
      <w:r w:rsidR="00776EB3" w:rsidRPr="000F0428">
        <w:rPr>
          <w:rFonts w:ascii="Times New Roman" w:hAnsi="Times New Roman" w:cs="Times New Roman"/>
          <w:i/>
          <w:sz w:val="24"/>
          <w:szCs w:val="24"/>
        </w:rPr>
        <w:t>land</w:t>
      </w:r>
      <w:r w:rsidR="002346D2" w:rsidRPr="000F0428">
        <w:rPr>
          <w:rFonts w:ascii="Times New Roman" w:hAnsi="Times New Roman" w:cs="Times New Roman"/>
          <w:i/>
          <w:sz w:val="24"/>
          <w:szCs w:val="24"/>
        </w:rPr>
        <w:t xml:space="preserve"> for travelling showpeople and </w:t>
      </w:r>
      <w:r w:rsidR="00776EB3" w:rsidRPr="000F0428">
        <w:rPr>
          <w:rFonts w:ascii="Times New Roman" w:hAnsi="Times New Roman" w:cs="Times New Roman"/>
          <w:i/>
          <w:sz w:val="24"/>
          <w:szCs w:val="24"/>
        </w:rPr>
        <w:t xml:space="preserve">its </w:t>
      </w:r>
      <w:r w:rsidR="002346D2" w:rsidRPr="000F0428">
        <w:rPr>
          <w:rFonts w:ascii="Times New Roman" w:hAnsi="Times New Roman" w:cs="Times New Roman"/>
          <w:i/>
          <w:sz w:val="24"/>
          <w:szCs w:val="24"/>
        </w:rPr>
        <w:t>use as a residential caravan site</w:t>
      </w:r>
      <w:r w:rsidR="00776EB3" w:rsidRPr="000F0428">
        <w:rPr>
          <w:rFonts w:ascii="Times New Roman" w:hAnsi="Times New Roman" w:cs="Times New Roman"/>
          <w:i/>
          <w:sz w:val="24"/>
          <w:szCs w:val="24"/>
        </w:rPr>
        <w:t>”</w:t>
      </w:r>
      <w:r w:rsidR="00776EB3" w:rsidRPr="000F0428">
        <w:rPr>
          <w:rFonts w:ascii="Times New Roman" w:hAnsi="Times New Roman" w:cs="Times New Roman"/>
          <w:sz w:val="24"/>
          <w:szCs w:val="24"/>
        </w:rPr>
        <w:t xml:space="preserve"> and that a TS site “</w:t>
      </w:r>
      <w:r w:rsidR="00776EB3" w:rsidRPr="000F0428">
        <w:rPr>
          <w:rFonts w:ascii="Times New Roman" w:hAnsi="Times New Roman" w:cs="Times New Roman"/>
          <w:i/>
          <w:sz w:val="24"/>
          <w:szCs w:val="24"/>
        </w:rPr>
        <w:t xml:space="preserve">may” </w:t>
      </w:r>
      <w:r w:rsidR="00776EB3" w:rsidRPr="000F0428">
        <w:rPr>
          <w:rFonts w:ascii="Times New Roman" w:hAnsi="Times New Roman" w:cs="Times New Roman"/>
          <w:sz w:val="24"/>
          <w:szCs w:val="24"/>
        </w:rPr>
        <w:t xml:space="preserve">be a </w:t>
      </w:r>
      <w:r w:rsidR="00776EB3" w:rsidRPr="000F0428">
        <w:rPr>
          <w:rFonts w:ascii="Times New Roman" w:hAnsi="Times New Roman" w:cs="Times New Roman"/>
          <w:i/>
          <w:sz w:val="24"/>
          <w:szCs w:val="24"/>
        </w:rPr>
        <w:t xml:space="preserve">“significant and separate land use in planning terms” </w:t>
      </w:r>
      <w:r w:rsidR="00776EB3" w:rsidRPr="000F0428">
        <w:rPr>
          <w:rFonts w:ascii="Times New Roman" w:hAnsi="Times New Roman" w:cs="Times New Roman"/>
          <w:sz w:val="24"/>
          <w:szCs w:val="24"/>
        </w:rPr>
        <w:t>(see paragraphs 40-41 of the judgment)</w:t>
      </w:r>
      <w:r w:rsidR="002346D2" w:rsidRPr="000F04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9A22C" w14:textId="77777777" w:rsidR="003728F0" w:rsidRPr="003728F0" w:rsidRDefault="003728F0" w:rsidP="003728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E21843" w14:textId="0AC1DE2E" w:rsidR="003728F0" w:rsidRDefault="000F0428" w:rsidP="00651D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 to the</w:t>
      </w:r>
      <w:r w:rsidR="001D4CD7">
        <w:rPr>
          <w:rFonts w:ascii="Times New Roman" w:hAnsi="Times New Roman" w:cs="Times New Roman"/>
          <w:sz w:val="24"/>
          <w:szCs w:val="24"/>
        </w:rPr>
        <w:t xml:space="preserve"> existing lawful use,</w:t>
      </w:r>
      <w:r w:rsidR="00FE1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at</w:t>
      </w:r>
      <w:r w:rsidR="00FE1D89">
        <w:rPr>
          <w:rFonts w:ascii="Times New Roman" w:hAnsi="Times New Roman" w:cs="Times New Roman"/>
          <w:sz w:val="24"/>
          <w:szCs w:val="24"/>
        </w:rPr>
        <w:t xml:space="preserve"> 31 July 2017,</w:t>
      </w:r>
      <w:r w:rsidR="001D4CD7">
        <w:rPr>
          <w:rFonts w:ascii="Times New Roman" w:hAnsi="Times New Roman" w:cs="Times New Roman"/>
          <w:sz w:val="24"/>
          <w:szCs w:val="24"/>
        </w:rPr>
        <w:t xml:space="preserve"> the main point of distinction between the parties relates to the extent to which caravans on the site have been occupied, for how long and by whom</w:t>
      </w:r>
      <w:r w:rsidR="00FE1D8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D4CD7">
        <w:rPr>
          <w:rFonts w:ascii="Times New Roman" w:hAnsi="Times New Roman" w:cs="Times New Roman"/>
          <w:sz w:val="24"/>
          <w:szCs w:val="24"/>
        </w:rPr>
        <w:t xml:space="preserve">. The Appellant seeks to </w:t>
      </w:r>
      <w:r>
        <w:rPr>
          <w:rFonts w:ascii="Times New Roman" w:hAnsi="Times New Roman" w:cs="Times New Roman"/>
          <w:sz w:val="24"/>
          <w:szCs w:val="24"/>
        </w:rPr>
        <w:t>claim</w:t>
      </w:r>
      <w:r w:rsidR="001D4CD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 established lawful</w:t>
      </w:r>
      <w:r w:rsidR="001D4CD7">
        <w:rPr>
          <w:rFonts w:ascii="Times New Roman" w:hAnsi="Times New Roman" w:cs="Times New Roman"/>
          <w:sz w:val="24"/>
          <w:szCs w:val="24"/>
        </w:rPr>
        <w:t xml:space="preserve"> residential use of the site that is </w:t>
      </w:r>
      <w:r>
        <w:rPr>
          <w:rFonts w:ascii="Times New Roman" w:hAnsi="Times New Roman" w:cs="Times New Roman"/>
          <w:sz w:val="24"/>
          <w:szCs w:val="24"/>
        </w:rPr>
        <w:t xml:space="preserve">entirely </w:t>
      </w:r>
      <w:r w:rsidR="001D4CD7">
        <w:rPr>
          <w:rFonts w:ascii="Times New Roman" w:hAnsi="Times New Roman" w:cs="Times New Roman"/>
          <w:sz w:val="24"/>
          <w:szCs w:val="24"/>
        </w:rPr>
        <w:t xml:space="preserve">unrelated to the </w:t>
      </w:r>
      <w:r w:rsidR="002022C7">
        <w:rPr>
          <w:rFonts w:ascii="Times New Roman" w:hAnsi="Times New Roman" w:cs="Times New Roman"/>
          <w:sz w:val="24"/>
          <w:szCs w:val="24"/>
        </w:rPr>
        <w:t>TS site</w:t>
      </w:r>
      <w:r w:rsidR="001D4CD7">
        <w:rPr>
          <w:rFonts w:ascii="Times New Roman" w:hAnsi="Times New Roman" w:cs="Times New Roman"/>
          <w:sz w:val="24"/>
          <w:szCs w:val="24"/>
        </w:rPr>
        <w:t xml:space="preserve"> use. The City submits that the Appellant’s evidence is </w:t>
      </w:r>
      <w:r w:rsidR="00DB3A5F">
        <w:rPr>
          <w:rFonts w:ascii="Times New Roman" w:hAnsi="Times New Roman" w:cs="Times New Roman"/>
          <w:sz w:val="24"/>
          <w:szCs w:val="24"/>
        </w:rPr>
        <w:t xml:space="preserve">extremely limited and is </w:t>
      </w:r>
      <w:r w:rsidR="001D4CD7">
        <w:rPr>
          <w:rFonts w:ascii="Times New Roman" w:hAnsi="Times New Roman" w:cs="Times New Roman"/>
          <w:sz w:val="24"/>
          <w:szCs w:val="24"/>
        </w:rPr>
        <w:t xml:space="preserve">unclear and ambiguous as to this </w:t>
      </w:r>
      <w:r w:rsidR="00FE1D89">
        <w:rPr>
          <w:rFonts w:ascii="Times New Roman" w:hAnsi="Times New Roman" w:cs="Times New Roman"/>
          <w:sz w:val="24"/>
          <w:szCs w:val="24"/>
        </w:rPr>
        <w:t xml:space="preserve">purported </w:t>
      </w:r>
      <w:r w:rsidR="001D4CD7">
        <w:rPr>
          <w:rFonts w:ascii="Times New Roman" w:hAnsi="Times New Roman" w:cs="Times New Roman"/>
          <w:sz w:val="24"/>
          <w:szCs w:val="24"/>
        </w:rPr>
        <w:t>use and further that</w:t>
      </w:r>
      <w:r w:rsidR="00FE1D89">
        <w:rPr>
          <w:rFonts w:ascii="Times New Roman" w:hAnsi="Times New Roman" w:cs="Times New Roman"/>
          <w:sz w:val="24"/>
          <w:szCs w:val="24"/>
        </w:rPr>
        <w:t xml:space="preserve"> there is evidence presented in this appeal that contradicts the Appellant’s position</w:t>
      </w:r>
      <w:r>
        <w:rPr>
          <w:rFonts w:ascii="Times New Roman" w:hAnsi="Times New Roman" w:cs="Times New Roman"/>
          <w:sz w:val="24"/>
          <w:szCs w:val="24"/>
        </w:rPr>
        <w:t xml:space="preserve"> both in relation to the ‘unrelated’ nature of occupants and the continuity of use</w:t>
      </w:r>
      <w:r w:rsidR="00FE1D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C38A1" w14:textId="77777777" w:rsidR="003A5527" w:rsidRDefault="003A5527" w:rsidP="00371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29ABC" w14:textId="3086E16F" w:rsidR="003A5527" w:rsidRPr="003A5527" w:rsidRDefault="003A5527" w:rsidP="003A552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527">
        <w:rPr>
          <w:rFonts w:ascii="Times New Roman" w:hAnsi="Times New Roman" w:cs="Times New Roman"/>
          <w:sz w:val="24"/>
          <w:szCs w:val="24"/>
          <w:u w:val="single"/>
        </w:rPr>
        <w:t>Material Change of Use</w:t>
      </w:r>
    </w:p>
    <w:p w14:paraId="664A1282" w14:textId="3B490B75" w:rsidR="001B7501" w:rsidRPr="005F295A" w:rsidRDefault="005F295A" w:rsidP="005F29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residential caravan site is </w:t>
      </w:r>
      <w:r w:rsidR="000F0428" w:rsidRPr="000F0428">
        <w:rPr>
          <w:rFonts w:ascii="Times New Roman" w:hAnsi="Times New Roman" w:cs="Times New Roman"/>
          <w:i/>
          <w:sz w:val="24"/>
          <w:szCs w:val="24"/>
        </w:rPr>
        <w:t>“</w:t>
      </w:r>
      <w:r w:rsidR="00E72630" w:rsidRPr="000F0428">
        <w:rPr>
          <w:rFonts w:ascii="Times New Roman" w:hAnsi="Times New Roman" w:cs="Times New Roman"/>
          <w:i/>
          <w:sz w:val="24"/>
          <w:szCs w:val="24"/>
        </w:rPr>
        <w:t>significantly distinct</w:t>
      </w:r>
      <w:r w:rsidR="000F0428" w:rsidRPr="000F0428">
        <w:rPr>
          <w:rFonts w:ascii="Times New Roman" w:hAnsi="Times New Roman" w:cs="Times New Roman"/>
          <w:i/>
          <w:sz w:val="24"/>
          <w:szCs w:val="24"/>
        </w:rPr>
        <w:t>”</w:t>
      </w:r>
      <w:r w:rsidR="00E72630">
        <w:rPr>
          <w:rFonts w:ascii="Times New Roman" w:hAnsi="Times New Roman" w:cs="Times New Roman"/>
          <w:sz w:val="24"/>
          <w:szCs w:val="24"/>
        </w:rPr>
        <w:t xml:space="preserve"> in planning terms from a TS site, as established by the High Court in </w:t>
      </w:r>
      <w:r w:rsidR="00E72630" w:rsidRPr="00E72630">
        <w:rPr>
          <w:rFonts w:ascii="Times New Roman" w:hAnsi="Times New Roman" w:cs="Times New Roman"/>
          <w:i/>
          <w:sz w:val="24"/>
          <w:szCs w:val="24"/>
        </w:rPr>
        <w:t>Winchester City Council</w:t>
      </w:r>
      <w:r w:rsidR="003A5527">
        <w:rPr>
          <w:rFonts w:ascii="Times New Roman" w:hAnsi="Times New Roman" w:cs="Times New Roman"/>
          <w:sz w:val="24"/>
          <w:szCs w:val="24"/>
        </w:rPr>
        <w:t>.</w:t>
      </w:r>
      <w:r w:rsidR="00E72630">
        <w:rPr>
          <w:rFonts w:ascii="Times New Roman" w:hAnsi="Times New Roman" w:cs="Times New Roman"/>
          <w:sz w:val="24"/>
          <w:szCs w:val="24"/>
        </w:rPr>
        <w:t xml:space="preserve"> </w:t>
      </w:r>
      <w:r w:rsidR="00776EB3">
        <w:rPr>
          <w:rFonts w:ascii="Times New Roman" w:hAnsi="Times New Roman" w:cs="Times New Roman"/>
          <w:sz w:val="24"/>
          <w:szCs w:val="24"/>
        </w:rPr>
        <w:t>Consequently, the</w:t>
      </w:r>
      <w:r w:rsidR="000F0428">
        <w:rPr>
          <w:rFonts w:ascii="Times New Roman" w:hAnsi="Times New Roman" w:cs="Times New Roman"/>
          <w:sz w:val="24"/>
          <w:szCs w:val="24"/>
        </w:rPr>
        <w:t xml:space="preserve"> City submits that</w:t>
      </w:r>
      <w:r w:rsidR="00776EB3">
        <w:rPr>
          <w:rFonts w:ascii="Times New Roman" w:hAnsi="Times New Roman" w:cs="Times New Roman"/>
          <w:sz w:val="24"/>
          <w:szCs w:val="24"/>
        </w:rPr>
        <w:t xml:space="preserve"> proposed change of use would, of its nature, result in a material change of use. The appeal should be dismissed on that basis. </w:t>
      </w:r>
    </w:p>
    <w:p w14:paraId="26DF48B6" w14:textId="77777777" w:rsidR="002346D2" w:rsidRDefault="002346D2" w:rsidP="002346D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C32BABE" w14:textId="17A8194C" w:rsidR="001B7501" w:rsidRPr="002346D2" w:rsidRDefault="002346D2" w:rsidP="002346D2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346D2">
        <w:rPr>
          <w:rFonts w:ascii="Times New Roman" w:hAnsi="Times New Roman" w:cs="Times New Roman"/>
          <w:sz w:val="24"/>
          <w:szCs w:val="24"/>
          <w:u w:val="single"/>
        </w:rPr>
        <w:t>Material Change of Use – Position in the Alternative</w:t>
      </w:r>
    </w:p>
    <w:p w14:paraId="18BFF85F" w14:textId="77777777" w:rsidR="002346D2" w:rsidRPr="00E42505" w:rsidRDefault="002346D2" w:rsidP="002346D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1A12B3" w14:textId="5CD6ED51" w:rsidR="00BD4041" w:rsidRDefault="00DA03F6" w:rsidP="002346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found (contrary to the City’s position</w:t>
      </w:r>
      <w:r w:rsidR="00BD4041">
        <w:rPr>
          <w:rFonts w:ascii="Times New Roman" w:hAnsi="Times New Roman" w:cs="Times New Roman"/>
          <w:sz w:val="24"/>
          <w:szCs w:val="24"/>
        </w:rPr>
        <w:t xml:space="preserve">) that the site’s existing lawful use is that of a </w:t>
      </w:r>
      <w:r w:rsidR="00CC40AC">
        <w:rPr>
          <w:rFonts w:ascii="Times New Roman" w:hAnsi="Times New Roman" w:cs="Times New Roman"/>
          <w:sz w:val="24"/>
          <w:szCs w:val="24"/>
        </w:rPr>
        <w:t xml:space="preserve">composite </w:t>
      </w:r>
      <w:r w:rsidR="00BD4041">
        <w:rPr>
          <w:rFonts w:ascii="Times New Roman" w:hAnsi="Times New Roman" w:cs="Times New Roman"/>
          <w:sz w:val="24"/>
          <w:szCs w:val="24"/>
        </w:rPr>
        <w:t xml:space="preserve">mixed use site comprising TS use and minor unrelated residential use, the City submits that the proposed change to a </w:t>
      </w:r>
      <w:r w:rsidR="00301782">
        <w:rPr>
          <w:rFonts w:ascii="Times New Roman" w:hAnsi="Times New Roman" w:cs="Times New Roman"/>
          <w:sz w:val="24"/>
          <w:szCs w:val="24"/>
        </w:rPr>
        <w:lastRenderedPageBreak/>
        <w:t xml:space="preserve">permanent </w:t>
      </w:r>
      <w:r w:rsidR="00BD4041">
        <w:rPr>
          <w:rFonts w:ascii="Times New Roman" w:hAnsi="Times New Roman" w:cs="Times New Roman"/>
          <w:sz w:val="24"/>
          <w:szCs w:val="24"/>
        </w:rPr>
        <w:t xml:space="preserve">residential caravan </w:t>
      </w:r>
      <w:r w:rsidR="00301782">
        <w:rPr>
          <w:rFonts w:ascii="Times New Roman" w:hAnsi="Times New Roman" w:cs="Times New Roman"/>
          <w:sz w:val="24"/>
          <w:szCs w:val="24"/>
        </w:rPr>
        <w:t>use</w:t>
      </w:r>
      <w:r w:rsidR="00BD4041">
        <w:rPr>
          <w:rFonts w:ascii="Times New Roman" w:hAnsi="Times New Roman" w:cs="Times New Roman"/>
          <w:sz w:val="24"/>
          <w:szCs w:val="24"/>
        </w:rPr>
        <w:t xml:space="preserve"> </w:t>
      </w:r>
      <w:r w:rsidR="00EB632C">
        <w:rPr>
          <w:rFonts w:ascii="Times New Roman" w:hAnsi="Times New Roman" w:cs="Times New Roman"/>
          <w:sz w:val="24"/>
          <w:szCs w:val="24"/>
        </w:rPr>
        <w:t xml:space="preserve">across the entirety of the site </w:t>
      </w:r>
      <w:r w:rsidR="00BD4041">
        <w:rPr>
          <w:rFonts w:ascii="Times New Roman" w:hAnsi="Times New Roman" w:cs="Times New Roman"/>
          <w:sz w:val="24"/>
          <w:szCs w:val="24"/>
        </w:rPr>
        <w:t>would, consistent with the Council’s position</w:t>
      </w:r>
      <w:r w:rsidR="00EB632C">
        <w:rPr>
          <w:rFonts w:ascii="Times New Roman" w:hAnsi="Times New Roman" w:cs="Times New Roman"/>
          <w:sz w:val="24"/>
          <w:szCs w:val="24"/>
        </w:rPr>
        <w:t xml:space="preserve">, </w:t>
      </w:r>
      <w:r w:rsidR="00BD4041">
        <w:rPr>
          <w:rFonts w:ascii="Times New Roman" w:hAnsi="Times New Roman" w:cs="Times New Roman"/>
          <w:sz w:val="24"/>
          <w:szCs w:val="24"/>
        </w:rPr>
        <w:t>be material.</w:t>
      </w:r>
    </w:p>
    <w:p w14:paraId="7C5FD7AE" w14:textId="77777777" w:rsidR="00BD4041" w:rsidRDefault="00BD4041" w:rsidP="00BD404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F009A1" w14:textId="5EE5A90F" w:rsidR="00E726B7" w:rsidRDefault="00BD4041" w:rsidP="002346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32C">
        <w:rPr>
          <w:rFonts w:ascii="Times New Roman" w:hAnsi="Times New Roman" w:cs="Times New Roman"/>
          <w:sz w:val="24"/>
          <w:szCs w:val="24"/>
        </w:rPr>
        <w:t xml:space="preserve">The Appellant’s </w:t>
      </w:r>
      <w:r w:rsidR="00301782">
        <w:rPr>
          <w:rFonts w:ascii="Times New Roman" w:hAnsi="Times New Roman" w:cs="Times New Roman"/>
          <w:sz w:val="24"/>
          <w:szCs w:val="24"/>
        </w:rPr>
        <w:t>case</w:t>
      </w:r>
      <w:r w:rsidR="00EB632C">
        <w:rPr>
          <w:rFonts w:ascii="Times New Roman" w:hAnsi="Times New Roman" w:cs="Times New Roman"/>
          <w:sz w:val="24"/>
          <w:szCs w:val="24"/>
        </w:rPr>
        <w:t>, at heart, is that it could</w:t>
      </w:r>
      <w:r w:rsidR="00301782">
        <w:rPr>
          <w:rFonts w:ascii="Times New Roman" w:hAnsi="Times New Roman" w:cs="Times New Roman"/>
          <w:sz w:val="24"/>
          <w:szCs w:val="24"/>
        </w:rPr>
        <w:t xml:space="preserve">, </w:t>
      </w:r>
      <w:r w:rsidR="00810BB9">
        <w:rPr>
          <w:rFonts w:ascii="Times New Roman" w:hAnsi="Times New Roman" w:cs="Times New Roman"/>
          <w:sz w:val="24"/>
          <w:szCs w:val="24"/>
        </w:rPr>
        <w:t xml:space="preserve">lawfully and </w:t>
      </w:r>
      <w:r w:rsidR="00301782">
        <w:rPr>
          <w:rFonts w:ascii="Times New Roman" w:hAnsi="Times New Roman" w:cs="Times New Roman"/>
          <w:sz w:val="24"/>
          <w:szCs w:val="24"/>
        </w:rPr>
        <w:t>without planning permission,</w:t>
      </w:r>
      <w:r w:rsidR="00EB632C">
        <w:rPr>
          <w:rFonts w:ascii="Times New Roman" w:hAnsi="Times New Roman" w:cs="Times New Roman"/>
          <w:sz w:val="24"/>
          <w:szCs w:val="24"/>
        </w:rPr>
        <w:t xml:space="preserve"> strip out all </w:t>
      </w:r>
      <w:r w:rsidR="00280FB2">
        <w:rPr>
          <w:rFonts w:ascii="Times New Roman" w:hAnsi="Times New Roman" w:cs="Times New Roman"/>
          <w:sz w:val="24"/>
          <w:szCs w:val="24"/>
        </w:rPr>
        <w:t>elements of the TS use (the peripatetic and seasonal occupation by those travelling to fairs, the equipment storage</w:t>
      </w:r>
      <w:r w:rsidR="00AA4DDF">
        <w:rPr>
          <w:rFonts w:ascii="Times New Roman" w:hAnsi="Times New Roman" w:cs="Times New Roman"/>
          <w:sz w:val="24"/>
          <w:szCs w:val="24"/>
        </w:rPr>
        <w:t xml:space="preserve"> activities,</w:t>
      </w:r>
      <w:r w:rsidR="00280FB2">
        <w:rPr>
          <w:rFonts w:ascii="Times New Roman" w:hAnsi="Times New Roman" w:cs="Times New Roman"/>
          <w:sz w:val="24"/>
          <w:szCs w:val="24"/>
        </w:rPr>
        <w:t xml:space="preserve"> the maintenance activities)</w:t>
      </w:r>
      <w:r w:rsidR="00AA4DDF">
        <w:rPr>
          <w:rFonts w:ascii="Times New Roman" w:hAnsi="Times New Roman" w:cs="Times New Roman"/>
          <w:sz w:val="24"/>
          <w:szCs w:val="24"/>
        </w:rPr>
        <w:t xml:space="preserve"> and in its place put the site into sole residential use. </w:t>
      </w:r>
    </w:p>
    <w:p w14:paraId="5BEFE608" w14:textId="77777777" w:rsidR="00CC40AC" w:rsidRPr="00CC40AC" w:rsidRDefault="00CC40AC" w:rsidP="00CC40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BF8C50" w14:textId="6B722DCB" w:rsidR="00301782" w:rsidRPr="00714426" w:rsidRDefault="00301782" w:rsidP="007144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circumstances in which a site is in composite mixed use, </w:t>
      </w:r>
      <w:r w:rsidR="00DB23F5">
        <w:rPr>
          <w:rFonts w:ascii="Times New Roman" w:hAnsi="Times New Roman" w:cs="Times New Roman"/>
          <w:sz w:val="24"/>
          <w:szCs w:val="24"/>
        </w:rPr>
        <w:t>the proper approach, established through case law</w:t>
      </w:r>
      <w:r w:rsidR="00DB23F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B23F5">
        <w:rPr>
          <w:rFonts w:ascii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hAnsi="Times New Roman" w:cs="Times New Roman"/>
          <w:sz w:val="24"/>
          <w:szCs w:val="24"/>
        </w:rPr>
        <w:t xml:space="preserve">that the mere cessation of one of the activities on </w:t>
      </w:r>
      <w:r w:rsidR="00DB23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site does not, in and of itself, give rise to a material change of use. The case law has established that in such circumstances, one must look to the </w:t>
      </w:r>
      <w:r w:rsidR="00DB23F5">
        <w:rPr>
          <w:rFonts w:ascii="Times New Roman" w:hAnsi="Times New Roman" w:cs="Times New Roman"/>
          <w:sz w:val="24"/>
          <w:szCs w:val="24"/>
        </w:rPr>
        <w:t xml:space="preserve">character of the </w:t>
      </w:r>
      <w:r w:rsidR="002B7D96">
        <w:rPr>
          <w:rFonts w:ascii="Times New Roman" w:hAnsi="Times New Roman" w:cs="Times New Roman"/>
          <w:sz w:val="24"/>
          <w:szCs w:val="24"/>
        </w:rPr>
        <w:t>use of the site before and after th</w:t>
      </w:r>
      <w:r w:rsidR="00740647">
        <w:rPr>
          <w:rFonts w:ascii="Times New Roman" w:hAnsi="Times New Roman" w:cs="Times New Roman"/>
          <w:sz w:val="24"/>
          <w:szCs w:val="24"/>
        </w:rPr>
        <w:t xml:space="preserve">e cessation and whether </w:t>
      </w:r>
      <w:r w:rsidR="002B7D96">
        <w:rPr>
          <w:rFonts w:ascii="Times New Roman" w:hAnsi="Times New Roman" w:cs="Times New Roman"/>
          <w:sz w:val="24"/>
          <w:szCs w:val="24"/>
        </w:rPr>
        <w:t>the remaining use has intensified and/or absorbed the site. Applying the case law to what is proposed by the Appell</w:t>
      </w:r>
      <w:r w:rsidR="004460BB">
        <w:rPr>
          <w:rFonts w:ascii="Times New Roman" w:hAnsi="Times New Roman" w:cs="Times New Roman"/>
          <w:sz w:val="24"/>
          <w:szCs w:val="24"/>
        </w:rPr>
        <w:t xml:space="preserve">ant </w:t>
      </w:r>
      <w:r w:rsidR="00740647">
        <w:rPr>
          <w:rFonts w:ascii="Times New Roman" w:hAnsi="Times New Roman" w:cs="Times New Roman"/>
          <w:sz w:val="24"/>
          <w:szCs w:val="24"/>
        </w:rPr>
        <w:t>through</w:t>
      </w:r>
      <w:r w:rsidR="004460BB">
        <w:rPr>
          <w:rFonts w:ascii="Times New Roman" w:hAnsi="Times New Roman" w:cs="Times New Roman"/>
          <w:sz w:val="24"/>
          <w:szCs w:val="24"/>
        </w:rPr>
        <w:t xml:space="preserve"> its illustrative layout, the City s</w:t>
      </w:r>
      <w:r w:rsidR="00740647">
        <w:rPr>
          <w:rFonts w:ascii="Times New Roman" w:hAnsi="Times New Roman" w:cs="Times New Roman"/>
          <w:sz w:val="24"/>
          <w:szCs w:val="24"/>
        </w:rPr>
        <w:t>ubmits that the site in s</w:t>
      </w:r>
      <w:r w:rsidR="004460BB">
        <w:rPr>
          <w:rFonts w:ascii="Times New Roman" w:hAnsi="Times New Roman" w:cs="Times New Roman"/>
          <w:sz w:val="24"/>
          <w:szCs w:val="24"/>
        </w:rPr>
        <w:t xml:space="preserve">ole permanent residential use as a caravan site </w:t>
      </w:r>
      <w:r w:rsidR="00740647">
        <w:rPr>
          <w:rFonts w:ascii="Times New Roman" w:hAnsi="Times New Roman" w:cs="Times New Roman"/>
          <w:sz w:val="24"/>
          <w:szCs w:val="24"/>
        </w:rPr>
        <w:t xml:space="preserve">as </w:t>
      </w:r>
      <w:r w:rsidR="004460BB">
        <w:rPr>
          <w:rFonts w:ascii="Times New Roman" w:hAnsi="Times New Roman" w:cs="Times New Roman"/>
          <w:sz w:val="24"/>
          <w:szCs w:val="24"/>
        </w:rPr>
        <w:t>would absorb the site and be of a wholly different character to the composite use. On this basis, the proposed change, would be material</w:t>
      </w:r>
      <w:r w:rsidR="00740647">
        <w:rPr>
          <w:rFonts w:ascii="Times New Roman" w:hAnsi="Times New Roman" w:cs="Times New Roman"/>
          <w:sz w:val="24"/>
          <w:szCs w:val="24"/>
        </w:rPr>
        <w:t xml:space="preserve"> and would require planning permission</w:t>
      </w:r>
      <w:r w:rsidR="004460BB">
        <w:rPr>
          <w:rFonts w:ascii="Times New Roman" w:hAnsi="Times New Roman" w:cs="Times New Roman"/>
          <w:sz w:val="24"/>
          <w:szCs w:val="24"/>
        </w:rPr>
        <w:t xml:space="preserve">. </w:t>
      </w:r>
      <w:r w:rsidR="00DB23F5">
        <w:rPr>
          <w:rFonts w:ascii="Times New Roman" w:hAnsi="Times New Roman" w:cs="Times New Roman"/>
          <w:sz w:val="24"/>
          <w:szCs w:val="24"/>
        </w:rPr>
        <w:t xml:space="preserve"> </w:t>
      </w:r>
      <w:r w:rsidR="00714426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4F00B6">
        <w:rPr>
          <w:rFonts w:ascii="Times New Roman" w:hAnsi="Times New Roman" w:cs="Times New Roman"/>
          <w:sz w:val="24"/>
          <w:szCs w:val="24"/>
        </w:rPr>
        <w:t>o</w:t>
      </w:r>
      <w:r w:rsidR="004460BB" w:rsidRPr="00714426">
        <w:rPr>
          <w:rFonts w:ascii="Times New Roman" w:hAnsi="Times New Roman" w:cs="Times New Roman"/>
          <w:sz w:val="24"/>
          <w:szCs w:val="24"/>
        </w:rPr>
        <w:t xml:space="preserve">n the basis of </w:t>
      </w:r>
      <w:r w:rsidR="005F295A" w:rsidRPr="00714426">
        <w:rPr>
          <w:rFonts w:ascii="Times New Roman" w:hAnsi="Times New Roman" w:cs="Times New Roman"/>
          <w:sz w:val="24"/>
          <w:szCs w:val="24"/>
        </w:rPr>
        <w:t xml:space="preserve">either </w:t>
      </w:r>
      <w:r w:rsidR="004460BB" w:rsidRPr="00714426">
        <w:rPr>
          <w:rFonts w:ascii="Times New Roman" w:hAnsi="Times New Roman" w:cs="Times New Roman"/>
          <w:sz w:val="24"/>
          <w:szCs w:val="24"/>
        </w:rPr>
        <w:t xml:space="preserve">the City’s case or the alternative position of the Council, the appeal should be dismissed. </w:t>
      </w:r>
    </w:p>
    <w:p w14:paraId="1D75428A" w14:textId="77777777" w:rsidR="00E726B7" w:rsidRPr="00E42505" w:rsidRDefault="00347BB9" w:rsidP="00E726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 xml:space="preserve">Caroline Daly </w:t>
      </w:r>
    </w:p>
    <w:p w14:paraId="601E2BAC" w14:textId="77777777" w:rsidR="00E726B7" w:rsidRPr="00E42505" w:rsidRDefault="00347BB9" w:rsidP="00E726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>Francis Taylor Building</w:t>
      </w:r>
    </w:p>
    <w:p w14:paraId="6BFF2DAD" w14:textId="02251033" w:rsidR="00AA1CD6" w:rsidRPr="00E42505" w:rsidRDefault="00AA1CD6" w:rsidP="00E726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 xml:space="preserve">Inner Temple </w:t>
      </w:r>
    </w:p>
    <w:p w14:paraId="37884753" w14:textId="7359154D" w:rsidR="00AA1CD6" w:rsidRPr="00E42505" w:rsidRDefault="00AA1CD6" w:rsidP="00E726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505">
        <w:rPr>
          <w:rFonts w:ascii="Times New Roman" w:hAnsi="Times New Roman" w:cs="Times New Roman"/>
          <w:b/>
          <w:sz w:val="24"/>
          <w:szCs w:val="24"/>
        </w:rPr>
        <w:t>EC4Y 7BY</w:t>
      </w:r>
    </w:p>
    <w:p w14:paraId="62EB2E38" w14:textId="77777777" w:rsidR="00AA1CD6" w:rsidRPr="00E42505" w:rsidRDefault="00AA1CD6" w:rsidP="00E726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26F1AE" w14:textId="057F5F3A" w:rsidR="005838B6" w:rsidRPr="00E42505" w:rsidRDefault="00D5439A" w:rsidP="00E726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February 2019</w:t>
      </w:r>
    </w:p>
    <w:sectPr w:rsidR="005838B6" w:rsidRPr="00E42505" w:rsidSect="003A4EF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F2E0" w14:textId="77777777" w:rsidR="00363D65" w:rsidRDefault="00363D65" w:rsidP="00DE711D">
      <w:r>
        <w:separator/>
      </w:r>
    </w:p>
  </w:endnote>
  <w:endnote w:type="continuationSeparator" w:id="0">
    <w:p w14:paraId="3CBC1F44" w14:textId="77777777" w:rsidR="00363D65" w:rsidRDefault="00363D65" w:rsidP="00DE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2DC9" w14:textId="77777777" w:rsidR="00EC2A73" w:rsidRDefault="00EC2A73" w:rsidP="00DE7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A56F4" w14:textId="77777777" w:rsidR="00EC2A73" w:rsidRDefault="00EC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5F2C" w14:textId="45CC7716" w:rsidR="00EC2A73" w:rsidRDefault="00EC2A73" w:rsidP="00DE7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5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3E02B0" w14:textId="77777777" w:rsidR="00EC2A73" w:rsidRDefault="00EC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2109" w14:textId="77777777" w:rsidR="00363D65" w:rsidRDefault="00363D65" w:rsidP="00DE711D">
      <w:r>
        <w:separator/>
      </w:r>
    </w:p>
  </w:footnote>
  <w:footnote w:type="continuationSeparator" w:id="0">
    <w:p w14:paraId="410E6B66" w14:textId="77777777" w:rsidR="00363D65" w:rsidRDefault="00363D65" w:rsidP="00DE711D">
      <w:r>
        <w:continuationSeparator/>
      </w:r>
    </w:p>
  </w:footnote>
  <w:footnote w:id="1">
    <w:p w14:paraId="567850D0" w14:textId="75096A26" w:rsidR="00CA719F" w:rsidRPr="00FE1D89" w:rsidRDefault="00CA719F">
      <w:pPr>
        <w:pStyle w:val="FootnoteText"/>
        <w:rPr>
          <w:rFonts w:ascii="Times New Roman" w:hAnsi="Times New Roman" w:cs="Times New Roman"/>
          <w:sz w:val="22"/>
          <w:szCs w:val="22"/>
          <w:lang w:val="en-GB"/>
        </w:rPr>
      </w:pPr>
      <w:r w:rsidRPr="00FE1D89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FE1D89">
        <w:rPr>
          <w:rFonts w:ascii="Times New Roman" w:hAnsi="Times New Roman" w:cs="Times New Roman"/>
          <w:sz w:val="22"/>
          <w:szCs w:val="22"/>
        </w:rPr>
        <w:t xml:space="preserve"> </w:t>
      </w:r>
      <w:r w:rsidRPr="00FE1D89">
        <w:rPr>
          <w:rFonts w:ascii="Times New Roman" w:hAnsi="Times New Roman" w:cs="Times New Roman"/>
          <w:sz w:val="22"/>
          <w:szCs w:val="22"/>
          <w:lang w:val="en-GB"/>
        </w:rPr>
        <w:t>See Planning Policy for Traveller Sites 2015 and Circular 04/2007, described at pp. 12-15, Proof of Evidence of Paul O’Neill.</w:t>
      </w:r>
    </w:p>
  </w:footnote>
  <w:footnote w:id="2">
    <w:p w14:paraId="1F9D0034" w14:textId="06CAF6A6" w:rsidR="00FE1D89" w:rsidRPr="00FE1D89" w:rsidRDefault="00FE1D89">
      <w:pPr>
        <w:pStyle w:val="FootnoteText"/>
        <w:rPr>
          <w:rFonts w:ascii="Times New Roman" w:hAnsi="Times New Roman" w:cs="Times New Roman"/>
          <w:sz w:val="22"/>
          <w:szCs w:val="22"/>
          <w:lang w:val="en-GB"/>
        </w:rPr>
      </w:pPr>
      <w:r w:rsidRPr="00FE1D89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FE1D89">
        <w:rPr>
          <w:rFonts w:ascii="Times New Roman" w:hAnsi="Times New Roman" w:cs="Times New Roman"/>
          <w:sz w:val="22"/>
          <w:szCs w:val="22"/>
        </w:rPr>
        <w:t xml:space="preserve"> </w:t>
      </w:r>
      <w:r w:rsidRPr="00FE1D89">
        <w:rPr>
          <w:rFonts w:ascii="Times New Roman" w:hAnsi="Times New Roman" w:cs="Times New Roman"/>
          <w:sz w:val="22"/>
          <w:szCs w:val="22"/>
          <w:lang w:val="en-GB"/>
        </w:rPr>
        <w:t xml:space="preserve">See Statement of Common Ground para 1.2. </w:t>
      </w:r>
    </w:p>
  </w:footnote>
  <w:footnote w:id="3">
    <w:p w14:paraId="282B618D" w14:textId="23D47410" w:rsidR="00DB23F5" w:rsidRPr="00FE1D89" w:rsidRDefault="00DB23F5">
      <w:pPr>
        <w:pStyle w:val="FootnoteText"/>
        <w:rPr>
          <w:rFonts w:ascii="Times New Roman" w:hAnsi="Times New Roman" w:cs="Times New Roman"/>
          <w:sz w:val="22"/>
          <w:szCs w:val="22"/>
          <w:lang w:val="en-GB"/>
        </w:rPr>
      </w:pPr>
      <w:r w:rsidRPr="00FE1D89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FE1D89">
        <w:rPr>
          <w:rFonts w:ascii="Times New Roman" w:hAnsi="Times New Roman" w:cs="Times New Roman"/>
          <w:sz w:val="22"/>
          <w:szCs w:val="22"/>
        </w:rPr>
        <w:t xml:space="preserve"> </w:t>
      </w:r>
      <w:r w:rsidRPr="00BF2F67">
        <w:rPr>
          <w:rFonts w:ascii="Times New Roman" w:hAnsi="Times New Roman" w:cs="Times New Roman"/>
          <w:i/>
          <w:sz w:val="22"/>
          <w:szCs w:val="22"/>
          <w:lang w:val="en-GB"/>
        </w:rPr>
        <w:t>Wipperman v Barking LBC</w:t>
      </w:r>
      <w:r w:rsidRPr="00FE1D89">
        <w:rPr>
          <w:rFonts w:ascii="Times New Roman" w:hAnsi="Times New Roman" w:cs="Times New Roman"/>
          <w:sz w:val="22"/>
          <w:szCs w:val="22"/>
          <w:lang w:val="en-GB"/>
        </w:rPr>
        <w:t xml:space="preserve"> (1966) 17 P &amp; CR 225.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FEF"/>
    <w:multiLevelType w:val="hybridMultilevel"/>
    <w:tmpl w:val="D3B8B518"/>
    <w:lvl w:ilvl="0" w:tplc="748A59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35CE"/>
    <w:multiLevelType w:val="hybridMultilevel"/>
    <w:tmpl w:val="A32A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404"/>
    <w:multiLevelType w:val="hybridMultilevel"/>
    <w:tmpl w:val="5238902E"/>
    <w:lvl w:ilvl="0" w:tplc="292268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A60ADF"/>
    <w:multiLevelType w:val="hybridMultilevel"/>
    <w:tmpl w:val="A31614B4"/>
    <w:lvl w:ilvl="0" w:tplc="0409000F">
      <w:start w:val="1"/>
      <w:numFmt w:val="decimal"/>
      <w:lvlText w:val="%1."/>
      <w:lvlJc w:val="left"/>
      <w:pPr>
        <w:ind w:left="1148" w:hanging="360"/>
      </w:p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3AC30E61"/>
    <w:multiLevelType w:val="hybridMultilevel"/>
    <w:tmpl w:val="DFEC15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694506"/>
    <w:multiLevelType w:val="multilevel"/>
    <w:tmpl w:val="524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C"/>
    <w:rsid w:val="00006C05"/>
    <w:rsid w:val="000160C9"/>
    <w:rsid w:val="000253AE"/>
    <w:rsid w:val="000729F9"/>
    <w:rsid w:val="00096932"/>
    <w:rsid w:val="000A4D48"/>
    <w:rsid w:val="000D1B56"/>
    <w:rsid w:val="000F0428"/>
    <w:rsid w:val="000F5196"/>
    <w:rsid w:val="00106167"/>
    <w:rsid w:val="001129FC"/>
    <w:rsid w:val="00113C20"/>
    <w:rsid w:val="00122018"/>
    <w:rsid w:val="001269E5"/>
    <w:rsid w:val="001321EB"/>
    <w:rsid w:val="001503BA"/>
    <w:rsid w:val="001554BC"/>
    <w:rsid w:val="00165751"/>
    <w:rsid w:val="00192A9A"/>
    <w:rsid w:val="00195BEA"/>
    <w:rsid w:val="001B2B6D"/>
    <w:rsid w:val="001B7501"/>
    <w:rsid w:val="001C620C"/>
    <w:rsid w:val="001C7940"/>
    <w:rsid w:val="001D4CD7"/>
    <w:rsid w:val="001D579B"/>
    <w:rsid w:val="001E578B"/>
    <w:rsid w:val="002022C7"/>
    <w:rsid w:val="00220436"/>
    <w:rsid w:val="002255AF"/>
    <w:rsid w:val="002346D2"/>
    <w:rsid w:val="00280FB2"/>
    <w:rsid w:val="002A2A16"/>
    <w:rsid w:val="002B7D96"/>
    <w:rsid w:val="002C0029"/>
    <w:rsid w:val="002C4733"/>
    <w:rsid w:val="002F3785"/>
    <w:rsid w:val="00301782"/>
    <w:rsid w:val="00323F9D"/>
    <w:rsid w:val="00343D83"/>
    <w:rsid w:val="003456E9"/>
    <w:rsid w:val="00347BB9"/>
    <w:rsid w:val="003554BC"/>
    <w:rsid w:val="00361DB2"/>
    <w:rsid w:val="00363D65"/>
    <w:rsid w:val="00366633"/>
    <w:rsid w:val="00371C6C"/>
    <w:rsid w:val="003728F0"/>
    <w:rsid w:val="00383D1F"/>
    <w:rsid w:val="003A1109"/>
    <w:rsid w:val="003A1434"/>
    <w:rsid w:val="003A4EFC"/>
    <w:rsid w:val="003A5527"/>
    <w:rsid w:val="003D56CC"/>
    <w:rsid w:val="003E000C"/>
    <w:rsid w:val="00413D58"/>
    <w:rsid w:val="004214CB"/>
    <w:rsid w:val="00431DC2"/>
    <w:rsid w:val="004460BB"/>
    <w:rsid w:val="00466421"/>
    <w:rsid w:val="004675C1"/>
    <w:rsid w:val="00475BFF"/>
    <w:rsid w:val="00480965"/>
    <w:rsid w:val="00491906"/>
    <w:rsid w:val="004B5B42"/>
    <w:rsid w:val="004D52E0"/>
    <w:rsid w:val="004D58DF"/>
    <w:rsid w:val="004E6890"/>
    <w:rsid w:val="004F00B6"/>
    <w:rsid w:val="005002C3"/>
    <w:rsid w:val="00535350"/>
    <w:rsid w:val="00540EE4"/>
    <w:rsid w:val="00551C87"/>
    <w:rsid w:val="0056566D"/>
    <w:rsid w:val="00576033"/>
    <w:rsid w:val="005838B6"/>
    <w:rsid w:val="00594312"/>
    <w:rsid w:val="005B065D"/>
    <w:rsid w:val="005B6543"/>
    <w:rsid w:val="005F295A"/>
    <w:rsid w:val="00610A96"/>
    <w:rsid w:val="00631780"/>
    <w:rsid w:val="00651D19"/>
    <w:rsid w:val="00652510"/>
    <w:rsid w:val="006628EF"/>
    <w:rsid w:val="00671173"/>
    <w:rsid w:val="006A0916"/>
    <w:rsid w:val="006A16BC"/>
    <w:rsid w:val="006A1FD6"/>
    <w:rsid w:val="006C3766"/>
    <w:rsid w:val="006E2E4F"/>
    <w:rsid w:val="006F6A19"/>
    <w:rsid w:val="00714426"/>
    <w:rsid w:val="0072040F"/>
    <w:rsid w:val="00740647"/>
    <w:rsid w:val="00743180"/>
    <w:rsid w:val="00751F9B"/>
    <w:rsid w:val="00763CB4"/>
    <w:rsid w:val="00775EB9"/>
    <w:rsid w:val="00776EB3"/>
    <w:rsid w:val="00784070"/>
    <w:rsid w:val="0078703E"/>
    <w:rsid w:val="007B280A"/>
    <w:rsid w:val="007B3E50"/>
    <w:rsid w:val="007C25D8"/>
    <w:rsid w:val="007E0843"/>
    <w:rsid w:val="007E3C4C"/>
    <w:rsid w:val="007E3FE5"/>
    <w:rsid w:val="0080045C"/>
    <w:rsid w:val="00810BB9"/>
    <w:rsid w:val="0083257F"/>
    <w:rsid w:val="00856A5F"/>
    <w:rsid w:val="00856C00"/>
    <w:rsid w:val="00867C23"/>
    <w:rsid w:val="00897A16"/>
    <w:rsid w:val="008C1865"/>
    <w:rsid w:val="008C2483"/>
    <w:rsid w:val="009028E3"/>
    <w:rsid w:val="00921F67"/>
    <w:rsid w:val="00934DE5"/>
    <w:rsid w:val="00954EFB"/>
    <w:rsid w:val="009A7247"/>
    <w:rsid w:val="009B0EE7"/>
    <w:rsid w:val="009C62B6"/>
    <w:rsid w:val="009E5457"/>
    <w:rsid w:val="00A00205"/>
    <w:rsid w:val="00A2699A"/>
    <w:rsid w:val="00A4705C"/>
    <w:rsid w:val="00A57563"/>
    <w:rsid w:val="00A64A10"/>
    <w:rsid w:val="00A67E0A"/>
    <w:rsid w:val="00A83569"/>
    <w:rsid w:val="00AA1CD6"/>
    <w:rsid w:val="00AA4DDF"/>
    <w:rsid w:val="00AB2E2E"/>
    <w:rsid w:val="00AB7BED"/>
    <w:rsid w:val="00AF7CDD"/>
    <w:rsid w:val="00B2295F"/>
    <w:rsid w:val="00B30217"/>
    <w:rsid w:val="00B868E4"/>
    <w:rsid w:val="00BA5152"/>
    <w:rsid w:val="00BB3B4A"/>
    <w:rsid w:val="00BC1E0A"/>
    <w:rsid w:val="00BD4041"/>
    <w:rsid w:val="00BD5A86"/>
    <w:rsid w:val="00BE5330"/>
    <w:rsid w:val="00BF2F67"/>
    <w:rsid w:val="00C31193"/>
    <w:rsid w:val="00C37588"/>
    <w:rsid w:val="00C43AAC"/>
    <w:rsid w:val="00C442ED"/>
    <w:rsid w:val="00C6603B"/>
    <w:rsid w:val="00C819F6"/>
    <w:rsid w:val="00C93B4C"/>
    <w:rsid w:val="00CA719F"/>
    <w:rsid w:val="00CB19ED"/>
    <w:rsid w:val="00CB6FD3"/>
    <w:rsid w:val="00CC21EC"/>
    <w:rsid w:val="00CC40AC"/>
    <w:rsid w:val="00CC69AB"/>
    <w:rsid w:val="00CE2C69"/>
    <w:rsid w:val="00CE70DF"/>
    <w:rsid w:val="00CF0463"/>
    <w:rsid w:val="00CF7D6B"/>
    <w:rsid w:val="00D0007D"/>
    <w:rsid w:val="00D21A07"/>
    <w:rsid w:val="00D401A3"/>
    <w:rsid w:val="00D5439A"/>
    <w:rsid w:val="00D7476E"/>
    <w:rsid w:val="00D76560"/>
    <w:rsid w:val="00DA03F6"/>
    <w:rsid w:val="00DB23F5"/>
    <w:rsid w:val="00DB3A5F"/>
    <w:rsid w:val="00DC3568"/>
    <w:rsid w:val="00DC466B"/>
    <w:rsid w:val="00DD553D"/>
    <w:rsid w:val="00DE4655"/>
    <w:rsid w:val="00DE6FF6"/>
    <w:rsid w:val="00DE711D"/>
    <w:rsid w:val="00E016A7"/>
    <w:rsid w:val="00E3198C"/>
    <w:rsid w:val="00E32A18"/>
    <w:rsid w:val="00E42505"/>
    <w:rsid w:val="00E42F0F"/>
    <w:rsid w:val="00E44D99"/>
    <w:rsid w:val="00E53C31"/>
    <w:rsid w:val="00E60A3C"/>
    <w:rsid w:val="00E65715"/>
    <w:rsid w:val="00E72630"/>
    <w:rsid w:val="00E726B7"/>
    <w:rsid w:val="00EB0F18"/>
    <w:rsid w:val="00EB4FEB"/>
    <w:rsid w:val="00EB632C"/>
    <w:rsid w:val="00EC2A73"/>
    <w:rsid w:val="00EC34F8"/>
    <w:rsid w:val="00EE5D82"/>
    <w:rsid w:val="00EF7F40"/>
    <w:rsid w:val="00F34E28"/>
    <w:rsid w:val="00F35BF8"/>
    <w:rsid w:val="00F703B1"/>
    <w:rsid w:val="00FA0A50"/>
    <w:rsid w:val="00FC2776"/>
    <w:rsid w:val="00FD05C0"/>
    <w:rsid w:val="00FE1D89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5B73A"/>
  <w14:defaultImageDpi w14:val="300"/>
  <w15:docId w15:val="{DC1E0FD7-4ADA-AB4E-9661-6032BA67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0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71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1D"/>
  </w:style>
  <w:style w:type="character" w:styleId="PageNumber">
    <w:name w:val="page number"/>
    <w:basedOn w:val="DefaultParagraphFont"/>
    <w:uiPriority w:val="99"/>
    <w:semiHidden/>
    <w:unhideWhenUsed/>
    <w:rsid w:val="00DE711D"/>
  </w:style>
  <w:style w:type="paragraph" w:styleId="NormalWeb">
    <w:name w:val="Normal (Web)"/>
    <w:basedOn w:val="Normal"/>
    <w:uiPriority w:val="99"/>
    <w:unhideWhenUsed/>
    <w:rsid w:val="00AA1CD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9587-E72F-465C-B101-A81BEEC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Bartlett, William</cp:lastModifiedBy>
  <cp:revision>2</cp:revision>
  <dcterms:created xsi:type="dcterms:W3CDTF">2019-09-18T17:47:00Z</dcterms:created>
  <dcterms:modified xsi:type="dcterms:W3CDTF">2019-09-18T17:47:00Z</dcterms:modified>
</cp:coreProperties>
</file>