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A41766">
        <w:rPr>
          <w:b/>
        </w:rPr>
        <w:t xml:space="preserve">: </w:t>
      </w:r>
      <w:r w:rsidR="00732D78">
        <w:rPr>
          <w:b/>
        </w:rPr>
        <w:t>Head of</w:t>
      </w:r>
      <w:r w:rsidR="00A41766">
        <w:rPr>
          <w:b/>
        </w:rPr>
        <w:t xml:space="preserve"> Development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732D78">
        <w:rPr>
          <w:i/>
        </w:rPr>
        <w:t xml:space="preserve">Head of </w:t>
      </w:r>
      <w:r w:rsidR="00A41766">
        <w:rPr>
          <w:i/>
        </w:rPr>
        <w:t>Development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7A6B99" w:rsidP="007A6B99">
      <w:pPr>
        <w:rPr>
          <w:b/>
        </w:rPr>
      </w:pPr>
      <w:r>
        <w:rPr>
          <w:b/>
        </w:rPr>
        <w:t xml:space="preserve">Job Family………….. Job </w:t>
      </w:r>
      <w:r w:rsidR="001362D5">
        <w:rPr>
          <w:b/>
        </w:rPr>
        <w:t>Zone ……</w:t>
      </w:r>
      <w:r w:rsidR="003C4194">
        <w:rPr>
          <w:b/>
        </w:rPr>
        <w:t>2</w:t>
      </w:r>
      <w:r w:rsidR="001362D5">
        <w:rPr>
          <w:b/>
        </w:rPr>
        <w:t>………….  L</w:t>
      </w:r>
      <w:r>
        <w:rPr>
          <w:b/>
        </w:rPr>
        <w:t>evel……</w:t>
      </w:r>
      <w:r w:rsidR="003C4194">
        <w:rPr>
          <w:b/>
        </w:rPr>
        <w:t>6</w:t>
      </w:r>
      <w:r>
        <w:rPr>
          <w:b/>
        </w:rPr>
        <w:t xml:space="preserve">……… 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3471D4" w:rsidRDefault="003471D4" w:rsidP="00EB687D"/>
    <w:p w:rsidR="00732D78" w:rsidRPr="004215FE" w:rsidRDefault="00732D78" w:rsidP="00732D78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4215FE">
        <w:rPr>
          <w:rFonts w:cs="Arial"/>
          <w:color w:val="000000"/>
          <w:sz w:val="23"/>
          <w:szCs w:val="23"/>
        </w:rPr>
        <w:t xml:space="preserve">The post holder will be responsible for leading the development and construction phases of </w:t>
      </w:r>
      <w:r>
        <w:rPr>
          <w:rFonts w:cs="Arial"/>
          <w:color w:val="000000"/>
          <w:sz w:val="23"/>
          <w:szCs w:val="23"/>
        </w:rPr>
        <w:t xml:space="preserve">the </w:t>
      </w:r>
      <w:r w:rsidRPr="004215FE">
        <w:rPr>
          <w:rFonts w:cs="Arial"/>
          <w:color w:val="000000"/>
          <w:sz w:val="23"/>
          <w:szCs w:val="23"/>
        </w:rPr>
        <w:t xml:space="preserve">Community Investment </w:t>
      </w:r>
      <w:r>
        <w:rPr>
          <w:rFonts w:cs="Arial"/>
          <w:color w:val="000000"/>
          <w:sz w:val="23"/>
          <w:szCs w:val="23"/>
        </w:rPr>
        <w:t>Programme (CIP) in the Gospel Oak and Haverstock wards</w:t>
      </w:r>
      <w:r>
        <w:rPr>
          <w:rFonts w:cs="Arial"/>
          <w:sz w:val="23"/>
          <w:szCs w:val="23"/>
        </w:rPr>
        <w:t xml:space="preserve"> with an estimated project value of c.£500m</w:t>
      </w:r>
      <w:r>
        <w:rPr>
          <w:rFonts w:cs="Arial"/>
          <w:color w:val="000000"/>
          <w:sz w:val="23"/>
          <w:szCs w:val="23"/>
        </w:rPr>
        <w:t>.  The post holder will be required to lead two development teams, each of five, supported by locally recruited Community Liaison Advisors</w:t>
      </w:r>
      <w:r w:rsidRPr="004215FE">
        <w:rPr>
          <w:rFonts w:cs="Arial"/>
          <w:color w:val="000000"/>
          <w:sz w:val="23"/>
          <w:szCs w:val="23"/>
        </w:rPr>
        <w:t xml:space="preserve"> </w:t>
      </w:r>
      <w:r>
        <w:rPr>
          <w:rFonts w:cs="Arial"/>
          <w:color w:val="000000"/>
          <w:sz w:val="23"/>
          <w:szCs w:val="23"/>
        </w:rPr>
        <w:t>(CLAs), to form strong working relationships</w:t>
      </w:r>
      <w:r w:rsidRPr="004215FE">
        <w:rPr>
          <w:rFonts w:cs="Arial"/>
          <w:color w:val="000000"/>
          <w:sz w:val="23"/>
          <w:szCs w:val="23"/>
        </w:rPr>
        <w:t xml:space="preserve"> with</w:t>
      </w:r>
      <w:r>
        <w:rPr>
          <w:rFonts w:cs="Arial"/>
          <w:color w:val="000000"/>
          <w:sz w:val="23"/>
          <w:szCs w:val="23"/>
        </w:rPr>
        <w:t xml:space="preserve"> local residents, </w:t>
      </w:r>
      <w:r w:rsidRPr="004215FE">
        <w:rPr>
          <w:rFonts w:cs="Arial"/>
          <w:color w:val="000000"/>
          <w:sz w:val="23"/>
          <w:szCs w:val="23"/>
        </w:rPr>
        <w:t xml:space="preserve">ward </w:t>
      </w:r>
      <w:r>
        <w:rPr>
          <w:rFonts w:cs="Arial"/>
          <w:color w:val="000000"/>
          <w:sz w:val="23"/>
          <w:szCs w:val="23"/>
        </w:rPr>
        <w:t>members</w:t>
      </w:r>
      <w:r w:rsidRPr="004215FE">
        <w:rPr>
          <w:rFonts w:cs="Arial"/>
          <w:color w:val="000000"/>
          <w:sz w:val="23"/>
          <w:szCs w:val="23"/>
        </w:rPr>
        <w:t xml:space="preserve"> and stakeholders</w:t>
      </w:r>
      <w:r>
        <w:rPr>
          <w:rFonts w:cs="Arial"/>
          <w:color w:val="000000"/>
          <w:sz w:val="23"/>
          <w:szCs w:val="23"/>
        </w:rPr>
        <w:t xml:space="preserve">, </w:t>
      </w:r>
      <w:r w:rsidRPr="004215FE">
        <w:rPr>
          <w:rFonts w:cs="Arial"/>
          <w:color w:val="000000"/>
          <w:sz w:val="23"/>
          <w:szCs w:val="23"/>
        </w:rPr>
        <w:t xml:space="preserve">to develop shared solutions </w:t>
      </w:r>
      <w:r>
        <w:rPr>
          <w:rFonts w:cs="Arial"/>
          <w:color w:val="000000"/>
          <w:sz w:val="23"/>
          <w:szCs w:val="23"/>
        </w:rPr>
        <w:t xml:space="preserve">for the </w:t>
      </w:r>
      <w:r w:rsidRPr="004215FE">
        <w:rPr>
          <w:rFonts w:cs="Arial"/>
          <w:color w:val="000000"/>
          <w:sz w:val="23"/>
          <w:szCs w:val="23"/>
        </w:rPr>
        <w:t>regenerat</w:t>
      </w:r>
      <w:r>
        <w:rPr>
          <w:rFonts w:cs="Arial"/>
          <w:color w:val="000000"/>
          <w:sz w:val="23"/>
          <w:szCs w:val="23"/>
        </w:rPr>
        <w:t xml:space="preserve">ion of two large neighbouring </w:t>
      </w:r>
      <w:r w:rsidRPr="004215FE">
        <w:rPr>
          <w:rFonts w:cs="Arial"/>
          <w:color w:val="000000"/>
          <w:sz w:val="23"/>
          <w:szCs w:val="23"/>
        </w:rPr>
        <w:t>estates in line with</w:t>
      </w:r>
      <w:r>
        <w:rPr>
          <w:rFonts w:cs="Arial"/>
          <w:color w:val="000000"/>
          <w:sz w:val="23"/>
          <w:szCs w:val="23"/>
        </w:rPr>
        <w:t xml:space="preserve"> Our</w:t>
      </w:r>
      <w:r w:rsidRPr="004215FE">
        <w:rPr>
          <w:rFonts w:cs="Arial"/>
          <w:color w:val="000000"/>
          <w:sz w:val="23"/>
          <w:szCs w:val="23"/>
        </w:rPr>
        <w:t xml:space="preserve"> Camden </w:t>
      </w:r>
      <w:r>
        <w:rPr>
          <w:rFonts w:cs="Arial"/>
          <w:color w:val="000000"/>
          <w:sz w:val="23"/>
          <w:szCs w:val="23"/>
        </w:rPr>
        <w:t>2025 ambitions.  The post holder will be responsible for</w:t>
      </w:r>
      <w:r w:rsidRPr="004215FE">
        <w:rPr>
          <w:rFonts w:cs="Arial"/>
          <w:color w:val="000000"/>
          <w:sz w:val="23"/>
          <w:szCs w:val="23"/>
        </w:rPr>
        <w:t xml:space="preserve"> </w:t>
      </w:r>
      <w:r>
        <w:rPr>
          <w:rFonts w:cs="Arial"/>
          <w:color w:val="000000"/>
          <w:sz w:val="23"/>
          <w:szCs w:val="23"/>
        </w:rPr>
        <w:t>working to tight timescales and to meet the agreed projects objectives and approved business cases.  They will be required to work collaboratively with a wide range of internal and external stakeholders, within a political setting, to deliver</w:t>
      </w:r>
      <w:r w:rsidRPr="004215FE">
        <w:rPr>
          <w:rFonts w:cs="Arial"/>
          <w:color w:val="000000"/>
          <w:sz w:val="23"/>
          <w:szCs w:val="23"/>
        </w:rPr>
        <w:t xml:space="preserve"> the </w:t>
      </w:r>
      <w:r>
        <w:rPr>
          <w:rFonts w:cs="Arial"/>
          <w:color w:val="000000"/>
          <w:sz w:val="23"/>
          <w:szCs w:val="23"/>
        </w:rPr>
        <w:t>regeneration works to make Gospel Oak and Haverstock a better place to live, work and visit</w:t>
      </w:r>
      <w:r w:rsidRPr="004215FE">
        <w:rPr>
          <w:rFonts w:cs="Arial"/>
          <w:color w:val="000000"/>
          <w:sz w:val="23"/>
          <w:szCs w:val="23"/>
        </w:rPr>
        <w:t xml:space="preserve">. </w:t>
      </w:r>
    </w:p>
    <w:p w:rsidR="003471D4" w:rsidRDefault="003471D4" w:rsidP="00EB687D"/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EB687D" w:rsidRDefault="00EB687D" w:rsidP="00D2411E"/>
    <w:p w:rsidR="0085090F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To deliver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the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development and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construction phases of </w:t>
      </w:r>
      <w:r w:rsidRPr="003471D4">
        <w:rPr>
          <w:rFonts w:eastAsiaTheme="minorHAnsi" w:cs="Arial"/>
          <w:sz w:val="23"/>
          <w:szCs w:val="23"/>
          <w:lang w:eastAsia="en-US"/>
        </w:rPr>
        <w:t>a programme of estate regeneration projects leading to the regeneration of the physical</w:t>
      </w:r>
      <w:r w:rsidR="00CF50CE" w:rsidRP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social fabric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and meeting the capital receipts sales targe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ts required to support the CIP </w:t>
      </w:r>
      <w:r w:rsidR="0085090F">
        <w:rPr>
          <w:rFonts w:eastAsiaTheme="minorHAnsi" w:cs="Arial"/>
          <w:sz w:val="23"/>
          <w:szCs w:val="23"/>
          <w:lang w:eastAsia="en-US"/>
        </w:rPr>
        <w:t>programme</w:t>
      </w:r>
      <w:r w:rsidR="00D2411E">
        <w:rPr>
          <w:rFonts w:eastAsiaTheme="minorHAnsi" w:cs="Arial"/>
          <w:sz w:val="23"/>
          <w:szCs w:val="23"/>
          <w:lang w:eastAsia="en-US"/>
        </w:rPr>
        <w:t>.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 </w:t>
      </w:r>
    </w:p>
    <w:p w:rsidR="003471D4" w:rsidRPr="003471D4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3471D4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regeneration pro</w:t>
      </w:r>
      <w:r>
        <w:rPr>
          <w:rFonts w:eastAsiaTheme="minorHAnsi" w:cs="Arial"/>
          <w:sz w:val="23"/>
          <w:szCs w:val="23"/>
          <w:lang w:eastAsia="en-US"/>
        </w:rPr>
        <w:t xml:space="preserve">jects are delivered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 partnership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with ward councillors, tenants, residents</w:t>
      </w:r>
      <w:r w:rsidR="008C257A">
        <w:rPr>
          <w:rFonts w:eastAsiaTheme="minorHAnsi" w:cs="Arial"/>
          <w:sz w:val="23"/>
          <w:szCs w:val="23"/>
          <w:lang w:eastAsia="en-US"/>
        </w:rPr>
        <w:t>, School Governing bodies,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 and other stakeholders, utilising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innovative and leading edge approaches to community engagement and coor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dinating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solutions that command wide-s</w:t>
      </w:r>
      <w:r w:rsidR="00CF50CE">
        <w:rPr>
          <w:rFonts w:eastAsiaTheme="minorHAnsi" w:cs="Arial"/>
          <w:sz w:val="23"/>
          <w:szCs w:val="23"/>
          <w:lang w:eastAsia="en-US"/>
        </w:rPr>
        <w:t>p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read </w:t>
      </w:r>
      <w:r w:rsidR="00CF50CE">
        <w:rPr>
          <w:rFonts w:eastAsiaTheme="minorHAnsi" w:cs="Arial"/>
          <w:sz w:val="23"/>
          <w:szCs w:val="23"/>
          <w:lang w:eastAsia="en-US"/>
        </w:rPr>
        <w:t>support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CF50CE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lastRenderedPageBreak/>
        <w:t xml:space="preserve">To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ensure that the </w:t>
      </w:r>
      <w:r w:rsidR="00D2411E">
        <w:rPr>
          <w:rFonts w:eastAsiaTheme="minorHAnsi" w:cs="Arial"/>
          <w:sz w:val="23"/>
          <w:szCs w:val="23"/>
          <w:lang w:eastAsia="en-US"/>
        </w:rPr>
        <w:t xml:space="preserve">CIP construction programme delivers best practice standards </w:t>
      </w:r>
      <w:r w:rsidRPr="003471D4">
        <w:rPr>
          <w:rFonts w:eastAsiaTheme="minorHAnsi" w:cs="Arial"/>
          <w:sz w:val="23"/>
          <w:szCs w:val="23"/>
          <w:lang w:eastAsia="en-US"/>
        </w:rPr>
        <w:t>in the reduction of carbon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emissions and promoting sustainability.</w:t>
      </w:r>
    </w:p>
    <w:p w:rsidR="00D2411E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contract administration, supervision and construction project management  processes delivers projects to time, cost and quality targets and meets business case requirements</w:t>
      </w:r>
    </w:p>
    <w:p w:rsidR="00D2411E" w:rsidRDefault="00D2411E" w:rsidP="00D2411E">
      <w:pPr>
        <w:pStyle w:val="ListParagraph"/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high quality construction standards are maintained during the delivery of new homes and that on-going management and maintenance costs are minimised and oversee the </w:t>
      </w:r>
      <w:r w:rsidR="00272781">
        <w:rPr>
          <w:rFonts w:eastAsiaTheme="minorHAnsi" w:cs="Arial"/>
          <w:sz w:val="23"/>
          <w:szCs w:val="23"/>
          <w:lang w:eastAsia="en-US"/>
        </w:rPr>
        <w:t>incorporation of new homes into the Council’s Repairs and Maintenance systems.</w:t>
      </w:r>
    </w:p>
    <w:p w:rsidR="00D2411E" w:rsidRPr="00D2411E" w:rsidRDefault="00D2411E" w:rsidP="00D2411E">
      <w:pPr>
        <w:pStyle w:val="ListParagraph"/>
        <w:rPr>
          <w:rFonts w:eastAsiaTheme="minorHAnsi" w:cs="Arial"/>
          <w:sz w:val="23"/>
          <w:szCs w:val="23"/>
          <w:lang w:eastAsia="en-US"/>
        </w:rPr>
      </w:pPr>
    </w:p>
    <w:p w:rsidR="00D2411E" w:rsidRP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community benefits, local employment and training opportunities are maximised during the delivery of projects.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272781">
      <w:pPr>
        <w:pStyle w:val="ListParagraph"/>
      </w:pPr>
    </w:p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i/>
          <w:sz w:val="18"/>
          <w:szCs w:val="18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The post holder reports directly to the Director </w:t>
      </w:r>
      <w:r w:rsidR="008C257A">
        <w:rPr>
          <w:rFonts w:eastAsiaTheme="minorHAnsi" w:cs="Arial"/>
          <w:sz w:val="23"/>
          <w:szCs w:val="23"/>
          <w:lang w:eastAsia="en-US"/>
        </w:rPr>
        <w:t>of Development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and is required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to deputise </w:t>
      </w:r>
      <w:r w:rsidRPr="003471D4">
        <w:rPr>
          <w:rFonts w:eastAsiaTheme="minorHAnsi" w:cs="Arial"/>
          <w:sz w:val="23"/>
          <w:szCs w:val="23"/>
          <w:lang w:eastAsia="en-US"/>
        </w:rPr>
        <w:t>on occasion.</w:t>
      </w: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has responsibility for day-to-day management of a team of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staff and consultants which will reflect the complexity and value of the CIP programme which is c.£</w:t>
      </w:r>
      <w:r w:rsidR="008C257A">
        <w:rPr>
          <w:rFonts w:eastAsiaTheme="minorHAnsi" w:cs="Arial"/>
          <w:sz w:val="23"/>
          <w:szCs w:val="23"/>
          <w:lang w:eastAsia="en-US"/>
        </w:rPr>
        <w:t>1bn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</w:t>
      </w:r>
    </w:p>
    <w:p w:rsidR="00287409" w:rsidRDefault="00287409" w:rsidP="00EB687D">
      <w:pPr>
        <w:rPr>
          <w:sz w:val="18"/>
          <w:szCs w:val="18"/>
        </w:rPr>
      </w:pPr>
    </w:p>
    <w:p w:rsidR="003471D4" w:rsidRDefault="003471D4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C97F42" w:rsidRDefault="00C97F42" w:rsidP="00EB687D"/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will be responsible for developing a new way of working, bringing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together ward councillors, tenants, leaseholders, residents and communities to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establish and deliver a shared vision for these estates.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This is a new venture for Camden Council, involving significant busines</w:t>
      </w:r>
      <w:r w:rsidR="00CF50CE">
        <w:rPr>
          <w:rFonts w:eastAsiaTheme="minorHAnsi" w:cs="Arial"/>
          <w:sz w:val="23"/>
          <w:szCs w:val="23"/>
          <w:lang w:eastAsia="en-US"/>
        </w:rPr>
        <w:t>s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risk in terms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of delivering the investment strategy and reputational risk for the Council if the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programme fails to deliver.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lastRenderedPageBreak/>
        <w:t>The post holder will have daily contact with chief officers and very regular contact with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elected members, including presenting reports to </w:t>
      </w:r>
      <w:r w:rsidR="000D5BA4">
        <w:rPr>
          <w:rFonts w:eastAsiaTheme="minorHAnsi" w:cs="Arial"/>
          <w:sz w:val="23"/>
          <w:szCs w:val="23"/>
          <w:lang w:eastAsia="en-US"/>
        </w:rPr>
        <w:t>Cabinet</w:t>
      </w:r>
      <w:r w:rsidR="008C257A">
        <w:rPr>
          <w:rFonts w:eastAsiaTheme="minorHAnsi" w:cs="Arial"/>
          <w:sz w:val="23"/>
          <w:szCs w:val="23"/>
          <w:lang w:eastAsia="en-US"/>
        </w:rPr>
        <w:t>,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scrutiny and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ward councillors. The post holder will represent the Council at a wide range of public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meetings.</w:t>
      </w:r>
    </w:p>
    <w:p w:rsidR="003471D4" w:rsidRDefault="003471D4" w:rsidP="00EB687D"/>
    <w:p w:rsidR="003471D4" w:rsidRDefault="003471D4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Default="00C97F42" w:rsidP="00EB687D"/>
    <w:p w:rsidR="00C97F42" w:rsidRDefault="00CF50CE" w:rsidP="00EB687D">
      <w:r>
        <w:t>Office based with periods of time spent outdoors</w:t>
      </w:r>
    </w:p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EB687D" w:rsidRDefault="00EB687D" w:rsidP="00EB687D"/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Educated to degree level or equivalent 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regeneration or construction project management related qualification is desirable</w:t>
      </w:r>
      <w:r w:rsidRPr="002C6012">
        <w:rPr>
          <w:rFonts w:ascii="Arial" w:hAnsi="Arial" w:cs="Arial"/>
          <w:sz w:val="23"/>
          <w:szCs w:val="23"/>
        </w:rPr>
        <w:t xml:space="preserve"> 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Experience of taking regeneration projects forward from conception to completion 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>A good knowledge of best practice in regenerat</w:t>
      </w:r>
      <w:r>
        <w:rPr>
          <w:rFonts w:ascii="Arial" w:hAnsi="Arial" w:cs="Arial"/>
          <w:sz w:val="23"/>
          <w:szCs w:val="23"/>
        </w:rPr>
        <w:t>ion and development activities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 xml:space="preserve">Good knowledge of </w:t>
      </w:r>
      <w:r>
        <w:rPr>
          <w:rFonts w:ascii="Arial" w:hAnsi="Arial" w:cs="Arial"/>
          <w:sz w:val="23"/>
          <w:szCs w:val="23"/>
        </w:rPr>
        <w:t xml:space="preserve">design and </w:t>
      </w:r>
      <w:r w:rsidRPr="002C6012">
        <w:rPr>
          <w:rFonts w:ascii="Arial" w:hAnsi="Arial" w:cs="Arial"/>
          <w:sz w:val="23"/>
          <w:szCs w:val="23"/>
        </w:rPr>
        <w:t xml:space="preserve">construction and safety responsibilities </w:t>
      </w:r>
    </w:p>
    <w:p w:rsidR="00732D78" w:rsidRPr="002A5886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A5886">
        <w:rPr>
          <w:rFonts w:ascii="Arial" w:hAnsi="Arial" w:cs="Arial"/>
          <w:sz w:val="23"/>
          <w:szCs w:val="23"/>
        </w:rPr>
        <w:t xml:space="preserve">Knowledge and understanding of building regulations, planning policy and sustainability in terms of design and management 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Strong understanding of place making, the London housing market, housing policy, the challenges facing local authorities in housing, and the external funding sources available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Understanding of financial modelling and experience of scrutinising development appraisals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 xml:space="preserve">Good knowledge of public procurement practice </w:t>
      </w:r>
    </w:p>
    <w:p w:rsidR="00732D78" w:rsidRPr="002A5886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>Knowledge of construction contract and pro</w:t>
      </w:r>
      <w:r>
        <w:rPr>
          <w:rFonts w:ascii="Arial" w:hAnsi="Arial" w:cs="Arial"/>
          <w:sz w:val="23"/>
          <w:szCs w:val="23"/>
        </w:rPr>
        <w:t>perty law, including Landlord and T</w:t>
      </w:r>
      <w:r w:rsidRPr="002C6012">
        <w:rPr>
          <w:rFonts w:ascii="Arial" w:hAnsi="Arial" w:cs="Arial"/>
          <w:sz w:val="23"/>
          <w:szCs w:val="23"/>
        </w:rPr>
        <w:t xml:space="preserve">enant law and practice. 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Experience of project and programme management – developing, implementing, maintaining and monitoring projects to tight deadlines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in managing staff and co-ordinating work across service areas where other officers are leading on delivery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of commissioning and managing work from external consultants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of budget management – monitoring, reporting and authorising spend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Ability to write high quality reports in good English to tight deadlines, and present information clearly to a wide range of audiences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Numerical and financial competence, including IT in word and excel, in order to analyse data, manage significant budgets and evaluate performance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lastRenderedPageBreak/>
        <w:t xml:space="preserve">Knowledge of </w:t>
      </w:r>
      <w:r>
        <w:rPr>
          <w:rFonts w:ascii="Arial" w:hAnsi="Arial" w:cs="Arial"/>
          <w:sz w:val="23"/>
          <w:szCs w:val="23"/>
        </w:rPr>
        <w:t xml:space="preserve">working </w:t>
      </w:r>
      <w:r w:rsidRPr="002C6012">
        <w:rPr>
          <w:rFonts w:ascii="Arial" w:hAnsi="Arial" w:cs="Arial"/>
          <w:sz w:val="23"/>
          <w:szCs w:val="23"/>
        </w:rPr>
        <w:t>effective</w:t>
      </w:r>
      <w:r>
        <w:rPr>
          <w:rFonts w:ascii="Arial" w:hAnsi="Arial" w:cs="Arial"/>
          <w:sz w:val="23"/>
          <w:szCs w:val="23"/>
        </w:rPr>
        <w:t>ly in partnership with</w:t>
      </w:r>
      <w:r w:rsidRPr="002C6012">
        <w:rPr>
          <w:rFonts w:ascii="Arial" w:hAnsi="Arial" w:cs="Arial"/>
          <w:sz w:val="23"/>
          <w:szCs w:val="23"/>
        </w:rPr>
        <w:t xml:space="preserve"> resident</w:t>
      </w:r>
      <w:r>
        <w:rPr>
          <w:rFonts w:ascii="Arial" w:hAnsi="Arial" w:cs="Arial"/>
          <w:sz w:val="23"/>
          <w:szCs w:val="23"/>
        </w:rPr>
        <w:t>s,</w:t>
      </w:r>
      <w:r w:rsidRPr="002C6012">
        <w:rPr>
          <w:rFonts w:ascii="Arial" w:hAnsi="Arial" w:cs="Arial"/>
          <w:sz w:val="23"/>
          <w:szCs w:val="23"/>
        </w:rPr>
        <w:t xml:space="preserve"> communities and engagement techniques in relation to </w:t>
      </w:r>
      <w:r>
        <w:rPr>
          <w:rFonts w:ascii="Arial" w:hAnsi="Arial" w:cs="Arial"/>
          <w:sz w:val="23"/>
          <w:szCs w:val="23"/>
        </w:rPr>
        <w:t>regeneration projects</w:t>
      </w:r>
    </w:p>
    <w:p w:rsidR="00732D78" w:rsidRDefault="00732D78" w:rsidP="00732D78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Willing to attend evening and weekend meetings and events as required</w:t>
      </w:r>
    </w:p>
    <w:p w:rsidR="00EB687D" w:rsidRDefault="00EB687D" w:rsidP="00EB687D"/>
    <w:p w:rsidR="00C97F42" w:rsidRDefault="00C97F42" w:rsidP="00EB687D"/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90"/>
      </w:tblGrid>
      <w:tr w:rsidR="00EB3F80" w:rsidRPr="00EB3F80" w:rsidTr="00EB3F80">
        <w:tc>
          <w:tcPr>
            <w:tcW w:w="2693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Behaviour</w:t>
            </w: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90" w:type="dxa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Level required at Zone 2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Confidence and Resilience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Driving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Improvement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Leading People or Working Together*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Organisational Awareness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Strategic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Perspective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EB3F80" w:rsidRDefault="00EB3F80" w:rsidP="00EB687D">
      <w:pPr>
        <w:rPr>
          <w:sz w:val="18"/>
          <w:szCs w:val="18"/>
        </w:rPr>
      </w:pPr>
    </w:p>
    <w:p w:rsidR="00EB3F80" w:rsidRDefault="00EB3F80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</w:p>
    <w:p w:rsidR="00C97F42" w:rsidRDefault="00C97F42" w:rsidP="00EB687D"/>
    <w:p w:rsidR="00BE1BA8" w:rsidRDefault="00BE1BA8" w:rsidP="00EB687D"/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t>Structure Chart</w:t>
      </w:r>
      <w:r>
        <w:rPr>
          <w:b/>
        </w:rPr>
        <w:t xml:space="preserve"> – please insert or attach an up to date structure chart showing this role</w:t>
      </w: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  <w:r w:rsidRPr="00BA4907">
        <w:rPr>
          <w:b/>
          <w:noProof/>
        </w:rPr>
        <w:lastRenderedPageBreak/>
        <w:drawing>
          <wp:inline distT="0" distB="0" distL="0" distR="0" wp14:anchorId="36C70309" wp14:editId="386ED865">
            <wp:extent cx="4922520" cy="2768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133" cy="27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  <w:r w:rsidRPr="00BA4907">
        <w:rPr>
          <w:b/>
          <w:noProof/>
        </w:rPr>
        <w:drawing>
          <wp:inline distT="0" distB="0" distL="0" distR="0" wp14:anchorId="54245495" wp14:editId="4061CF8C">
            <wp:extent cx="3703320" cy="20831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8963" cy="20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Pr="00BE1BA8" w:rsidRDefault="00BA4907" w:rsidP="00EB687D">
      <w:pPr>
        <w:rPr>
          <w:b/>
        </w:rPr>
      </w:pPr>
    </w:p>
    <w:sectPr w:rsidR="00BA4907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E2" w:rsidRDefault="00100EE2">
      <w:r>
        <w:separator/>
      </w:r>
    </w:p>
  </w:endnote>
  <w:endnote w:type="continuationSeparator" w:id="0">
    <w:p w:rsidR="00100EE2" w:rsidRDefault="0010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E2" w:rsidRDefault="00100EE2">
      <w:r>
        <w:separator/>
      </w:r>
    </w:p>
  </w:footnote>
  <w:footnote w:type="continuationSeparator" w:id="0">
    <w:p w:rsidR="00100EE2" w:rsidRDefault="0010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10447"/>
    <w:multiLevelType w:val="hybridMultilevel"/>
    <w:tmpl w:val="9A16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89D07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A76E0"/>
    <w:multiLevelType w:val="hybridMultilevel"/>
    <w:tmpl w:val="E202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C09DA"/>
    <w:multiLevelType w:val="hybridMultilevel"/>
    <w:tmpl w:val="BE623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1"/>
  </w:num>
  <w:num w:numId="5">
    <w:abstractNumId w:val="1"/>
  </w:num>
  <w:num w:numId="6">
    <w:abstractNumId w:val="6"/>
  </w:num>
  <w:num w:numId="7">
    <w:abstractNumId w:val="18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6"/>
  </w:num>
  <w:num w:numId="20">
    <w:abstractNumId w:val="14"/>
  </w:num>
  <w:num w:numId="21">
    <w:abstractNumId w:val="20"/>
  </w:num>
  <w:num w:numId="22">
    <w:abstractNumId w:val="15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D5688"/>
    <w:rsid w:val="000D5BA4"/>
    <w:rsid w:val="000E2B3C"/>
    <w:rsid w:val="000F224E"/>
    <w:rsid w:val="000F2B3E"/>
    <w:rsid w:val="000F6EB6"/>
    <w:rsid w:val="00100EE2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42F1"/>
    <w:rsid w:val="002276F6"/>
    <w:rsid w:val="002335E9"/>
    <w:rsid w:val="00241AA7"/>
    <w:rsid w:val="00253840"/>
    <w:rsid w:val="00253888"/>
    <w:rsid w:val="0026753A"/>
    <w:rsid w:val="00272781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129C"/>
    <w:rsid w:val="00303FA0"/>
    <w:rsid w:val="003056BE"/>
    <w:rsid w:val="0032261C"/>
    <w:rsid w:val="00343798"/>
    <w:rsid w:val="003471D4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4194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237CE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32D78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5090F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257A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6BFC"/>
    <w:rsid w:val="00957CC7"/>
    <w:rsid w:val="00962233"/>
    <w:rsid w:val="00966982"/>
    <w:rsid w:val="00982C5D"/>
    <w:rsid w:val="00982F62"/>
    <w:rsid w:val="00983C0C"/>
    <w:rsid w:val="00985CBE"/>
    <w:rsid w:val="00990EA9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1766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970F7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3411C"/>
    <w:rsid w:val="00B44BEE"/>
    <w:rsid w:val="00B53918"/>
    <w:rsid w:val="00B53C74"/>
    <w:rsid w:val="00B60815"/>
    <w:rsid w:val="00B75B7F"/>
    <w:rsid w:val="00B77231"/>
    <w:rsid w:val="00B9448F"/>
    <w:rsid w:val="00B97A74"/>
    <w:rsid w:val="00BA37F8"/>
    <w:rsid w:val="00BA4907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1A53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0CE"/>
    <w:rsid w:val="00CF5976"/>
    <w:rsid w:val="00CF5FC1"/>
    <w:rsid w:val="00D05301"/>
    <w:rsid w:val="00D21442"/>
    <w:rsid w:val="00D2411E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3F80"/>
    <w:rsid w:val="00EB687D"/>
    <w:rsid w:val="00EB732F"/>
    <w:rsid w:val="00EC07F8"/>
    <w:rsid w:val="00EC138A"/>
    <w:rsid w:val="00EC53A4"/>
    <w:rsid w:val="00ED0420"/>
    <w:rsid w:val="00ED6ACF"/>
    <w:rsid w:val="00EF22A4"/>
    <w:rsid w:val="00EF481B"/>
    <w:rsid w:val="00EF6D39"/>
    <w:rsid w:val="00F013CD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33D39"/>
  <w15:docId w15:val="{CD39CEE4-04E9-48B4-BD95-4744BF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CF50CE"/>
    <w:pPr>
      <w:ind w:left="720"/>
      <w:contextualSpacing/>
    </w:pPr>
  </w:style>
  <w:style w:type="paragraph" w:customStyle="1" w:styleId="Default">
    <w:name w:val="Default"/>
    <w:rsid w:val="00732D7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3</cp:revision>
  <cp:lastPrinted>2009-12-02T09:13:00Z</cp:lastPrinted>
  <dcterms:created xsi:type="dcterms:W3CDTF">2019-10-01T12:40:00Z</dcterms:created>
  <dcterms:modified xsi:type="dcterms:W3CDTF">2019-10-01T12:41:00Z</dcterms:modified>
</cp:coreProperties>
</file>