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FBC" w:rsidRPr="004F2FBC" w:rsidRDefault="00FB5591" w:rsidP="004F2FBC">
      <w:pPr>
        <w:jc w:val="center"/>
      </w:pPr>
      <w:r>
        <w:t>IMPORTANT – THIS COMMUNCIATION AFFECTS YOUR PROPERTY</w:t>
      </w:r>
    </w:p>
    <w:p w:rsidR="004F2FBC" w:rsidRPr="004F2FBC" w:rsidRDefault="004F2FBC" w:rsidP="004F2FBC">
      <w:pPr>
        <w:tabs>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line="240" w:lineRule="atLeast"/>
        <w:rPr>
          <w:lang w:val="x-none"/>
        </w:rPr>
      </w:pPr>
    </w:p>
    <w:p w:rsidR="004F2FBC" w:rsidRPr="004F2FBC" w:rsidRDefault="004F2FBC" w:rsidP="004F2FBC">
      <w:pPr>
        <w:spacing w:line="240" w:lineRule="atLeast"/>
        <w:jc w:val="center"/>
        <w:rPr>
          <w:lang w:val="x-none"/>
        </w:rPr>
      </w:pPr>
      <w:r w:rsidRPr="004F2FBC">
        <w:rPr>
          <w:lang w:val="x-none"/>
        </w:rPr>
        <w:t>TOWN AND COUNTRY PLANNING ACT 1990 (AS AMENDED</w:t>
      </w:r>
      <w:r w:rsidR="00FB5591">
        <w:rPr>
          <w:lang w:val="en-GB"/>
        </w:rPr>
        <w:t xml:space="preserve"> BY THE PLANNING AND COMPENSATION ACT 1991</w:t>
      </w:r>
      <w:r w:rsidRPr="004F2FBC">
        <w:rPr>
          <w:lang w:val="x-none"/>
        </w:rPr>
        <w:t>)</w:t>
      </w:r>
    </w:p>
    <w:p w:rsidR="004F2FBC" w:rsidRPr="004F2FBC" w:rsidRDefault="004F2FBC" w:rsidP="004F2FBC">
      <w:pPr>
        <w:spacing w:line="240" w:lineRule="atLeast"/>
        <w:jc w:val="center"/>
        <w:rPr>
          <w:lang w:val="x-none"/>
        </w:rPr>
      </w:pPr>
    </w:p>
    <w:p w:rsidR="004F2FBC" w:rsidRDefault="004F2FBC" w:rsidP="004F2FBC">
      <w:pPr>
        <w:pStyle w:val="Heading1"/>
        <w:jc w:val="center"/>
      </w:pPr>
      <w:r>
        <w:t>ENFORCEMENT NOTICE</w:t>
      </w:r>
    </w:p>
    <w:p w:rsidR="004F2FBC" w:rsidRDefault="004F2FBC" w:rsidP="004F2FBC"/>
    <w:p w:rsidR="003265E6" w:rsidRDefault="003265E6" w:rsidP="004F2FBC"/>
    <w:p w:rsidR="004F2FBC" w:rsidRDefault="00FB5591" w:rsidP="004F2FBC">
      <w:pPr>
        <w:spacing w:line="240" w:lineRule="atLeast"/>
        <w:rPr>
          <w:b w:val="0"/>
          <w:lang w:val="en-GB"/>
        </w:rPr>
      </w:pPr>
      <w:r>
        <w:t>ISSUED BY: THE LONDON BOROUGH OF CAMDEN</w:t>
      </w:r>
    </w:p>
    <w:p w:rsidR="00FB5591" w:rsidRDefault="00FB5591" w:rsidP="004F2FBC">
      <w:pPr>
        <w:spacing w:line="240" w:lineRule="atLeast"/>
        <w:rPr>
          <w:b w:val="0"/>
          <w:lang w:val="en-GB"/>
        </w:rPr>
      </w:pPr>
    </w:p>
    <w:p w:rsidR="003265E6" w:rsidRPr="00706BCA" w:rsidRDefault="003265E6" w:rsidP="004F2FBC">
      <w:pPr>
        <w:spacing w:line="240" w:lineRule="atLeast"/>
        <w:rPr>
          <w:b w:val="0"/>
          <w:lang w:val="en-GB"/>
        </w:rPr>
      </w:pPr>
    </w:p>
    <w:p w:rsidR="004F2FBC" w:rsidRPr="00D0135F" w:rsidRDefault="004F2FBC" w:rsidP="00D0135F">
      <w:pPr>
        <w:spacing w:line="240" w:lineRule="atLeast"/>
        <w:ind w:left="720" w:hanging="720"/>
        <w:jc w:val="both"/>
        <w:rPr>
          <w:b w:val="0"/>
          <w:lang w:val="en-GB"/>
        </w:rPr>
      </w:pPr>
      <w:r>
        <w:rPr>
          <w:b w:val="0"/>
          <w:lang w:val="en-GB"/>
        </w:rPr>
        <w:t>1.</w:t>
      </w:r>
      <w:r>
        <w:rPr>
          <w:b w:val="0"/>
          <w:lang w:val="en-GB"/>
        </w:rPr>
        <w:tab/>
      </w:r>
      <w:r>
        <w:rPr>
          <w:lang w:val="en-GB"/>
        </w:rPr>
        <w:t xml:space="preserve">THIS IS A FORMAL NOTICE </w:t>
      </w:r>
      <w:r w:rsidRPr="004F2FBC">
        <w:rPr>
          <w:b w:val="0"/>
          <w:lang w:val="en-GB"/>
        </w:rPr>
        <w:t>which is issued by the Council because it appears to them that there has been a breach of planning control, under Section 171 A (1) (a) of the above Act, at the land described below. They consider that it is expedient to issue this notice, having regard to the provisions of the development plan and to other material planning considerations.  The Explanatory Note at the end of the Notice and the enclosures to which it refers contain important additional information.</w:t>
      </w:r>
    </w:p>
    <w:p w:rsidR="004F2FBC" w:rsidRDefault="008B715A" w:rsidP="004F2FBC">
      <w:pPr>
        <w:spacing w:line="240" w:lineRule="atLeast"/>
        <w:rPr>
          <w:b w:val="0"/>
          <w:lang w:val="en-GB"/>
        </w:rPr>
      </w:pPr>
      <w:r>
        <w:rPr>
          <w:b w:val="0"/>
          <w:lang w:val="en-GB"/>
        </w:rPr>
        <w:t xml:space="preserve"> </w:t>
      </w:r>
    </w:p>
    <w:p w:rsidR="003265E6" w:rsidRDefault="003265E6" w:rsidP="004F2FBC">
      <w:pPr>
        <w:spacing w:line="240" w:lineRule="atLeast"/>
        <w:rPr>
          <w:b w:val="0"/>
          <w:lang w:val="en-GB"/>
        </w:rPr>
      </w:pPr>
    </w:p>
    <w:p w:rsidR="004F2FBC" w:rsidRDefault="004F2FBC" w:rsidP="001E5493">
      <w:pPr>
        <w:spacing w:line="240" w:lineRule="atLeast"/>
        <w:jc w:val="both"/>
        <w:rPr>
          <w:lang w:val="en-GB"/>
        </w:rPr>
      </w:pPr>
      <w:r>
        <w:rPr>
          <w:b w:val="0"/>
          <w:lang w:val="en-GB"/>
        </w:rPr>
        <w:t>2.</w:t>
      </w:r>
      <w:r>
        <w:rPr>
          <w:lang w:val="en-GB"/>
        </w:rPr>
        <w:tab/>
        <w:t xml:space="preserve">THE LAND </w:t>
      </w:r>
      <w:r w:rsidR="00D0135F">
        <w:rPr>
          <w:lang w:val="en-GB"/>
        </w:rPr>
        <w:t>TO WHICH THE NOTICE RELATES</w:t>
      </w:r>
    </w:p>
    <w:p w:rsidR="004F2FBC" w:rsidRDefault="004F2FBC" w:rsidP="001E5493">
      <w:pPr>
        <w:spacing w:line="240" w:lineRule="atLeast"/>
        <w:jc w:val="both"/>
        <w:rPr>
          <w:lang w:val="en-GB"/>
        </w:rPr>
      </w:pPr>
    </w:p>
    <w:p w:rsidR="004F2FBC" w:rsidRPr="00374AF7" w:rsidRDefault="004F2FBC" w:rsidP="00374AF7">
      <w:pPr>
        <w:spacing w:line="240" w:lineRule="atLeast"/>
        <w:ind w:left="709"/>
        <w:jc w:val="both"/>
        <w:rPr>
          <w:lang w:val="en-GB"/>
        </w:rPr>
      </w:pPr>
      <w:r>
        <w:rPr>
          <w:b w:val="0"/>
          <w:lang w:val="en-GB"/>
        </w:rPr>
        <w:tab/>
      </w:r>
      <w:r>
        <w:rPr>
          <w:lang w:val="x-none"/>
        </w:rPr>
        <w:t>Land at:</w:t>
      </w:r>
      <w:r w:rsidR="001E5493">
        <w:rPr>
          <w:b w:val="0"/>
          <w:lang w:val="x-none"/>
        </w:rPr>
        <w:t xml:space="preserve"> </w:t>
      </w:r>
      <w:r w:rsidR="00444716" w:rsidRPr="00444716">
        <w:rPr>
          <w:lang w:val="x-none"/>
        </w:rPr>
        <w:t>Flat 4, 49 Upper Park Road, London, NW3 2UL</w:t>
      </w:r>
      <w:r w:rsidR="00A37416" w:rsidRPr="004F2FBC">
        <w:rPr>
          <w:b w:val="0"/>
          <w:lang w:val="x-none"/>
        </w:rPr>
        <w:t xml:space="preserve"> </w:t>
      </w:r>
      <w:r w:rsidR="00D0135F">
        <w:rPr>
          <w:b w:val="0"/>
          <w:lang w:val="x-none"/>
        </w:rPr>
        <w:t>as shown</w:t>
      </w:r>
      <w:r w:rsidR="00D0135F">
        <w:rPr>
          <w:b w:val="0"/>
          <w:lang w:val="en-GB"/>
        </w:rPr>
        <w:t xml:space="preserve"> </w:t>
      </w:r>
      <w:r w:rsidRPr="004F2FBC">
        <w:rPr>
          <w:b w:val="0"/>
          <w:lang w:val="x-none"/>
        </w:rPr>
        <w:t xml:space="preserve">outlined in </w:t>
      </w:r>
      <w:r w:rsidR="00506F39">
        <w:rPr>
          <w:b w:val="0"/>
          <w:lang w:val="en-GB"/>
        </w:rPr>
        <w:t>red</w:t>
      </w:r>
      <w:r w:rsidRPr="004F2FBC">
        <w:rPr>
          <w:b w:val="0"/>
          <w:lang w:val="x-none"/>
        </w:rPr>
        <w:t xml:space="preserve"> on the attached plan</w:t>
      </w:r>
      <w:r w:rsidR="00D0135F">
        <w:rPr>
          <w:b w:val="0"/>
          <w:lang w:val="en-GB"/>
        </w:rPr>
        <w:t xml:space="preserve"> (“the Property”)</w:t>
      </w:r>
      <w:r w:rsidRPr="004F2FBC">
        <w:rPr>
          <w:b w:val="0"/>
          <w:lang w:val="x-none"/>
        </w:rPr>
        <w:t>.</w:t>
      </w:r>
    </w:p>
    <w:p w:rsidR="004F2FBC" w:rsidRDefault="004F2FBC" w:rsidP="001E5493">
      <w:pPr>
        <w:spacing w:line="240" w:lineRule="atLeast"/>
        <w:jc w:val="both"/>
        <w:rPr>
          <w:lang w:val="en-GB"/>
        </w:rPr>
      </w:pPr>
    </w:p>
    <w:p w:rsidR="004F2FBC" w:rsidRDefault="004F2FBC" w:rsidP="001E5493">
      <w:pPr>
        <w:tabs>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line="240" w:lineRule="atLeast"/>
        <w:jc w:val="both"/>
        <w:rPr>
          <w:b w:val="0"/>
          <w:lang w:val="en-GB"/>
        </w:rPr>
      </w:pPr>
    </w:p>
    <w:p w:rsidR="004F2FBC" w:rsidRDefault="004F2FBC" w:rsidP="001E5493">
      <w:pPr>
        <w:spacing w:line="240" w:lineRule="atLeast"/>
        <w:jc w:val="both"/>
        <w:rPr>
          <w:lang w:val="en-GB"/>
        </w:rPr>
      </w:pPr>
      <w:r>
        <w:rPr>
          <w:b w:val="0"/>
          <w:lang w:val="en-GB"/>
        </w:rPr>
        <w:t>3.</w:t>
      </w:r>
      <w:r>
        <w:rPr>
          <w:lang w:val="en-GB"/>
        </w:rPr>
        <w:tab/>
        <w:t>THE BREACH OF PLANNING CONTROL ALLEGED</w:t>
      </w:r>
      <w:r>
        <w:rPr>
          <w:b w:val="0"/>
          <w:lang w:val="en-GB"/>
        </w:rPr>
        <w:t xml:space="preserve"> </w:t>
      </w:r>
    </w:p>
    <w:p w:rsidR="004F2FBC" w:rsidRDefault="004F2FBC" w:rsidP="001E5493">
      <w:pPr>
        <w:spacing w:line="240" w:lineRule="atLeast"/>
        <w:jc w:val="both"/>
        <w:rPr>
          <w:b w:val="0"/>
          <w:lang w:val="en-GB"/>
        </w:rPr>
      </w:pPr>
    </w:p>
    <w:p w:rsidR="00A37416" w:rsidRPr="00A115AE" w:rsidRDefault="0007608B" w:rsidP="008B0017">
      <w:pPr>
        <w:spacing w:after="240"/>
        <w:ind w:left="720"/>
        <w:jc w:val="both"/>
        <w:rPr>
          <w:b w:val="0"/>
          <w:lang w:val="en-GB"/>
        </w:rPr>
      </w:pPr>
      <w:r>
        <w:rPr>
          <w:lang w:val="en-GB"/>
        </w:rPr>
        <w:t>Without planning p</w:t>
      </w:r>
      <w:r w:rsidR="004F2FBC" w:rsidRPr="00A115AE">
        <w:rPr>
          <w:lang w:val="en-GB"/>
        </w:rPr>
        <w:t>ermission:</w:t>
      </w:r>
      <w:r w:rsidR="00706BCA" w:rsidRPr="00A115AE">
        <w:rPr>
          <w:b w:val="0"/>
          <w:lang w:val="en-GB"/>
        </w:rPr>
        <w:t xml:space="preserve"> </w:t>
      </w:r>
      <w:r w:rsidR="001D5B96" w:rsidRPr="001D5B96">
        <w:rPr>
          <w:b w:val="0"/>
          <w:lang w:val="en-GB"/>
        </w:rPr>
        <w:t>Property used as temporary sleeping accommodation</w:t>
      </w:r>
      <w:r w:rsidR="001D5B96">
        <w:rPr>
          <w:b w:val="0"/>
          <w:lang w:val="en-GB"/>
        </w:rPr>
        <w:t xml:space="preserve">. </w:t>
      </w:r>
    </w:p>
    <w:p w:rsidR="003307A3" w:rsidRPr="00A115AE" w:rsidRDefault="003307A3" w:rsidP="001E5493">
      <w:pPr>
        <w:spacing w:line="240" w:lineRule="atLeast"/>
        <w:rPr>
          <w:b w:val="0"/>
          <w:lang w:val="en-GB"/>
        </w:rPr>
      </w:pPr>
    </w:p>
    <w:p w:rsidR="004F2FBC" w:rsidRPr="00A115AE" w:rsidRDefault="004F2FBC" w:rsidP="004F2FBC">
      <w:pPr>
        <w:spacing w:line="240" w:lineRule="atLeast"/>
        <w:rPr>
          <w:b w:val="0"/>
          <w:lang w:val="en-GB"/>
        </w:rPr>
      </w:pPr>
      <w:r w:rsidRPr="00A115AE">
        <w:rPr>
          <w:b w:val="0"/>
          <w:lang w:val="en-GB"/>
        </w:rPr>
        <w:t>4.</w:t>
      </w:r>
      <w:r w:rsidRPr="00A115AE">
        <w:rPr>
          <w:b w:val="0"/>
          <w:lang w:val="en-GB"/>
        </w:rPr>
        <w:tab/>
      </w:r>
      <w:r w:rsidRPr="00A115AE">
        <w:rPr>
          <w:lang w:val="en-GB"/>
        </w:rPr>
        <w:t>REASONS FOR ISSUING THIS NOTICE:</w:t>
      </w:r>
    </w:p>
    <w:p w:rsidR="004F2FBC" w:rsidRPr="00A115AE" w:rsidRDefault="004F2FBC" w:rsidP="004F2FBC">
      <w:pPr>
        <w:spacing w:line="240" w:lineRule="atLeast"/>
        <w:rPr>
          <w:b w:val="0"/>
          <w:lang w:val="en-GB"/>
        </w:rPr>
      </w:pPr>
    </w:p>
    <w:p w:rsidR="00A22654" w:rsidRDefault="00A22654" w:rsidP="00A22654">
      <w:pPr>
        <w:numPr>
          <w:ilvl w:val="0"/>
          <w:numId w:val="5"/>
        </w:numPr>
        <w:spacing w:line="240" w:lineRule="atLeast"/>
        <w:jc w:val="both"/>
        <w:rPr>
          <w:rFonts w:cs="Arial"/>
          <w:b w:val="0"/>
        </w:rPr>
      </w:pPr>
      <w:r w:rsidRPr="00A22654">
        <w:rPr>
          <w:rFonts w:cs="Arial"/>
          <w:b w:val="0"/>
        </w:rPr>
        <w:t xml:space="preserve">The </w:t>
      </w:r>
      <w:proofErr w:type="spellStart"/>
      <w:r w:rsidRPr="00A22654">
        <w:rPr>
          <w:rFonts w:cs="Arial"/>
          <w:b w:val="0"/>
        </w:rPr>
        <w:t>unauthorised</w:t>
      </w:r>
      <w:proofErr w:type="spellEnd"/>
      <w:r w:rsidRPr="00A22654">
        <w:rPr>
          <w:rFonts w:cs="Arial"/>
          <w:b w:val="0"/>
        </w:rPr>
        <w:t xml:space="preserve"> </w:t>
      </w:r>
      <w:r w:rsidRPr="001D5B96">
        <w:rPr>
          <w:rFonts w:cs="Arial"/>
          <w:b w:val="0"/>
        </w:rPr>
        <w:t>change of use</w:t>
      </w:r>
      <w:r w:rsidRPr="00A22654">
        <w:rPr>
          <w:rFonts w:cs="Arial"/>
          <w:b w:val="0"/>
        </w:rPr>
        <w:t xml:space="preserve"> has occurred within the last</w:t>
      </w:r>
      <w:r w:rsidR="00A37416" w:rsidRPr="001D5B96">
        <w:rPr>
          <w:rFonts w:cs="Arial"/>
          <w:b w:val="0"/>
        </w:rPr>
        <w:t xml:space="preserve"> </w:t>
      </w:r>
      <w:r w:rsidRPr="001D5B96">
        <w:rPr>
          <w:rFonts w:cs="Arial"/>
          <w:b w:val="0"/>
        </w:rPr>
        <w:t xml:space="preserve">10 </w:t>
      </w:r>
      <w:r w:rsidRPr="00A22654">
        <w:rPr>
          <w:rFonts w:cs="Arial"/>
          <w:b w:val="0"/>
        </w:rPr>
        <w:t xml:space="preserve">years. </w:t>
      </w:r>
    </w:p>
    <w:p w:rsidR="00A22654" w:rsidRPr="00A22654" w:rsidRDefault="00A22654" w:rsidP="00A22654">
      <w:pPr>
        <w:spacing w:line="240" w:lineRule="atLeast"/>
        <w:ind w:left="1080"/>
        <w:jc w:val="both"/>
        <w:rPr>
          <w:rFonts w:cs="Arial"/>
          <w:b w:val="0"/>
        </w:rPr>
      </w:pPr>
    </w:p>
    <w:p w:rsidR="00A22654" w:rsidRPr="001D5B96" w:rsidRDefault="001D5B96" w:rsidP="00A22654">
      <w:pPr>
        <w:numPr>
          <w:ilvl w:val="0"/>
          <w:numId w:val="5"/>
        </w:numPr>
        <w:spacing w:line="240" w:lineRule="atLeast"/>
        <w:jc w:val="both"/>
        <w:rPr>
          <w:rFonts w:cs="Arial"/>
          <w:b w:val="0"/>
        </w:rPr>
      </w:pPr>
      <w:r w:rsidRPr="001D5B96">
        <w:rPr>
          <w:rFonts w:cs="Arial"/>
          <w:b w:val="0"/>
        </w:rPr>
        <w:t>The number of nights the flat has been let on a short term basis has exceeded conditions set by Section 25 of the Greater London Council (General Powers) Act 1973 except to the extent allowed by Section 25A (1) of that Act, which permits the use subject to Conditions, including Conditions set out at Section 25A (2) (a) and (b) which limit use as temporary sleeping accommodation to a maximum of 90 nights in any one calendar year. In doing so it has resulted in the</w:t>
      </w:r>
      <w:r w:rsidRPr="001D5B96">
        <w:rPr>
          <w:rFonts w:cs="Arial"/>
          <w:b w:val="0"/>
          <w:i/>
        </w:rPr>
        <w:t xml:space="preserve"> </w:t>
      </w:r>
      <w:r w:rsidRPr="001D5B96">
        <w:rPr>
          <w:rFonts w:cs="Arial"/>
          <w:b w:val="0"/>
        </w:rPr>
        <w:t xml:space="preserve">unacceptable loss of permanent residential accommodation contrary to policies A1 (Managing the impact of development), H1 </w:t>
      </w:r>
      <w:r w:rsidRPr="001D5B96">
        <w:rPr>
          <w:rFonts w:cs="Arial"/>
          <w:b w:val="0"/>
        </w:rPr>
        <w:lastRenderedPageBreak/>
        <w:t>(</w:t>
      </w:r>
      <w:proofErr w:type="spellStart"/>
      <w:r w:rsidRPr="001D5B96">
        <w:rPr>
          <w:rFonts w:cs="Arial"/>
          <w:b w:val="0"/>
        </w:rPr>
        <w:t>Maximising</w:t>
      </w:r>
      <w:proofErr w:type="spellEnd"/>
      <w:r w:rsidRPr="001D5B96">
        <w:rPr>
          <w:rFonts w:cs="Arial"/>
          <w:b w:val="0"/>
        </w:rPr>
        <w:t xml:space="preserve"> housing supply) and H3 (Protecting existing homes), of the Camden Local Plan (2017).</w:t>
      </w:r>
    </w:p>
    <w:p w:rsidR="001D5B96" w:rsidRPr="001D5B96" w:rsidRDefault="001D5B96" w:rsidP="001D5B96">
      <w:pPr>
        <w:spacing w:line="240" w:lineRule="atLeast"/>
        <w:ind w:left="1080"/>
        <w:jc w:val="both"/>
        <w:rPr>
          <w:rFonts w:cs="Arial"/>
          <w:b w:val="0"/>
        </w:rPr>
      </w:pPr>
    </w:p>
    <w:p w:rsidR="001D5B96" w:rsidRDefault="001D5B96" w:rsidP="00A22654">
      <w:pPr>
        <w:numPr>
          <w:ilvl w:val="0"/>
          <w:numId w:val="5"/>
        </w:numPr>
        <w:spacing w:line="240" w:lineRule="atLeast"/>
        <w:jc w:val="both"/>
        <w:rPr>
          <w:rFonts w:cs="Arial"/>
          <w:b w:val="0"/>
        </w:rPr>
      </w:pPr>
      <w:r w:rsidRPr="001D5B96">
        <w:rPr>
          <w:rFonts w:cs="Arial"/>
          <w:b w:val="0"/>
        </w:rPr>
        <w:t xml:space="preserve">The high turnover of occupiers has resulted in an increased incidence of noise and disturbance to the detriment of the </w:t>
      </w:r>
      <w:proofErr w:type="spellStart"/>
      <w:r w:rsidRPr="001D5B96">
        <w:rPr>
          <w:rFonts w:cs="Arial"/>
          <w:b w:val="0"/>
        </w:rPr>
        <w:t>neighbouring</w:t>
      </w:r>
      <w:proofErr w:type="spellEnd"/>
      <w:r w:rsidRPr="001D5B96">
        <w:rPr>
          <w:rFonts w:cs="Arial"/>
          <w:b w:val="0"/>
        </w:rPr>
        <w:t xml:space="preserve"> occupiers contrary to policies A1 (Managing the impact of development), H3 (Protecting existing homes) of the Camden Local Plan (2017) and CPG6 (Amenity) of The London Plan (2016).</w:t>
      </w:r>
    </w:p>
    <w:p w:rsidR="001D5B96" w:rsidRDefault="001D5B96" w:rsidP="001D5B96">
      <w:pPr>
        <w:spacing w:line="240" w:lineRule="atLeast"/>
        <w:jc w:val="both"/>
        <w:rPr>
          <w:rFonts w:cs="Arial"/>
          <w:b w:val="0"/>
        </w:rPr>
      </w:pPr>
    </w:p>
    <w:p w:rsidR="001D5B96" w:rsidRPr="001D5B96" w:rsidRDefault="001D5B96" w:rsidP="001D5B96">
      <w:pPr>
        <w:spacing w:line="240" w:lineRule="atLeast"/>
        <w:jc w:val="both"/>
        <w:rPr>
          <w:rFonts w:cs="Arial"/>
          <w:b w:val="0"/>
        </w:rPr>
      </w:pPr>
      <w:r w:rsidRPr="001D5B96">
        <w:rPr>
          <w:rFonts w:cs="Arial"/>
          <w:b w:val="0"/>
          <w:lang w:val="en-GB"/>
        </w:rPr>
        <w:t>The Council do not consider that planning permission should be given because planning conditions could not overcome these problems.</w:t>
      </w:r>
    </w:p>
    <w:p w:rsidR="003307A3" w:rsidRPr="003307A3" w:rsidRDefault="003307A3" w:rsidP="00A37416">
      <w:pPr>
        <w:spacing w:line="240" w:lineRule="atLeast"/>
        <w:ind w:left="1080"/>
        <w:jc w:val="both"/>
        <w:rPr>
          <w:rFonts w:cs="Arial"/>
          <w:b w:val="0"/>
          <w:bCs/>
          <w:szCs w:val="24"/>
          <w:lang w:val="en-GB"/>
        </w:rPr>
      </w:pPr>
    </w:p>
    <w:p w:rsidR="003307A3" w:rsidRPr="00A115AE" w:rsidRDefault="003307A3" w:rsidP="003307A3">
      <w:pPr>
        <w:spacing w:line="240" w:lineRule="atLeast"/>
        <w:ind w:left="1080"/>
        <w:jc w:val="both"/>
        <w:rPr>
          <w:b w:val="0"/>
          <w:lang w:val="en-GB"/>
        </w:rPr>
      </w:pPr>
    </w:p>
    <w:p w:rsidR="004F2FBC" w:rsidRPr="00A115AE" w:rsidRDefault="004F2FBC" w:rsidP="004F2FBC">
      <w:pPr>
        <w:spacing w:line="240" w:lineRule="atLeast"/>
        <w:jc w:val="both"/>
        <w:rPr>
          <w:lang w:val="en-GB"/>
        </w:rPr>
      </w:pPr>
      <w:r w:rsidRPr="00A115AE">
        <w:rPr>
          <w:b w:val="0"/>
          <w:lang w:val="en-GB"/>
        </w:rPr>
        <w:t>5.</w:t>
      </w:r>
      <w:r w:rsidRPr="00A115AE">
        <w:rPr>
          <w:b w:val="0"/>
          <w:lang w:val="en-GB"/>
        </w:rPr>
        <w:tab/>
      </w:r>
      <w:r w:rsidRPr="00A115AE">
        <w:rPr>
          <w:lang w:val="en-GB"/>
        </w:rPr>
        <w:t xml:space="preserve">WHAT YOU ARE REQUIRED TO DO </w:t>
      </w:r>
    </w:p>
    <w:p w:rsidR="001E5493" w:rsidRPr="00A115AE" w:rsidRDefault="001E5493" w:rsidP="004F2FBC">
      <w:pPr>
        <w:spacing w:line="240" w:lineRule="atLeast"/>
        <w:jc w:val="both"/>
        <w:rPr>
          <w:szCs w:val="24"/>
          <w:lang w:val="en-GB"/>
        </w:rPr>
      </w:pPr>
    </w:p>
    <w:p w:rsidR="004F2FBC" w:rsidRPr="00A115AE" w:rsidRDefault="001E5493" w:rsidP="00F4105D">
      <w:pPr>
        <w:spacing w:line="240" w:lineRule="atLeast"/>
        <w:ind w:left="709" w:hanging="709"/>
        <w:jc w:val="both"/>
        <w:rPr>
          <w:b w:val="0"/>
          <w:szCs w:val="24"/>
          <w:lang w:val="en-GB"/>
        </w:rPr>
      </w:pPr>
      <w:r w:rsidRPr="00A115AE">
        <w:rPr>
          <w:szCs w:val="24"/>
          <w:lang w:val="en-GB"/>
        </w:rPr>
        <w:tab/>
      </w:r>
      <w:r w:rsidRPr="00A115AE">
        <w:rPr>
          <w:b w:val="0"/>
          <w:szCs w:val="24"/>
          <w:lang w:val="en-GB"/>
        </w:rPr>
        <w:t xml:space="preserve">Within a period of </w:t>
      </w:r>
      <w:r w:rsidR="001D5B96">
        <w:rPr>
          <w:szCs w:val="24"/>
          <w:lang w:val="en-GB"/>
        </w:rPr>
        <w:t>THREE</w:t>
      </w:r>
      <w:r w:rsidR="00A37416" w:rsidRPr="001D5B96">
        <w:rPr>
          <w:szCs w:val="24"/>
          <w:lang w:val="en-GB"/>
        </w:rPr>
        <w:t xml:space="preserve"> </w:t>
      </w:r>
      <w:r w:rsidR="003B41D7" w:rsidRPr="001D5B96">
        <w:rPr>
          <w:szCs w:val="24"/>
          <w:lang w:val="en-GB"/>
        </w:rPr>
        <w:t>(</w:t>
      </w:r>
      <w:r w:rsidR="001D5B96">
        <w:rPr>
          <w:szCs w:val="24"/>
          <w:lang w:val="en-GB"/>
        </w:rPr>
        <w:t>3</w:t>
      </w:r>
      <w:r w:rsidR="003B41D7" w:rsidRPr="001D5B96">
        <w:rPr>
          <w:szCs w:val="24"/>
          <w:lang w:val="en-GB"/>
        </w:rPr>
        <w:t>)</w:t>
      </w:r>
      <w:r w:rsidR="003B41D7">
        <w:rPr>
          <w:szCs w:val="24"/>
          <w:lang w:val="en-GB"/>
        </w:rPr>
        <w:t xml:space="preserve"> </w:t>
      </w:r>
      <w:r w:rsidR="008B715A" w:rsidRPr="00A115AE">
        <w:rPr>
          <w:szCs w:val="24"/>
          <w:lang w:val="en-GB"/>
        </w:rPr>
        <w:t>month</w:t>
      </w:r>
      <w:r w:rsidR="001D5B96">
        <w:rPr>
          <w:szCs w:val="24"/>
          <w:lang w:val="en-GB"/>
        </w:rPr>
        <w:t>s</w:t>
      </w:r>
      <w:r w:rsidRPr="00A115AE">
        <w:rPr>
          <w:b w:val="0"/>
          <w:szCs w:val="24"/>
          <w:lang w:val="en-GB"/>
        </w:rPr>
        <w:t xml:space="preserve"> of the Notice taking effect:</w:t>
      </w:r>
    </w:p>
    <w:p w:rsidR="001E5493" w:rsidRPr="00A115AE" w:rsidRDefault="001E5493" w:rsidP="004F2FBC">
      <w:pPr>
        <w:spacing w:line="240" w:lineRule="atLeast"/>
        <w:jc w:val="both"/>
        <w:rPr>
          <w:b w:val="0"/>
          <w:szCs w:val="24"/>
          <w:lang w:val="en-GB"/>
        </w:rPr>
      </w:pPr>
    </w:p>
    <w:p w:rsidR="00A22654" w:rsidRPr="001D5B96" w:rsidRDefault="001D5B96" w:rsidP="00A22654">
      <w:pPr>
        <w:pStyle w:val="ListParagraph"/>
        <w:numPr>
          <w:ilvl w:val="0"/>
          <w:numId w:val="19"/>
        </w:numPr>
        <w:ind w:left="1134" w:hanging="567"/>
        <w:rPr>
          <w:rFonts w:cs="Arial"/>
          <w:b w:val="0"/>
          <w:szCs w:val="24"/>
          <w:lang w:val="en-GB"/>
        </w:rPr>
      </w:pPr>
      <w:r w:rsidRPr="001D5B96">
        <w:rPr>
          <w:rFonts w:cs="Arial"/>
          <w:b w:val="0"/>
          <w:szCs w:val="24"/>
        </w:rPr>
        <w:t>Discontinue the use of the premises as 'temporary sleeping accommodation' as defined at Section 25 of the Greater London Council (General Powers) Act 1973 except to the extent allowed by Section 25A (1) of that Act, which permits the use subject to Conditions, including Conditions set out at Section 25A (2) (a) and (b) which limit use as temporary sleeping accommodation to a maximum of 90 nights in any one calendar year</w:t>
      </w:r>
      <w:r>
        <w:rPr>
          <w:rFonts w:cs="Arial"/>
          <w:b w:val="0"/>
          <w:szCs w:val="24"/>
        </w:rPr>
        <w:t xml:space="preserve">. </w:t>
      </w:r>
    </w:p>
    <w:p w:rsidR="003B41D7" w:rsidRDefault="003B41D7" w:rsidP="003B41D7">
      <w:pPr>
        <w:pStyle w:val="ListParagraph"/>
        <w:ind w:left="0"/>
        <w:rPr>
          <w:rFonts w:cs="Arial"/>
          <w:b w:val="0"/>
          <w:szCs w:val="24"/>
        </w:rPr>
      </w:pPr>
    </w:p>
    <w:p w:rsidR="004F2FBC" w:rsidRPr="001A7543" w:rsidRDefault="004F2FBC" w:rsidP="004F2FBC">
      <w:pPr>
        <w:spacing w:line="240" w:lineRule="atLeast"/>
        <w:jc w:val="both"/>
        <w:rPr>
          <w:b w:val="0"/>
          <w:lang w:val="en-GB"/>
        </w:rPr>
      </w:pPr>
    </w:p>
    <w:p w:rsidR="004F2FBC" w:rsidRDefault="004F2FBC" w:rsidP="004F2FBC">
      <w:pPr>
        <w:tabs>
          <w:tab w:val="left" w:pos="709"/>
        </w:tabs>
        <w:spacing w:line="240" w:lineRule="atLeast"/>
        <w:jc w:val="both"/>
        <w:rPr>
          <w:lang w:val="en-GB"/>
        </w:rPr>
      </w:pPr>
      <w:r>
        <w:rPr>
          <w:b w:val="0"/>
          <w:lang w:val="en-GB"/>
        </w:rPr>
        <w:t>6.</w:t>
      </w:r>
      <w:r>
        <w:rPr>
          <w:b w:val="0"/>
          <w:lang w:val="en-GB"/>
        </w:rPr>
        <w:tab/>
      </w:r>
      <w:r>
        <w:rPr>
          <w:lang w:val="en-GB"/>
        </w:rPr>
        <w:t>WHEN THIS NOTICE TAKES EFFECT</w:t>
      </w:r>
    </w:p>
    <w:p w:rsidR="004F2FBC" w:rsidRDefault="004F2FBC" w:rsidP="004F2FBC">
      <w:pPr>
        <w:tabs>
          <w:tab w:val="left" w:pos="709"/>
        </w:tabs>
        <w:spacing w:line="240" w:lineRule="atLeast"/>
        <w:jc w:val="both"/>
        <w:rPr>
          <w:lang w:val="en-GB"/>
        </w:rPr>
      </w:pPr>
    </w:p>
    <w:p w:rsidR="004F2FBC" w:rsidRPr="00706BCA" w:rsidRDefault="004F2FBC" w:rsidP="004F2FBC">
      <w:pPr>
        <w:spacing w:line="240" w:lineRule="atLeast"/>
        <w:ind w:left="720"/>
        <w:jc w:val="both"/>
        <w:rPr>
          <w:b w:val="0"/>
          <w:lang w:val="en-GB"/>
        </w:rPr>
      </w:pPr>
      <w:r w:rsidRPr="004F2FBC">
        <w:rPr>
          <w:b w:val="0"/>
          <w:lang w:val="en-GB"/>
        </w:rPr>
        <w:t xml:space="preserve">This </w:t>
      </w:r>
      <w:r w:rsidRPr="00706BCA">
        <w:rPr>
          <w:b w:val="0"/>
          <w:lang w:val="en-GB"/>
        </w:rPr>
        <w:t>notice takes effect</w:t>
      </w:r>
      <w:r w:rsidRPr="00706BCA">
        <w:rPr>
          <w:lang w:val="en-GB"/>
        </w:rPr>
        <w:t xml:space="preserve"> </w:t>
      </w:r>
      <w:r w:rsidRPr="00706BCA">
        <w:rPr>
          <w:b w:val="0"/>
          <w:lang w:val="en-GB"/>
        </w:rPr>
        <w:t>on</w:t>
      </w:r>
      <w:r w:rsidRPr="00706BCA">
        <w:rPr>
          <w:lang w:val="en-GB"/>
        </w:rPr>
        <w:t xml:space="preserve"> </w:t>
      </w:r>
      <w:r w:rsidR="001D5B96">
        <w:rPr>
          <w:lang w:val="en-GB"/>
        </w:rPr>
        <w:t>11 OCTOBER 2019</w:t>
      </w:r>
      <w:r w:rsidR="00706BCA" w:rsidRPr="00706BCA">
        <w:rPr>
          <w:bCs/>
          <w:iCs/>
          <w:lang w:val="en-GB"/>
        </w:rPr>
        <w:t xml:space="preserve"> </w:t>
      </w:r>
      <w:r w:rsidRPr="00706BCA">
        <w:rPr>
          <w:b w:val="0"/>
          <w:lang w:val="en-GB"/>
        </w:rPr>
        <w:t>unless an appeal is made against it beforehand.</w:t>
      </w:r>
    </w:p>
    <w:p w:rsidR="004F2FBC" w:rsidRPr="004D2C20" w:rsidRDefault="004F2FBC" w:rsidP="004F2FBC">
      <w:pPr>
        <w:spacing w:line="240" w:lineRule="atLeast"/>
        <w:jc w:val="both"/>
        <w:rPr>
          <w:highlight w:val="yellow"/>
          <w:lang w:val="en-GB"/>
        </w:rPr>
      </w:pPr>
    </w:p>
    <w:p w:rsidR="004F2FBC" w:rsidRPr="004D2C20" w:rsidRDefault="004F2FBC" w:rsidP="004F2FBC">
      <w:pPr>
        <w:spacing w:line="240" w:lineRule="atLeast"/>
        <w:jc w:val="both"/>
        <w:rPr>
          <w:highlight w:val="yellow"/>
          <w:lang w:val="en-GB"/>
        </w:rPr>
      </w:pPr>
    </w:p>
    <w:p w:rsidR="004F2FBC" w:rsidRDefault="004F2FBC" w:rsidP="004A2C6F">
      <w:pPr>
        <w:spacing w:line="0" w:lineRule="atLeast"/>
        <w:ind w:firstLine="720"/>
        <w:jc w:val="both"/>
        <w:rPr>
          <w:i/>
          <w:lang w:val="en-GB"/>
        </w:rPr>
      </w:pPr>
      <w:r w:rsidRPr="00706BCA">
        <w:t xml:space="preserve">DATED: </w:t>
      </w:r>
      <w:r w:rsidR="001D5B96">
        <w:t>30 August 2019</w:t>
      </w:r>
      <w:r w:rsidR="00925F48">
        <w:t xml:space="preserve">     </w:t>
      </w:r>
      <w:r w:rsidR="00946B15">
        <w:t>Signed:</w:t>
      </w:r>
      <w:r w:rsidR="00946B15" w:rsidRPr="00946B15">
        <w:t xml:space="preserve"> </w:t>
      </w:r>
      <w:r w:rsidR="00903B92" w:rsidRPr="009C2B3A">
        <w:rPr>
          <w:rFonts w:eastAsia="Calibri"/>
          <w:noProof/>
          <w:lang w:val="en-GB" w:eastAsia="en-GB"/>
        </w:rPr>
        <w:drawing>
          <wp:inline distT="0" distB="0" distL="0" distR="0">
            <wp:extent cx="1514475" cy="685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685800"/>
                    </a:xfrm>
                    <a:prstGeom prst="rect">
                      <a:avLst/>
                    </a:prstGeom>
                    <a:noFill/>
                    <a:ln>
                      <a:noFill/>
                    </a:ln>
                  </pic:spPr>
                </pic:pic>
              </a:graphicData>
            </a:graphic>
          </wp:inline>
        </w:drawing>
      </w:r>
    </w:p>
    <w:p w:rsidR="004A2C6F" w:rsidRDefault="004A2C6F" w:rsidP="004A2C6F">
      <w:pPr>
        <w:spacing w:line="0" w:lineRule="atLeast"/>
        <w:ind w:left="709" w:firstLine="11"/>
        <w:rPr>
          <w:rFonts w:cs="Arial"/>
        </w:rPr>
      </w:pPr>
    </w:p>
    <w:p w:rsidR="003415F0" w:rsidRPr="00252248" w:rsidRDefault="00903B92" w:rsidP="00252248">
      <w:pPr>
        <w:spacing w:before="100" w:beforeAutospacing="1" w:after="100" w:afterAutospacing="1" w:line="0" w:lineRule="atLeast"/>
        <w:ind w:left="720"/>
        <w:rPr>
          <w:rFonts w:cs="Arial"/>
          <w:szCs w:val="24"/>
        </w:rPr>
      </w:pPr>
      <w:r>
        <w:rPr>
          <w:rFonts w:cs="Arial"/>
          <w:szCs w:val="24"/>
        </w:rPr>
        <w:t>Chief Planning Officer</w:t>
      </w:r>
      <w:r w:rsidR="003415F0" w:rsidRPr="00252248">
        <w:rPr>
          <w:rFonts w:cs="Arial"/>
          <w:szCs w:val="24"/>
        </w:rPr>
        <w:t xml:space="preserve">, </w:t>
      </w:r>
      <w:r w:rsidR="00252248" w:rsidRPr="00252248">
        <w:rPr>
          <w:rFonts w:cs="Arial"/>
          <w:szCs w:val="24"/>
          <w:lang w:val="en" w:eastAsia="en-GB"/>
        </w:rPr>
        <w:t xml:space="preserve">Supporting Communities </w:t>
      </w:r>
      <w:r w:rsidR="003415F0" w:rsidRPr="00252248">
        <w:rPr>
          <w:rFonts w:cs="Arial"/>
          <w:szCs w:val="24"/>
        </w:rPr>
        <w:t xml:space="preserve">on behalf of the London Borough of Camden, Town Hall, Judd Street, London WC1H </w:t>
      </w:r>
      <w:r w:rsidR="006D6715" w:rsidRPr="00252248">
        <w:rPr>
          <w:rFonts w:cs="Arial"/>
          <w:szCs w:val="24"/>
        </w:rPr>
        <w:t>8JE</w:t>
      </w:r>
    </w:p>
    <w:p w:rsidR="003B41D7" w:rsidRDefault="003B41D7" w:rsidP="004A2C6F">
      <w:pPr>
        <w:spacing w:line="0" w:lineRule="atLeast"/>
        <w:ind w:left="709" w:firstLine="11"/>
        <w:rPr>
          <w:rFonts w:cs="Arial"/>
          <w:szCs w:val="24"/>
        </w:rPr>
      </w:pPr>
    </w:p>
    <w:p w:rsidR="00A21A51" w:rsidRDefault="00A21A51" w:rsidP="004A2C6F">
      <w:pPr>
        <w:spacing w:line="0" w:lineRule="atLeast"/>
        <w:ind w:left="709" w:firstLine="11"/>
        <w:rPr>
          <w:rFonts w:cs="Arial"/>
          <w:szCs w:val="24"/>
        </w:rPr>
      </w:pPr>
    </w:p>
    <w:p w:rsidR="004F2FBC" w:rsidRDefault="00FF2BE6" w:rsidP="004F2FBC">
      <w:pPr>
        <w:spacing w:line="240" w:lineRule="atLeast"/>
        <w:jc w:val="both"/>
        <w:rPr>
          <w:sz w:val="22"/>
          <w:szCs w:val="22"/>
          <w:u w:val="single"/>
          <w:lang w:val="en-GB"/>
        </w:rPr>
      </w:pPr>
      <w:r>
        <w:rPr>
          <w:sz w:val="22"/>
          <w:szCs w:val="22"/>
          <w:u w:val="single"/>
          <w:lang w:val="en-GB"/>
        </w:rPr>
        <w:t xml:space="preserve">Explanatory </w:t>
      </w:r>
      <w:r w:rsidR="008630AB">
        <w:rPr>
          <w:sz w:val="22"/>
          <w:szCs w:val="22"/>
          <w:u w:val="single"/>
          <w:lang w:val="en-GB"/>
        </w:rPr>
        <w:t>N</w:t>
      </w:r>
      <w:r w:rsidR="004F2FBC" w:rsidRPr="00706BCA">
        <w:rPr>
          <w:sz w:val="22"/>
          <w:szCs w:val="22"/>
          <w:u w:val="single"/>
          <w:lang w:val="en-GB"/>
        </w:rPr>
        <w:t>ote Pursuant to Regulation 5 of the Town and Country (Enforcement Notices and Appeals) (England) Regulations 2002</w:t>
      </w:r>
    </w:p>
    <w:p w:rsidR="00FF2BE6" w:rsidRDefault="00FF2BE6" w:rsidP="004F2FBC">
      <w:pPr>
        <w:spacing w:line="240" w:lineRule="atLeast"/>
        <w:jc w:val="both"/>
        <w:rPr>
          <w:sz w:val="22"/>
          <w:szCs w:val="22"/>
          <w:u w:val="single"/>
          <w:lang w:val="en-GB"/>
        </w:rPr>
      </w:pPr>
    </w:p>
    <w:p w:rsidR="00FF2BE6" w:rsidRDefault="00FF2BE6" w:rsidP="00FF2BE6">
      <w:pPr>
        <w:spacing w:line="240" w:lineRule="atLeast"/>
        <w:jc w:val="both"/>
        <w:rPr>
          <w:b w:val="0"/>
          <w:sz w:val="22"/>
          <w:szCs w:val="22"/>
          <w:lang w:val="en"/>
        </w:rPr>
      </w:pPr>
      <w:r w:rsidRPr="00FF2BE6">
        <w:rPr>
          <w:b w:val="0"/>
          <w:sz w:val="22"/>
          <w:szCs w:val="22"/>
          <w:lang w:val="en"/>
        </w:rPr>
        <w:t>An appeal may be brought on any of the following grounds—</w:t>
      </w:r>
    </w:p>
    <w:p w:rsidR="00556B70" w:rsidRPr="00556B70" w:rsidRDefault="00556B70" w:rsidP="00556B70">
      <w:pPr>
        <w:spacing w:line="240" w:lineRule="atLeast"/>
        <w:jc w:val="both"/>
        <w:rPr>
          <w:b w:val="0"/>
          <w:sz w:val="22"/>
          <w:szCs w:val="22"/>
          <w:lang w:val="en"/>
        </w:rPr>
      </w:pPr>
    </w:p>
    <w:p w:rsidR="00556B70" w:rsidRPr="00556B70" w:rsidRDefault="00F4105D" w:rsidP="00556B70">
      <w:pPr>
        <w:spacing w:line="240" w:lineRule="atLeast"/>
        <w:jc w:val="both"/>
        <w:rPr>
          <w:b w:val="0"/>
          <w:sz w:val="22"/>
          <w:szCs w:val="22"/>
          <w:lang w:val="en"/>
        </w:rPr>
      </w:pPr>
      <w:r>
        <w:rPr>
          <w:b w:val="0"/>
          <w:sz w:val="22"/>
          <w:szCs w:val="22"/>
          <w:lang w:val="en"/>
        </w:rPr>
        <w:t>(</w:t>
      </w:r>
      <w:r w:rsidR="00556B70" w:rsidRPr="00556B70">
        <w:rPr>
          <w:b w:val="0"/>
          <w:sz w:val="22"/>
          <w:szCs w:val="22"/>
          <w:lang w:val="en"/>
        </w:rPr>
        <w:t>a) that, in respect of any breach of planning control which may be constituted by the matters stated in the notice, planning permission ought to be granted or, as the case may be, the condition or limitation concerned ought to be discharged;</w:t>
      </w:r>
    </w:p>
    <w:p w:rsidR="00556B70" w:rsidRPr="00556B70" w:rsidRDefault="00556B70" w:rsidP="00556B70">
      <w:pPr>
        <w:spacing w:line="240" w:lineRule="atLeast"/>
        <w:jc w:val="both"/>
        <w:rPr>
          <w:b w:val="0"/>
          <w:sz w:val="22"/>
          <w:szCs w:val="22"/>
          <w:lang w:val="en"/>
        </w:rPr>
      </w:pPr>
    </w:p>
    <w:p w:rsidR="00556B70" w:rsidRPr="00556B70" w:rsidRDefault="00556B70" w:rsidP="00556B70">
      <w:pPr>
        <w:spacing w:line="240" w:lineRule="atLeast"/>
        <w:jc w:val="both"/>
        <w:rPr>
          <w:b w:val="0"/>
          <w:sz w:val="22"/>
          <w:szCs w:val="22"/>
          <w:lang w:val="en"/>
        </w:rPr>
      </w:pPr>
      <w:r w:rsidRPr="00556B70">
        <w:rPr>
          <w:b w:val="0"/>
          <w:sz w:val="22"/>
          <w:szCs w:val="22"/>
          <w:lang w:val="en"/>
        </w:rPr>
        <w:t>(b) that those matters have not occurred;</w:t>
      </w:r>
    </w:p>
    <w:p w:rsidR="00556B70" w:rsidRPr="00556B70" w:rsidRDefault="00556B70" w:rsidP="00556B70">
      <w:pPr>
        <w:spacing w:line="240" w:lineRule="atLeast"/>
        <w:jc w:val="both"/>
        <w:rPr>
          <w:b w:val="0"/>
          <w:sz w:val="22"/>
          <w:szCs w:val="22"/>
          <w:lang w:val="en"/>
        </w:rPr>
      </w:pPr>
    </w:p>
    <w:p w:rsidR="00556B70" w:rsidRPr="00556B70" w:rsidRDefault="00556B70" w:rsidP="00556B70">
      <w:pPr>
        <w:spacing w:line="240" w:lineRule="atLeast"/>
        <w:jc w:val="both"/>
        <w:rPr>
          <w:b w:val="0"/>
          <w:sz w:val="22"/>
          <w:szCs w:val="22"/>
          <w:lang w:val="en"/>
        </w:rPr>
      </w:pPr>
      <w:r w:rsidRPr="00556B70">
        <w:rPr>
          <w:b w:val="0"/>
          <w:sz w:val="22"/>
          <w:szCs w:val="22"/>
          <w:lang w:val="en"/>
        </w:rPr>
        <w:t>(c) that those matters (if they occurred) do not constitute a breach of planning control;</w:t>
      </w:r>
    </w:p>
    <w:p w:rsidR="00556B70" w:rsidRPr="00556B70" w:rsidRDefault="00556B70" w:rsidP="00556B70">
      <w:pPr>
        <w:spacing w:line="240" w:lineRule="atLeast"/>
        <w:jc w:val="both"/>
        <w:rPr>
          <w:b w:val="0"/>
          <w:sz w:val="22"/>
          <w:szCs w:val="22"/>
          <w:lang w:val="en"/>
        </w:rPr>
      </w:pPr>
    </w:p>
    <w:p w:rsidR="00556B70" w:rsidRPr="00556B70" w:rsidRDefault="00556B70" w:rsidP="00556B70">
      <w:pPr>
        <w:spacing w:line="240" w:lineRule="atLeast"/>
        <w:jc w:val="both"/>
        <w:rPr>
          <w:b w:val="0"/>
          <w:sz w:val="22"/>
          <w:szCs w:val="22"/>
          <w:lang w:val="en"/>
        </w:rPr>
      </w:pPr>
      <w:r w:rsidRPr="00556B70">
        <w:rPr>
          <w:b w:val="0"/>
          <w:sz w:val="22"/>
          <w:szCs w:val="22"/>
          <w:lang w:val="en"/>
        </w:rPr>
        <w:t>(d) that, at the date when the notice was issued, no enforcement action could be taken in respect of any breach of planning control which may be constituted by those matters;</w:t>
      </w:r>
    </w:p>
    <w:p w:rsidR="00556B70" w:rsidRPr="00556B70" w:rsidRDefault="00556B70" w:rsidP="00556B70">
      <w:pPr>
        <w:spacing w:line="240" w:lineRule="atLeast"/>
        <w:jc w:val="both"/>
        <w:rPr>
          <w:b w:val="0"/>
          <w:sz w:val="22"/>
          <w:szCs w:val="22"/>
          <w:lang w:val="en"/>
        </w:rPr>
      </w:pPr>
    </w:p>
    <w:p w:rsidR="00556B70" w:rsidRPr="00556B70" w:rsidRDefault="00556B70" w:rsidP="00556B70">
      <w:pPr>
        <w:spacing w:line="240" w:lineRule="atLeast"/>
        <w:jc w:val="both"/>
        <w:rPr>
          <w:b w:val="0"/>
          <w:sz w:val="22"/>
          <w:szCs w:val="22"/>
          <w:lang w:val="en"/>
        </w:rPr>
      </w:pPr>
      <w:r w:rsidRPr="00556B70">
        <w:rPr>
          <w:b w:val="0"/>
          <w:sz w:val="22"/>
          <w:szCs w:val="22"/>
          <w:lang w:val="en"/>
        </w:rPr>
        <w:t>(e) that copies of the enforcement notice were not served as required by section 172;</w:t>
      </w:r>
    </w:p>
    <w:p w:rsidR="00556B70" w:rsidRPr="00556B70" w:rsidRDefault="00556B70" w:rsidP="00556B70">
      <w:pPr>
        <w:spacing w:line="240" w:lineRule="atLeast"/>
        <w:jc w:val="both"/>
        <w:rPr>
          <w:b w:val="0"/>
          <w:sz w:val="22"/>
          <w:szCs w:val="22"/>
          <w:lang w:val="en"/>
        </w:rPr>
      </w:pPr>
    </w:p>
    <w:p w:rsidR="00556B70" w:rsidRPr="00556B70" w:rsidRDefault="00556B70" w:rsidP="00556B70">
      <w:pPr>
        <w:spacing w:line="240" w:lineRule="atLeast"/>
        <w:jc w:val="both"/>
        <w:rPr>
          <w:b w:val="0"/>
          <w:sz w:val="22"/>
          <w:szCs w:val="22"/>
          <w:lang w:val="en"/>
        </w:rPr>
      </w:pPr>
      <w:r w:rsidRPr="00556B70">
        <w:rPr>
          <w:b w:val="0"/>
          <w:sz w:val="22"/>
          <w:szCs w:val="22"/>
          <w:lang w:val="en"/>
        </w:rPr>
        <w:t>(f) that the steps required by the notice to be taken, or the activities required by the notice to cease, exceed what is necessary to remedy any breach of planning control which may be constituted by those matters or, as the case may be, to remedy any injury to amenity which has been caused by any such breach;</w:t>
      </w:r>
    </w:p>
    <w:p w:rsidR="00556B70" w:rsidRPr="00556B70" w:rsidRDefault="00556B70" w:rsidP="00556B70">
      <w:pPr>
        <w:spacing w:line="240" w:lineRule="atLeast"/>
        <w:jc w:val="both"/>
        <w:rPr>
          <w:b w:val="0"/>
          <w:sz w:val="22"/>
          <w:szCs w:val="22"/>
          <w:lang w:val="en"/>
        </w:rPr>
      </w:pPr>
    </w:p>
    <w:p w:rsidR="00952C1A" w:rsidRDefault="00556B70" w:rsidP="00556B70">
      <w:pPr>
        <w:spacing w:line="240" w:lineRule="atLeast"/>
        <w:jc w:val="both"/>
        <w:rPr>
          <w:b w:val="0"/>
          <w:sz w:val="22"/>
          <w:szCs w:val="22"/>
          <w:lang w:val="en"/>
        </w:rPr>
      </w:pPr>
      <w:r w:rsidRPr="00556B70">
        <w:rPr>
          <w:b w:val="0"/>
          <w:sz w:val="22"/>
          <w:szCs w:val="22"/>
          <w:lang w:val="en"/>
        </w:rPr>
        <w:t>(g) that any period specified in the notice in accordance with section 173(9) falls short of what should reasonably be allowed.</w:t>
      </w:r>
    </w:p>
    <w:p w:rsidR="00556B70" w:rsidRDefault="00556B70" w:rsidP="00556B70">
      <w:pPr>
        <w:spacing w:line="240" w:lineRule="atLeast"/>
        <w:jc w:val="both"/>
        <w:rPr>
          <w:b w:val="0"/>
          <w:sz w:val="22"/>
          <w:szCs w:val="22"/>
          <w:lang w:val="en"/>
        </w:rPr>
      </w:pPr>
    </w:p>
    <w:p w:rsidR="00952C1A" w:rsidRPr="00FF2BE6" w:rsidRDefault="00952C1A" w:rsidP="00FF2BE6">
      <w:pPr>
        <w:spacing w:line="240" w:lineRule="atLeast"/>
        <w:jc w:val="both"/>
        <w:rPr>
          <w:b w:val="0"/>
          <w:sz w:val="22"/>
          <w:szCs w:val="22"/>
          <w:lang w:val="en"/>
        </w:rPr>
      </w:pPr>
      <w:r>
        <w:rPr>
          <w:b w:val="0"/>
          <w:sz w:val="22"/>
          <w:szCs w:val="22"/>
          <w:lang w:val="en"/>
        </w:rPr>
        <w:t>Not all these grounds may be relevant to you.</w:t>
      </w:r>
    </w:p>
    <w:p w:rsidR="004F2FBC" w:rsidRPr="00706BCA" w:rsidRDefault="004F2FBC" w:rsidP="004F2FBC">
      <w:pPr>
        <w:spacing w:line="240" w:lineRule="atLeast"/>
        <w:jc w:val="both"/>
        <w:rPr>
          <w:b w:val="0"/>
          <w:sz w:val="22"/>
          <w:szCs w:val="22"/>
          <w:lang w:val="en-GB"/>
        </w:rPr>
      </w:pPr>
      <w:bookmarkStart w:id="0" w:name="_GoBack"/>
      <w:bookmarkEnd w:id="0"/>
    </w:p>
    <w:p w:rsidR="004F2FBC" w:rsidRPr="00706BCA" w:rsidRDefault="004F2FBC" w:rsidP="004F2FBC">
      <w:pPr>
        <w:spacing w:line="240" w:lineRule="atLeast"/>
        <w:jc w:val="both"/>
        <w:rPr>
          <w:sz w:val="22"/>
          <w:szCs w:val="22"/>
          <w:lang w:val="en-GB"/>
        </w:rPr>
      </w:pPr>
      <w:r w:rsidRPr="00706BCA">
        <w:rPr>
          <w:b w:val="0"/>
          <w:sz w:val="22"/>
          <w:szCs w:val="22"/>
          <w:lang w:val="en-GB"/>
        </w:rPr>
        <w:t>If you appeal against the notice on Ground (a) “That planning permission should be granted for what is alleged in the enforcement notice, or that the condition which is alleged not to have been complied with should be discharged” there is a fee payable under Regulation 10 of the Town and Country Planning (Fees for Applications, Deemed Applications, Requests and Site Visits) (England) Regulations 2012/No.2920 for the deemed application for the planning permission for the development alleged to be in breach of planning control in the enforcement notice.</w:t>
      </w:r>
    </w:p>
    <w:p w:rsidR="004F2FBC" w:rsidRPr="00706BCA" w:rsidRDefault="004F2FBC" w:rsidP="004F2FBC">
      <w:pPr>
        <w:spacing w:line="240" w:lineRule="atLeast"/>
        <w:jc w:val="both"/>
        <w:rPr>
          <w:sz w:val="22"/>
          <w:szCs w:val="22"/>
          <w:lang w:val="en-GB"/>
        </w:rPr>
      </w:pPr>
    </w:p>
    <w:p w:rsidR="004F2FBC" w:rsidRPr="00706BCA" w:rsidRDefault="004F2FBC" w:rsidP="004F2FBC">
      <w:pPr>
        <w:spacing w:line="240" w:lineRule="atLeast"/>
        <w:jc w:val="both"/>
        <w:rPr>
          <w:b w:val="0"/>
          <w:sz w:val="22"/>
          <w:szCs w:val="22"/>
          <w:lang w:val="en-GB"/>
        </w:rPr>
      </w:pPr>
      <w:r w:rsidRPr="00706BCA">
        <w:rPr>
          <w:b w:val="0"/>
          <w:sz w:val="22"/>
          <w:szCs w:val="22"/>
          <w:lang w:val="en-GB"/>
        </w:rPr>
        <w:t>The fee is payable twice to the “London Borough of Camden”, as the Local Planning Authority.</w:t>
      </w:r>
    </w:p>
    <w:p w:rsidR="004F2FBC" w:rsidRPr="00706BCA" w:rsidRDefault="004F2FBC" w:rsidP="004F2FBC">
      <w:pPr>
        <w:spacing w:line="240" w:lineRule="atLeast"/>
        <w:jc w:val="both"/>
        <w:rPr>
          <w:sz w:val="22"/>
          <w:szCs w:val="22"/>
          <w:lang w:val="en-GB"/>
        </w:rPr>
      </w:pPr>
    </w:p>
    <w:p w:rsidR="004F2FBC" w:rsidRDefault="004F2FBC" w:rsidP="004F2FBC">
      <w:pPr>
        <w:spacing w:line="240" w:lineRule="atLeast"/>
        <w:jc w:val="both"/>
        <w:rPr>
          <w:b w:val="0"/>
          <w:sz w:val="22"/>
          <w:szCs w:val="22"/>
          <w:lang w:val="en-GB"/>
        </w:rPr>
      </w:pPr>
      <w:r w:rsidRPr="00706BCA">
        <w:rPr>
          <w:b w:val="0"/>
          <w:sz w:val="22"/>
          <w:szCs w:val="22"/>
          <w:lang w:val="en-GB"/>
        </w:rPr>
        <w:t xml:space="preserve">If you wish to appeal under Ground (a), the fee payable to the “London Borough of Camden” should accompany the copy of the appeal form sent to the Council at the following address: </w:t>
      </w:r>
    </w:p>
    <w:p w:rsidR="004E1F0A" w:rsidRPr="00706BCA" w:rsidRDefault="004E1F0A" w:rsidP="004F2FBC">
      <w:pPr>
        <w:spacing w:line="240" w:lineRule="atLeast"/>
        <w:jc w:val="both"/>
        <w:rPr>
          <w:b w:val="0"/>
          <w:sz w:val="22"/>
          <w:szCs w:val="22"/>
          <w:lang w:val="en-GB"/>
        </w:rPr>
      </w:pPr>
    </w:p>
    <w:p w:rsidR="00252248" w:rsidRPr="00E451C7" w:rsidRDefault="00252248" w:rsidP="00252248">
      <w:pPr>
        <w:rPr>
          <w:rFonts w:cs="Arial"/>
          <w:b w:val="0"/>
          <w:sz w:val="22"/>
          <w:szCs w:val="22"/>
        </w:rPr>
      </w:pPr>
      <w:r w:rsidRPr="00E451C7">
        <w:rPr>
          <w:rFonts w:cs="Arial"/>
          <w:b w:val="0"/>
          <w:sz w:val="22"/>
          <w:szCs w:val="22"/>
        </w:rPr>
        <w:t xml:space="preserve">Appeals and </w:t>
      </w:r>
      <w:r w:rsidR="00A22654">
        <w:rPr>
          <w:rFonts w:cs="Arial"/>
          <w:b w:val="0"/>
          <w:sz w:val="22"/>
          <w:szCs w:val="22"/>
        </w:rPr>
        <w:t>E</w:t>
      </w:r>
      <w:r w:rsidRPr="00E451C7">
        <w:rPr>
          <w:rFonts w:cs="Arial"/>
          <w:b w:val="0"/>
          <w:sz w:val="22"/>
          <w:szCs w:val="22"/>
        </w:rPr>
        <w:t>nforcement</w:t>
      </w:r>
    </w:p>
    <w:p w:rsidR="00252248" w:rsidRPr="00E451C7" w:rsidRDefault="00252248" w:rsidP="00252248">
      <w:pPr>
        <w:rPr>
          <w:rFonts w:cs="Arial"/>
          <w:b w:val="0"/>
          <w:sz w:val="22"/>
          <w:szCs w:val="22"/>
        </w:rPr>
      </w:pPr>
      <w:r w:rsidRPr="00E451C7">
        <w:rPr>
          <w:rFonts w:cs="Arial"/>
          <w:b w:val="0"/>
          <w:sz w:val="22"/>
          <w:szCs w:val="22"/>
          <w:lang w:val="en" w:eastAsia="en-GB"/>
        </w:rPr>
        <w:t xml:space="preserve">Supporting Communities </w:t>
      </w:r>
    </w:p>
    <w:p w:rsidR="00252248" w:rsidRPr="00E451C7" w:rsidRDefault="00252248" w:rsidP="00252248">
      <w:pPr>
        <w:rPr>
          <w:rFonts w:cs="Arial"/>
          <w:b w:val="0"/>
          <w:sz w:val="22"/>
          <w:szCs w:val="22"/>
        </w:rPr>
      </w:pPr>
      <w:r w:rsidRPr="00E451C7">
        <w:rPr>
          <w:rFonts w:cs="Arial"/>
          <w:b w:val="0"/>
          <w:sz w:val="22"/>
          <w:szCs w:val="22"/>
          <w:lang w:val="en" w:eastAsia="en-GB"/>
        </w:rPr>
        <w:t xml:space="preserve">Regeneration and Planning </w:t>
      </w:r>
    </w:p>
    <w:p w:rsidR="00374AF7" w:rsidRPr="00E451C7" w:rsidRDefault="00374AF7" w:rsidP="00374AF7">
      <w:pPr>
        <w:rPr>
          <w:rFonts w:cs="Arial"/>
          <w:b w:val="0"/>
          <w:sz w:val="22"/>
          <w:szCs w:val="22"/>
        </w:rPr>
      </w:pPr>
      <w:r w:rsidRPr="00E451C7">
        <w:rPr>
          <w:rFonts w:cs="Arial"/>
          <w:b w:val="0"/>
          <w:sz w:val="22"/>
          <w:szCs w:val="22"/>
        </w:rPr>
        <w:t>Development Management</w:t>
      </w:r>
    </w:p>
    <w:p w:rsidR="00374AF7" w:rsidRPr="00E451C7" w:rsidRDefault="00374AF7" w:rsidP="00374AF7">
      <w:pPr>
        <w:rPr>
          <w:rFonts w:cs="Arial"/>
          <w:b w:val="0"/>
          <w:sz w:val="22"/>
          <w:szCs w:val="22"/>
        </w:rPr>
      </w:pPr>
      <w:r w:rsidRPr="00E451C7">
        <w:rPr>
          <w:rFonts w:cs="Arial"/>
          <w:b w:val="0"/>
          <w:sz w:val="22"/>
          <w:szCs w:val="22"/>
        </w:rPr>
        <w:t>London Borough of Camden</w:t>
      </w:r>
    </w:p>
    <w:p w:rsidR="00374AF7" w:rsidRPr="00E451C7" w:rsidRDefault="00374AF7" w:rsidP="00374AF7">
      <w:pPr>
        <w:rPr>
          <w:rFonts w:cs="Arial"/>
          <w:b w:val="0"/>
          <w:sz w:val="22"/>
          <w:szCs w:val="22"/>
        </w:rPr>
      </w:pPr>
      <w:r w:rsidRPr="00E451C7">
        <w:rPr>
          <w:rFonts w:cs="Arial"/>
          <w:b w:val="0"/>
          <w:sz w:val="22"/>
          <w:szCs w:val="22"/>
        </w:rPr>
        <w:t xml:space="preserve">Town Hall </w:t>
      </w:r>
    </w:p>
    <w:p w:rsidR="00374AF7" w:rsidRPr="00E451C7" w:rsidRDefault="00374AF7" w:rsidP="00374AF7">
      <w:pPr>
        <w:rPr>
          <w:rFonts w:cs="Arial"/>
          <w:b w:val="0"/>
          <w:sz w:val="22"/>
          <w:szCs w:val="22"/>
        </w:rPr>
      </w:pPr>
      <w:r w:rsidRPr="00E451C7">
        <w:rPr>
          <w:rFonts w:cs="Arial"/>
          <w:b w:val="0"/>
          <w:sz w:val="22"/>
          <w:szCs w:val="22"/>
        </w:rPr>
        <w:t>Judd Street</w:t>
      </w:r>
    </w:p>
    <w:p w:rsidR="00374AF7" w:rsidRPr="00E451C7" w:rsidRDefault="00374AF7" w:rsidP="00374AF7">
      <w:pPr>
        <w:rPr>
          <w:rFonts w:cs="Arial"/>
          <w:b w:val="0"/>
          <w:sz w:val="22"/>
          <w:szCs w:val="22"/>
        </w:rPr>
      </w:pPr>
      <w:r w:rsidRPr="00E451C7">
        <w:rPr>
          <w:rFonts w:cs="Arial"/>
          <w:b w:val="0"/>
          <w:sz w:val="22"/>
          <w:szCs w:val="22"/>
        </w:rPr>
        <w:t>London</w:t>
      </w:r>
    </w:p>
    <w:p w:rsidR="00374AF7" w:rsidRPr="00E451C7" w:rsidRDefault="00374AF7" w:rsidP="00374AF7">
      <w:pPr>
        <w:rPr>
          <w:rFonts w:cs="Arial"/>
          <w:b w:val="0"/>
          <w:sz w:val="22"/>
          <w:szCs w:val="22"/>
        </w:rPr>
      </w:pPr>
      <w:r w:rsidRPr="00E451C7">
        <w:rPr>
          <w:rFonts w:cs="Arial"/>
          <w:b w:val="0"/>
          <w:sz w:val="22"/>
          <w:szCs w:val="22"/>
        </w:rPr>
        <w:t>WC1H 9JE</w:t>
      </w:r>
    </w:p>
    <w:p w:rsidR="004F2FBC" w:rsidRPr="004E1F0A" w:rsidRDefault="004F2FBC" w:rsidP="004F2FBC">
      <w:pPr>
        <w:spacing w:line="240" w:lineRule="atLeast"/>
        <w:jc w:val="both"/>
        <w:rPr>
          <w:sz w:val="22"/>
          <w:szCs w:val="22"/>
          <w:lang w:val="en-GB"/>
        </w:rPr>
      </w:pPr>
    </w:p>
    <w:p w:rsidR="004F2FBC" w:rsidRPr="004E1F0A" w:rsidRDefault="001E5493" w:rsidP="004F2FBC">
      <w:pPr>
        <w:spacing w:line="240" w:lineRule="atLeast"/>
        <w:jc w:val="both"/>
        <w:rPr>
          <w:sz w:val="22"/>
          <w:szCs w:val="22"/>
          <w:lang w:val="en-GB"/>
        </w:rPr>
      </w:pPr>
      <w:r w:rsidRPr="004E1F0A">
        <w:rPr>
          <w:b w:val="0"/>
          <w:sz w:val="22"/>
          <w:szCs w:val="22"/>
          <w:lang w:val="en-GB"/>
        </w:rPr>
        <w:t>The fee is £</w:t>
      </w:r>
      <w:r w:rsidR="00A70362">
        <w:rPr>
          <w:b w:val="0"/>
          <w:sz w:val="22"/>
          <w:szCs w:val="22"/>
          <w:lang w:val="en-GB"/>
        </w:rPr>
        <w:t>462</w:t>
      </w:r>
      <w:r w:rsidR="004F2FBC" w:rsidRPr="004E1F0A">
        <w:rPr>
          <w:b w:val="0"/>
          <w:sz w:val="22"/>
          <w:szCs w:val="22"/>
          <w:lang w:val="en-GB"/>
        </w:rPr>
        <w:t>.</w:t>
      </w:r>
      <w:r w:rsidR="00946B15">
        <w:rPr>
          <w:b w:val="0"/>
          <w:sz w:val="22"/>
          <w:szCs w:val="22"/>
          <w:lang w:val="en-GB"/>
        </w:rPr>
        <w:t>00</w:t>
      </w:r>
    </w:p>
    <w:p w:rsidR="004F2FBC" w:rsidRPr="004E1F0A" w:rsidRDefault="004F2FBC" w:rsidP="004F2FBC">
      <w:pPr>
        <w:spacing w:line="240" w:lineRule="atLeast"/>
        <w:jc w:val="both"/>
        <w:rPr>
          <w:b w:val="0"/>
          <w:sz w:val="22"/>
          <w:szCs w:val="22"/>
          <w:lang w:val="en-GB"/>
        </w:rPr>
      </w:pPr>
    </w:p>
    <w:p w:rsidR="004F2FBC" w:rsidRDefault="001E5493" w:rsidP="004F2FBC">
      <w:pPr>
        <w:spacing w:line="240" w:lineRule="atLeast"/>
        <w:jc w:val="both"/>
        <w:rPr>
          <w:b w:val="0"/>
          <w:sz w:val="22"/>
          <w:szCs w:val="22"/>
          <w:lang w:val="en-GB"/>
        </w:rPr>
      </w:pPr>
      <w:r w:rsidRPr="004E1F0A">
        <w:rPr>
          <w:sz w:val="22"/>
          <w:szCs w:val="22"/>
          <w:lang w:val="en-GB"/>
        </w:rPr>
        <w:t>The TOTAL FEE payable is £</w:t>
      </w:r>
      <w:r w:rsidR="00A70362" w:rsidRPr="00A70362">
        <w:rPr>
          <w:sz w:val="22"/>
          <w:szCs w:val="22"/>
          <w:lang w:val="en-GB"/>
        </w:rPr>
        <w:t>462</w:t>
      </w:r>
      <w:r w:rsidR="004F2FBC" w:rsidRPr="00A70362">
        <w:rPr>
          <w:sz w:val="22"/>
          <w:szCs w:val="22"/>
          <w:lang w:val="en-GB"/>
        </w:rPr>
        <w:t>.00</w:t>
      </w:r>
      <w:r w:rsidR="004F2FBC" w:rsidRPr="004E1F0A">
        <w:rPr>
          <w:sz w:val="22"/>
          <w:szCs w:val="22"/>
          <w:lang w:val="en-GB"/>
        </w:rPr>
        <w:t xml:space="preserve"> </w:t>
      </w:r>
      <w:r w:rsidR="004F2FBC" w:rsidRPr="004E1F0A">
        <w:rPr>
          <w:b w:val="0"/>
          <w:sz w:val="22"/>
          <w:szCs w:val="22"/>
          <w:lang w:val="en-GB"/>
        </w:rPr>
        <w:t>(</w:t>
      </w:r>
      <w:r w:rsidR="004F2FBC" w:rsidRPr="004E1F0A">
        <w:rPr>
          <w:sz w:val="22"/>
          <w:szCs w:val="22"/>
          <w:lang w:val="en-GB"/>
        </w:rPr>
        <w:t xml:space="preserve">i.e. </w:t>
      </w:r>
      <w:r w:rsidRPr="004E1F0A">
        <w:rPr>
          <w:b w:val="0"/>
          <w:sz w:val="22"/>
          <w:szCs w:val="22"/>
          <w:lang w:val="en-GB"/>
        </w:rPr>
        <w:t>£</w:t>
      </w:r>
      <w:r w:rsidR="00A70362" w:rsidRPr="00A70362">
        <w:rPr>
          <w:b w:val="0"/>
          <w:sz w:val="22"/>
          <w:szCs w:val="22"/>
          <w:lang w:val="en-GB"/>
        </w:rPr>
        <w:t>462</w:t>
      </w:r>
      <w:r w:rsidR="004F2FBC" w:rsidRPr="00A70362">
        <w:rPr>
          <w:b w:val="0"/>
          <w:sz w:val="22"/>
          <w:szCs w:val="22"/>
          <w:lang w:val="en-GB"/>
        </w:rPr>
        <w:t>.00</w:t>
      </w:r>
      <w:r w:rsidR="00A70362">
        <w:rPr>
          <w:b w:val="0"/>
          <w:sz w:val="22"/>
          <w:szCs w:val="22"/>
          <w:lang w:val="en-GB"/>
        </w:rPr>
        <w:t xml:space="preserve"> x 1</w:t>
      </w:r>
      <w:r w:rsidR="004F2FBC" w:rsidRPr="004E1F0A">
        <w:rPr>
          <w:b w:val="0"/>
          <w:sz w:val="22"/>
          <w:szCs w:val="22"/>
          <w:lang w:val="en-GB"/>
        </w:rPr>
        <w:t>)</w:t>
      </w:r>
    </w:p>
    <w:p w:rsidR="00952C1A" w:rsidRDefault="00952C1A" w:rsidP="004F2FBC">
      <w:pPr>
        <w:spacing w:line="240" w:lineRule="atLeast"/>
        <w:jc w:val="both"/>
        <w:rPr>
          <w:b w:val="0"/>
          <w:sz w:val="22"/>
          <w:szCs w:val="22"/>
          <w:lang w:val="en-GB"/>
        </w:rPr>
      </w:pPr>
    </w:p>
    <w:p w:rsidR="00952C1A" w:rsidRDefault="00952C1A" w:rsidP="00903B92">
      <w:pPr>
        <w:autoSpaceDE w:val="0"/>
        <w:autoSpaceDN w:val="0"/>
        <w:adjustRightInd w:val="0"/>
        <w:jc w:val="both"/>
        <w:rPr>
          <w:rFonts w:cs="Arial"/>
          <w:bCs/>
          <w:sz w:val="22"/>
          <w:szCs w:val="22"/>
          <w:lang w:val="en-GB" w:eastAsia="en-GB"/>
        </w:rPr>
      </w:pPr>
      <w:r w:rsidRPr="00903B92">
        <w:rPr>
          <w:rFonts w:cs="Arial"/>
          <w:bCs/>
          <w:sz w:val="22"/>
          <w:szCs w:val="22"/>
          <w:lang w:val="en-GB" w:eastAsia="en-GB"/>
        </w:rPr>
        <w:t>STATEMENT ON GROUNDS OF APPEAL</w:t>
      </w:r>
    </w:p>
    <w:p w:rsidR="00952C1A" w:rsidRPr="00903B92" w:rsidRDefault="00952C1A" w:rsidP="00903B92">
      <w:pPr>
        <w:autoSpaceDE w:val="0"/>
        <w:autoSpaceDN w:val="0"/>
        <w:adjustRightInd w:val="0"/>
        <w:jc w:val="both"/>
        <w:rPr>
          <w:rFonts w:cs="Arial"/>
          <w:bCs/>
          <w:sz w:val="22"/>
          <w:szCs w:val="22"/>
          <w:lang w:val="en-GB" w:eastAsia="en-GB"/>
        </w:rPr>
      </w:pPr>
    </w:p>
    <w:p w:rsidR="00952C1A" w:rsidRPr="00903B92" w:rsidRDefault="00952C1A" w:rsidP="00903B92">
      <w:pPr>
        <w:autoSpaceDE w:val="0"/>
        <w:autoSpaceDN w:val="0"/>
        <w:adjustRightInd w:val="0"/>
        <w:jc w:val="both"/>
        <w:rPr>
          <w:rFonts w:cs="Arial"/>
          <w:b w:val="0"/>
          <w:sz w:val="22"/>
          <w:szCs w:val="22"/>
          <w:lang w:val="en-GB" w:eastAsia="en-GB"/>
        </w:rPr>
      </w:pPr>
      <w:r w:rsidRPr="00903B92">
        <w:rPr>
          <w:rFonts w:cs="Arial"/>
          <w:b w:val="0"/>
          <w:sz w:val="22"/>
          <w:szCs w:val="22"/>
          <w:lang w:val="en-GB" w:eastAsia="en-GB"/>
        </w:rPr>
        <w:t>You must submit to the Secretary of State, either when giving notice of appeal or within 14 days from the date on which the Secretary of State sends him a notice so requiring, a statement in writing specifying the grounds on which you are appealing against the Enforcement Notice and stating briefly the facts on which you propose to rely in support of each of those grounds.</w:t>
      </w:r>
    </w:p>
    <w:p w:rsidR="004F2FBC" w:rsidRPr="00706BCA" w:rsidRDefault="004F2FBC" w:rsidP="004F2FBC">
      <w:pPr>
        <w:spacing w:line="240" w:lineRule="atLeast"/>
        <w:jc w:val="both"/>
        <w:rPr>
          <w:sz w:val="22"/>
          <w:szCs w:val="22"/>
          <w:lang w:val="en-GB"/>
        </w:rPr>
      </w:pPr>
    </w:p>
    <w:p w:rsidR="00A52722" w:rsidRDefault="00A52722" w:rsidP="004F2FBC">
      <w:pPr>
        <w:spacing w:line="240" w:lineRule="atLeast"/>
        <w:jc w:val="both"/>
        <w:rPr>
          <w:sz w:val="22"/>
          <w:szCs w:val="22"/>
          <w:lang w:val="en-GB"/>
        </w:rPr>
      </w:pPr>
    </w:p>
    <w:p w:rsidR="00A52722" w:rsidRDefault="00A52722" w:rsidP="004F2FBC">
      <w:pPr>
        <w:spacing w:line="240" w:lineRule="atLeast"/>
        <w:jc w:val="both"/>
        <w:rPr>
          <w:sz w:val="22"/>
          <w:szCs w:val="22"/>
          <w:lang w:val="en-GB"/>
        </w:rPr>
      </w:pPr>
    </w:p>
    <w:p w:rsidR="00A52722" w:rsidRDefault="00A52722" w:rsidP="004F2FBC">
      <w:pPr>
        <w:spacing w:line="240" w:lineRule="atLeast"/>
        <w:jc w:val="both"/>
        <w:rPr>
          <w:sz w:val="22"/>
          <w:szCs w:val="22"/>
          <w:lang w:val="en-GB"/>
        </w:rPr>
      </w:pPr>
    </w:p>
    <w:p w:rsidR="00A52722" w:rsidRDefault="00A52722" w:rsidP="004F2FBC">
      <w:pPr>
        <w:spacing w:line="240" w:lineRule="atLeast"/>
        <w:jc w:val="both"/>
        <w:rPr>
          <w:sz w:val="22"/>
          <w:szCs w:val="22"/>
          <w:lang w:val="en-GB"/>
        </w:rPr>
      </w:pPr>
    </w:p>
    <w:p w:rsidR="00A52722" w:rsidRDefault="00A52722" w:rsidP="004F2FBC">
      <w:pPr>
        <w:spacing w:line="240" w:lineRule="atLeast"/>
        <w:jc w:val="both"/>
        <w:rPr>
          <w:sz w:val="22"/>
          <w:szCs w:val="22"/>
          <w:lang w:val="en-GB"/>
        </w:rPr>
      </w:pPr>
    </w:p>
    <w:p w:rsidR="00A52722" w:rsidRDefault="00A52722" w:rsidP="004F2FBC">
      <w:pPr>
        <w:spacing w:line="240" w:lineRule="atLeast"/>
        <w:jc w:val="both"/>
        <w:rPr>
          <w:sz w:val="22"/>
          <w:szCs w:val="22"/>
          <w:lang w:val="en-GB"/>
        </w:rPr>
      </w:pPr>
    </w:p>
    <w:p w:rsidR="00A52722" w:rsidRDefault="00A52722" w:rsidP="004F2FBC">
      <w:pPr>
        <w:spacing w:line="240" w:lineRule="atLeast"/>
        <w:jc w:val="both"/>
        <w:rPr>
          <w:sz w:val="22"/>
          <w:szCs w:val="22"/>
          <w:lang w:val="en-GB"/>
        </w:rPr>
      </w:pPr>
    </w:p>
    <w:p w:rsidR="00A52722" w:rsidRDefault="00A52722" w:rsidP="004F2FBC">
      <w:pPr>
        <w:spacing w:line="240" w:lineRule="atLeast"/>
        <w:jc w:val="both"/>
        <w:rPr>
          <w:sz w:val="22"/>
          <w:szCs w:val="22"/>
          <w:lang w:val="en-GB"/>
        </w:rPr>
      </w:pPr>
    </w:p>
    <w:p w:rsidR="00A52722" w:rsidRDefault="00A52722" w:rsidP="004F2FBC">
      <w:pPr>
        <w:spacing w:line="240" w:lineRule="atLeast"/>
        <w:jc w:val="both"/>
        <w:rPr>
          <w:sz w:val="22"/>
          <w:szCs w:val="22"/>
          <w:lang w:val="en-GB"/>
        </w:rPr>
      </w:pPr>
    </w:p>
    <w:p w:rsidR="008630AB" w:rsidRDefault="008630AB" w:rsidP="004F2FBC">
      <w:pPr>
        <w:spacing w:line="240" w:lineRule="atLeast"/>
        <w:jc w:val="both"/>
        <w:rPr>
          <w:sz w:val="22"/>
          <w:szCs w:val="22"/>
          <w:lang w:val="en-GB"/>
        </w:rPr>
      </w:pPr>
    </w:p>
    <w:p w:rsidR="008630AB" w:rsidRDefault="008630AB" w:rsidP="004F2FBC">
      <w:pPr>
        <w:spacing w:line="240" w:lineRule="atLeast"/>
        <w:jc w:val="both"/>
        <w:rPr>
          <w:sz w:val="22"/>
          <w:szCs w:val="22"/>
          <w:lang w:val="en-GB"/>
        </w:rPr>
      </w:pPr>
      <w:r>
        <w:rPr>
          <w:sz w:val="22"/>
          <w:szCs w:val="22"/>
          <w:lang w:val="en-GB"/>
        </w:rPr>
        <w:br w:type="page"/>
      </w:r>
    </w:p>
    <w:p w:rsidR="00A52722" w:rsidRPr="00706BCA" w:rsidRDefault="00A52722" w:rsidP="004F2FBC">
      <w:pPr>
        <w:spacing w:line="240" w:lineRule="atLeast"/>
        <w:jc w:val="both"/>
        <w:rPr>
          <w:sz w:val="22"/>
          <w:szCs w:val="22"/>
          <w:lang w:val="en-GB"/>
        </w:rPr>
      </w:pPr>
    </w:p>
    <w:p w:rsidR="004F2FBC" w:rsidRDefault="004F2FBC" w:rsidP="004F2FBC">
      <w:pPr>
        <w:spacing w:line="240" w:lineRule="atLeast"/>
        <w:jc w:val="center"/>
        <w:rPr>
          <w:sz w:val="22"/>
          <w:szCs w:val="22"/>
          <w:lang w:val="en-GB"/>
        </w:rPr>
      </w:pPr>
      <w:r w:rsidRPr="00706BCA">
        <w:rPr>
          <w:sz w:val="22"/>
          <w:szCs w:val="22"/>
          <w:lang w:val="en-GB"/>
        </w:rPr>
        <w:t>ANNEX</w:t>
      </w:r>
    </w:p>
    <w:p w:rsidR="00F4105D" w:rsidRPr="00706BCA" w:rsidRDefault="00F4105D" w:rsidP="004F2FBC">
      <w:pPr>
        <w:spacing w:line="240" w:lineRule="atLeast"/>
        <w:jc w:val="center"/>
        <w:rPr>
          <w:sz w:val="22"/>
          <w:szCs w:val="22"/>
          <w:lang w:val="en-GB"/>
        </w:rPr>
      </w:pPr>
    </w:p>
    <w:p w:rsidR="00374AF7" w:rsidRPr="00374AF7" w:rsidRDefault="00374AF7" w:rsidP="00374AF7">
      <w:pPr>
        <w:pStyle w:val="Default"/>
        <w:rPr>
          <w:rFonts w:ascii="Arial" w:hAnsi="Arial" w:cs="Arial"/>
          <w:b/>
          <w:bCs/>
          <w:sz w:val="22"/>
          <w:szCs w:val="22"/>
        </w:rPr>
      </w:pPr>
      <w:r w:rsidRPr="00374AF7">
        <w:rPr>
          <w:rFonts w:ascii="Arial" w:hAnsi="Arial" w:cs="Arial"/>
          <w:b/>
          <w:bCs/>
          <w:sz w:val="22"/>
          <w:szCs w:val="22"/>
        </w:rPr>
        <w:t xml:space="preserve">YOUR RIGHT OF APPEAL </w:t>
      </w:r>
    </w:p>
    <w:p w:rsidR="00374AF7" w:rsidRPr="00374AF7" w:rsidRDefault="00374AF7" w:rsidP="00374AF7">
      <w:pPr>
        <w:pStyle w:val="Default"/>
        <w:rPr>
          <w:rFonts w:ascii="Arial" w:hAnsi="Arial" w:cs="Arial"/>
          <w:sz w:val="22"/>
          <w:szCs w:val="22"/>
        </w:rPr>
      </w:pPr>
    </w:p>
    <w:p w:rsidR="00374AF7" w:rsidRPr="00374AF7" w:rsidRDefault="00374AF7" w:rsidP="00374AF7">
      <w:pPr>
        <w:pStyle w:val="Default"/>
        <w:rPr>
          <w:rFonts w:ascii="Arial" w:hAnsi="Arial" w:cs="Arial"/>
          <w:sz w:val="22"/>
          <w:szCs w:val="22"/>
        </w:rPr>
      </w:pPr>
      <w:r w:rsidRPr="00374AF7">
        <w:rPr>
          <w:rFonts w:ascii="Arial" w:hAnsi="Arial" w:cs="Arial"/>
          <w:sz w:val="22"/>
          <w:szCs w:val="22"/>
        </w:rPr>
        <w:t xml:space="preserve">You can appeal against this notice, but any appeal must be received, or posted in time to be </w:t>
      </w:r>
      <w:r w:rsidRPr="00374AF7">
        <w:rPr>
          <w:rFonts w:ascii="Arial" w:hAnsi="Arial" w:cs="Arial"/>
          <w:b/>
          <w:bCs/>
          <w:sz w:val="22"/>
          <w:szCs w:val="22"/>
        </w:rPr>
        <w:t>received</w:t>
      </w:r>
      <w:r w:rsidRPr="00374AF7">
        <w:rPr>
          <w:rFonts w:ascii="Arial" w:hAnsi="Arial" w:cs="Arial"/>
          <w:sz w:val="22"/>
          <w:szCs w:val="22"/>
        </w:rPr>
        <w:t xml:space="preserve">, by the Planning Inspectorate acting on behalf of the Secretary of State </w:t>
      </w:r>
      <w:r w:rsidRPr="00374AF7">
        <w:rPr>
          <w:rFonts w:ascii="Arial" w:hAnsi="Arial" w:cs="Arial"/>
          <w:b/>
          <w:bCs/>
          <w:sz w:val="22"/>
          <w:szCs w:val="22"/>
        </w:rPr>
        <w:t xml:space="preserve">before </w:t>
      </w:r>
      <w:r w:rsidRPr="00374AF7">
        <w:rPr>
          <w:rFonts w:ascii="Arial" w:hAnsi="Arial" w:cs="Arial"/>
          <w:sz w:val="22"/>
          <w:szCs w:val="22"/>
        </w:rPr>
        <w:t xml:space="preserve">the date specified in paragraph </w:t>
      </w:r>
      <w:r>
        <w:rPr>
          <w:rFonts w:ascii="Arial" w:hAnsi="Arial" w:cs="Arial"/>
          <w:sz w:val="22"/>
          <w:szCs w:val="22"/>
        </w:rPr>
        <w:t>6</w:t>
      </w:r>
      <w:r w:rsidRPr="00374AF7">
        <w:rPr>
          <w:rFonts w:ascii="Arial" w:hAnsi="Arial" w:cs="Arial"/>
          <w:sz w:val="22"/>
          <w:szCs w:val="22"/>
        </w:rPr>
        <w:t xml:space="preserve"> of the notice. </w:t>
      </w:r>
    </w:p>
    <w:p w:rsidR="00374AF7" w:rsidRPr="00374AF7" w:rsidRDefault="00374AF7" w:rsidP="00374AF7">
      <w:pPr>
        <w:pStyle w:val="Default"/>
        <w:rPr>
          <w:rFonts w:ascii="Arial" w:hAnsi="Arial" w:cs="Arial"/>
          <w:sz w:val="22"/>
          <w:szCs w:val="22"/>
        </w:rPr>
      </w:pPr>
    </w:p>
    <w:p w:rsidR="00374AF7" w:rsidRPr="00374AF7" w:rsidRDefault="00374AF7" w:rsidP="00374AF7">
      <w:pPr>
        <w:pStyle w:val="Default"/>
        <w:rPr>
          <w:rFonts w:ascii="Arial" w:hAnsi="Arial" w:cs="Arial"/>
          <w:sz w:val="22"/>
          <w:szCs w:val="22"/>
        </w:rPr>
      </w:pPr>
      <w:r w:rsidRPr="00374AF7">
        <w:rPr>
          <w:rFonts w:ascii="Arial" w:hAnsi="Arial" w:cs="Arial"/>
          <w:sz w:val="22"/>
          <w:szCs w:val="22"/>
        </w:rPr>
        <w:t xml:space="preserve">The enclosed information sheet published by the Planning Inspectorate gives details of how to make an appeal </w:t>
      </w:r>
    </w:p>
    <w:p w:rsidR="00374AF7" w:rsidRPr="00374AF7" w:rsidRDefault="00374AF7" w:rsidP="00374AF7">
      <w:pPr>
        <w:pStyle w:val="Default"/>
        <w:rPr>
          <w:rFonts w:ascii="Arial" w:hAnsi="Arial" w:cs="Arial"/>
          <w:sz w:val="22"/>
          <w:szCs w:val="22"/>
        </w:rPr>
      </w:pPr>
      <w:r w:rsidRPr="00374AF7">
        <w:rPr>
          <w:rFonts w:ascii="Arial" w:hAnsi="Arial" w:cs="Arial"/>
          <w:sz w:val="22"/>
          <w:szCs w:val="22"/>
        </w:rPr>
        <w:t xml:space="preserve">[link to </w:t>
      </w:r>
      <w:hyperlink r:id="rId9" w:history="1">
        <w:r w:rsidRPr="00374AF7">
          <w:rPr>
            <w:rStyle w:val="Hyperlink"/>
            <w:rFonts w:ascii="Arial" w:hAnsi="Arial" w:cs="Arial"/>
            <w:sz w:val="22"/>
            <w:szCs w:val="22"/>
          </w:rPr>
          <w:t>http://www.planningportal.gov.uk/uploads/pins/enfinfosheet.pdf</w:t>
        </w:r>
      </w:hyperlink>
      <w:r w:rsidRPr="00374AF7">
        <w:rPr>
          <w:rFonts w:ascii="Arial" w:hAnsi="Arial" w:cs="Arial"/>
          <w:sz w:val="22"/>
          <w:szCs w:val="22"/>
        </w:rPr>
        <w:t xml:space="preserve">] </w:t>
      </w:r>
    </w:p>
    <w:p w:rsidR="00374AF7" w:rsidRDefault="00374AF7" w:rsidP="00374AF7">
      <w:pPr>
        <w:pStyle w:val="Default"/>
        <w:rPr>
          <w:sz w:val="22"/>
          <w:szCs w:val="22"/>
        </w:rPr>
      </w:pPr>
    </w:p>
    <w:p w:rsidR="00374AF7" w:rsidRDefault="00374AF7" w:rsidP="004F2FBC">
      <w:pPr>
        <w:spacing w:line="240" w:lineRule="atLeast"/>
        <w:jc w:val="both"/>
        <w:rPr>
          <w:sz w:val="22"/>
          <w:szCs w:val="22"/>
          <w:lang w:val="en-GB"/>
        </w:rPr>
      </w:pPr>
    </w:p>
    <w:p w:rsidR="00374AF7" w:rsidRDefault="00374AF7" w:rsidP="004F2FBC">
      <w:pPr>
        <w:spacing w:line="240" w:lineRule="atLeast"/>
        <w:jc w:val="both"/>
        <w:rPr>
          <w:sz w:val="22"/>
          <w:szCs w:val="22"/>
          <w:lang w:val="en-GB"/>
        </w:rPr>
      </w:pPr>
    </w:p>
    <w:p w:rsidR="004F2FBC" w:rsidRPr="00706BCA" w:rsidRDefault="004F2FBC" w:rsidP="004F2FBC">
      <w:pPr>
        <w:spacing w:line="240" w:lineRule="atLeast"/>
        <w:jc w:val="both"/>
        <w:rPr>
          <w:sz w:val="22"/>
          <w:szCs w:val="22"/>
          <w:lang w:val="en-GB"/>
        </w:rPr>
      </w:pPr>
      <w:r w:rsidRPr="00706BCA">
        <w:rPr>
          <w:sz w:val="22"/>
          <w:szCs w:val="22"/>
          <w:lang w:val="en-GB"/>
        </w:rPr>
        <w:t>WHAT HAPPENS IF YOU DO NOT APPEAL</w:t>
      </w:r>
    </w:p>
    <w:p w:rsidR="004F2FBC" w:rsidRPr="00706BCA" w:rsidRDefault="004F2FBC" w:rsidP="004F2FBC">
      <w:pPr>
        <w:spacing w:line="240" w:lineRule="atLeast"/>
        <w:jc w:val="both"/>
        <w:rPr>
          <w:sz w:val="22"/>
          <w:szCs w:val="22"/>
          <w:lang w:val="en-GB"/>
        </w:rPr>
      </w:pPr>
    </w:p>
    <w:p w:rsidR="004F2FBC" w:rsidRPr="00706BCA" w:rsidRDefault="004F2FBC" w:rsidP="004F2FBC">
      <w:pPr>
        <w:spacing w:line="240" w:lineRule="atLeast"/>
        <w:jc w:val="both"/>
        <w:rPr>
          <w:b w:val="0"/>
          <w:sz w:val="22"/>
          <w:szCs w:val="22"/>
          <w:lang w:val="en-GB"/>
        </w:rPr>
      </w:pPr>
      <w:r w:rsidRPr="00706BCA">
        <w:rPr>
          <w:b w:val="0"/>
          <w:sz w:val="22"/>
          <w:szCs w:val="22"/>
          <w:lang w:val="en-GB"/>
        </w:rPr>
        <w:t>If you do not appeal against this enforcement notice, it will take effect on</w:t>
      </w:r>
      <w:r w:rsidR="00706BCA" w:rsidRPr="00706BCA">
        <w:rPr>
          <w:sz w:val="22"/>
          <w:szCs w:val="22"/>
          <w:lang w:val="en-GB"/>
        </w:rPr>
        <w:t xml:space="preserve"> </w:t>
      </w:r>
      <w:r w:rsidR="001D5B96">
        <w:rPr>
          <w:sz w:val="22"/>
          <w:szCs w:val="22"/>
          <w:lang w:val="en-GB"/>
        </w:rPr>
        <w:t>11 October 2019</w:t>
      </w:r>
      <w:r w:rsidRPr="00706BCA">
        <w:rPr>
          <w:b w:val="0"/>
          <w:sz w:val="22"/>
          <w:szCs w:val="22"/>
          <w:lang w:val="en-GB"/>
        </w:rPr>
        <w:t>, and you must then ensure that the required steps</w:t>
      </w:r>
      <w:r w:rsidRPr="00706BCA">
        <w:rPr>
          <w:sz w:val="22"/>
          <w:szCs w:val="22"/>
          <w:lang w:val="en-GB"/>
        </w:rPr>
        <w:t xml:space="preserve"> </w:t>
      </w:r>
      <w:r w:rsidRPr="00706BCA">
        <w:rPr>
          <w:b w:val="0"/>
          <w:sz w:val="22"/>
          <w:szCs w:val="22"/>
          <w:lang w:val="en-GB"/>
        </w:rPr>
        <w:t>for complying with it, for which you may held responsible, are taken within the period specified in the notice.  Failure to comply with an enforcement notice, which has taken effect, can result in prosecution and/or remedial action by the Council.</w:t>
      </w:r>
    </w:p>
    <w:p w:rsidR="004F2FBC" w:rsidRDefault="004F2FBC" w:rsidP="004F2FBC">
      <w:pPr>
        <w:spacing w:line="240" w:lineRule="atLeast"/>
        <w:jc w:val="both"/>
        <w:rPr>
          <w:lang w:val="en-GB"/>
        </w:rPr>
      </w:pPr>
    </w:p>
    <w:p w:rsidR="00001FAB" w:rsidRDefault="00001FAB" w:rsidP="004F2FBC">
      <w:pPr>
        <w:spacing w:line="240" w:lineRule="atLeast"/>
        <w:jc w:val="both"/>
        <w:rPr>
          <w:lang w:val="en-GB"/>
        </w:rPr>
      </w:pPr>
    </w:p>
    <w:p w:rsidR="00001FAB" w:rsidRDefault="00001FAB" w:rsidP="00001FAB">
      <w:pPr>
        <w:spacing w:line="240" w:lineRule="atLeast"/>
        <w:jc w:val="both"/>
        <w:rPr>
          <w:b w:val="0"/>
          <w:bCs/>
          <w:sz w:val="22"/>
          <w:szCs w:val="22"/>
          <w:lang w:val="en-GB"/>
        </w:rPr>
      </w:pPr>
      <w:r w:rsidRPr="00001FAB">
        <w:rPr>
          <w:b w:val="0"/>
          <w:bCs/>
          <w:sz w:val="22"/>
          <w:szCs w:val="22"/>
          <w:lang w:val="en-GB"/>
        </w:rPr>
        <w:t>The information contained within this notice is a summary of sections 171A, 171B and 172-177 of the Town and Country Planning Act, 1990.</w:t>
      </w:r>
    </w:p>
    <w:p w:rsidR="00001FAB" w:rsidRPr="00001FAB" w:rsidRDefault="00001FAB" w:rsidP="00001FAB">
      <w:pPr>
        <w:spacing w:line="240" w:lineRule="atLeast"/>
        <w:jc w:val="both"/>
        <w:rPr>
          <w:b w:val="0"/>
          <w:bCs/>
          <w:sz w:val="22"/>
          <w:szCs w:val="22"/>
          <w:lang w:val="en-GB"/>
        </w:rPr>
      </w:pPr>
    </w:p>
    <w:p w:rsidR="00001FAB" w:rsidRPr="00001FAB" w:rsidRDefault="00001FAB" w:rsidP="00001FAB">
      <w:pPr>
        <w:spacing w:line="240" w:lineRule="atLeast"/>
        <w:rPr>
          <w:b w:val="0"/>
          <w:sz w:val="22"/>
          <w:szCs w:val="22"/>
          <w:lang w:val="en-GB"/>
        </w:rPr>
      </w:pPr>
      <w:r>
        <w:rPr>
          <w:b w:val="0"/>
          <w:sz w:val="22"/>
          <w:szCs w:val="22"/>
          <w:lang w:val="en-GB"/>
        </w:rPr>
        <w:t xml:space="preserve">For </w:t>
      </w:r>
      <w:r w:rsidRPr="00001FAB">
        <w:rPr>
          <w:b w:val="0"/>
          <w:sz w:val="22"/>
          <w:szCs w:val="22"/>
          <w:lang w:val="en-GB"/>
        </w:rPr>
        <w:t>the full sections of the act please see:</w:t>
      </w:r>
      <w:r>
        <w:rPr>
          <w:b w:val="0"/>
          <w:sz w:val="22"/>
          <w:szCs w:val="22"/>
          <w:lang w:val="en-GB"/>
        </w:rPr>
        <w:t xml:space="preserve"> </w:t>
      </w:r>
      <w:r w:rsidRPr="00001FAB">
        <w:rPr>
          <w:b w:val="0"/>
          <w:sz w:val="22"/>
          <w:szCs w:val="22"/>
          <w:lang w:val="en-GB"/>
        </w:rPr>
        <w:t>http://www.legislation.gov.uk/ukpga/1990/8/part/VII</w:t>
      </w:r>
    </w:p>
    <w:p w:rsidR="004F2FBC" w:rsidRDefault="004F2FBC" w:rsidP="004F2FBC">
      <w:pPr>
        <w:spacing w:line="240" w:lineRule="atLeast"/>
        <w:jc w:val="both"/>
        <w:rPr>
          <w:lang w:val="en-GB"/>
        </w:rPr>
      </w:pPr>
    </w:p>
    <w:p w:rsidR="00585BB1" w:rsidRDefault="00585BB1" w:rsidP="004F2FBC">
      <w:pPr>
        <w:spacing w:line="240" w:lineRule="atLeast"/>
        <w:jc w:val="both"/>
        <w:rPr>
          <w:lang w:val="en-GB"/>
        </w:rPr>
      </w:pPr>
    </w:p>
    <w:p w:rsidR="00585BB1" w:rsidRDefault="00585BB1" w:rsidP="004F2FBC">
      <w:pPr>
        <w:spacing w:line="240" w:lineRule="atLeast"/>
        <w:jc w:val="both"/>
        <w:rPr>
          <w:lang w:val="en-GB"/>
        </w:rPr>
      </w:pPr>
    </w:p>
    <w:p w:rsidR="00585BB1" w:rsidRDefault="00585BB1" w:rsidP="004F2FBC">
      <w:pPr>
        <w:spacing w:line="240" w:lineRule="atLeast"/>
        <w:jc w:val="both"/>
        <w:rPr>
          <w:lang w:val="en-GB"/>
        </w:rPr>
      </w:pPr>
    </w:p>
    <w:p w:rsidR="00585BB1" w:rsidRDefault="00585BB1" w:rsidP="004F2FBC">
      <w:pPr>
        <w:spacing w:line="240" w:lineRule="atLeast"/>
        <w:jc w:val="both"/>
        <w:rPr>
          <w:lang w:val="en-GB"/>
        </w:rPr>
      </w:pPr>
    </w:p>
    <w:p w:rsidR="00585BB1" w:rsidRDefault="00585BB1" w:rsidP="004F2FBC">
      <w:pPr>
        <w:spacing w:line="240" w:lineRule="atLeast"/>
        <w:jc w:val="both"/>
        <w:rPr>
          <w:lang w:val="en-GB"/>
        </w:rPr>
      </w:pPr>
    </w:p>
    <w:p w:rsidR="00585BB1" w:rsidRDefault="00585BB1" w:rsidP="004F2FBC">
      <w:pPr>
        <w:spacing w:line="240" w:lineRule="atLeast"/>
        <w:jc w:val="both"/>
        <w:rPr>
          <w:lang w:val="en-GB"/>
        </w:rPr>
      </w:pPr>
    </w:p>
    <w:p w:rsidR="00585BB1" w:rsidRDefault="00585BB1" w:rsidP="004F2FBC">
      <w:pPr>
        <w:spacing w:line="240" w:lineRule="atLeast"/>
        <w:jc w:val="both"/>
        <w:rPr>
          <w:lang w:val="en-GB"/>
        </w:rPr>
      </w:pPr>
    </w:p>
    <w:p w:rsidR="00585BB1" w:rsidRDefault="00585BB1" w:rsidP="004F2FBC">
      <w:pPr>
        <w:spacing w:line="240" w:lineRule="atLeast"/>
        <w:jc w:val="both"/>
        <w:rPr>
          <w:lang w:val="en-GB"/>
        </w:rPr>
      </w:pPr>
    </w:p>
    <w:p w:rsidR="00585BB1" w:rsidRDefault="00585BB1" w:rsidP="004F2FBC">
      <w:pPr>
        <w:spacing w:line="240" w:lineRule="atLeast"/>
        <w:jc w:val="both"/>
        <w:rPr>
          <w:lang w:val="en-GB"/>
        </w:rPr>
      </w:pPr>
    </w:p>
    <w:p w:rsidR="00585BB1" w:rsidRDefault="00585BB1" w:rsidP="004F2FBC">
      <w:pPr>
        <w:spacing w:line="240" w:lineRule="atLeast"/>
        <w:jc w:val="both"/>
        <w:rPr>
          <w:lang w:val="en-GB"/>
        </w:rPr>
      </w:pPr>
    </w:p>
    <w:p w:rsidR="00585BB1" w:rsidRDefault="00585BB1" w:rsidP="004F2FBC">
      <w:pPr>
        <w:spacing w:line="240" w:lineRule="atLeast"/>
        <w:jc w:val="both"/>
        <w:rPr>
          <w:lang w:val="en-GB"/>
        </w:rPr>
      </w:pPr>
    </w:p>
    <w:p w:rsidR="00585BB1" w:rsidRDefault="00585BB1" w:rsidP="004F2FBC">
      <w:pPr>
        <w:spacing w:line="240" w:lineRule="atLeast"/>
        <w:jc w:val="both"/>
        <w:rPr>
          <w:lang w:val="en-GB"/>
        </w:rPr>
      </w:pPr>
    </w:p>
    <w:p w:rsidR="00585BB1" w:rsidRDefault="00585BB1" w:rsidP="004F2FBC">
      <w:pPr>
        <w:spacing w:line="240" w:lineRule="atLeast"/>
        <w:jc w:val="both"/>
        <w:rPr>
          <w:lang w:val="en-GB"/>
        </w:rPr>
      </w:pPr>
    </w:p>
    <w:p w:rsidR="00585BB1" w:rsidRDefault="00585BB1" w:rsidP="004F2FBC">
      <w:pPr>
        <w:spacing w:line="240" w:lineRule="atLeast"/>
        <w:jc w:val="both"/>
        <w:rPr>
          <w:lang w:val="en-GB"/>
        </w:rPr>
      </w:pPr>
    </w:p>
    <w:p w:rsidR="00585BB1" w:rsidRDefault="00585BB1" w:rsidP="004F2FBC">
      <w:pPr>
        <w:spacing w:line="240" w:lineRule="atLeast"/>
        <w:jc w:val="both"/>
        <w:rPr>
          <w:lang w:val="en-GB"/>
        </w:rPr>
      </w:pPr>
    </w:p>
    <w:p w:rsidR="00585BB1" w:rsidRDefault="00585BB1" w:rsidP="004F2FBC">
      <w:pPr>
        <w:spacing w:line="240" w:lineRule="atLeast"/>
        <w:jc w:val="both"/>
        <w:rPr>
          <w:lang w:val="en-GB"/>
        </w:rPr>
      </w:pPr>
    </w:p>
    <w:p w:rsidR="004F2FBC" w:rsidRDefault="004F2FBC" w:rsidP="004F2FBC">
      <w:pPr>
        <w:spacing w:line="240" w:lineRule="atLeast"/>
        <w:jc w:val="both"/>
        <w:rPr>
          <w:lang w:val="en-GB"/>
        </w:rPr>
      </w:pPr>
    </w:p>
    <w:p w:rsidR="00B548A7" w:rsidRDefault="00B548A7" w:rsidP="004F2FBC"/>
    <w:sectPr w:rsidR="00B548A7" w:rsidSect="00257611">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416" w:rsidRDefault="00827416">
      <w:r>
        <w:separator/>
      </w:r>
    </w:p>
  </w:endnote>
  <w:endnote w:type="continuationSeparator" w:id="0">
    <w:p w:rsidR="00827416" w:rsidRDefault="00827416">
      <w:r>
        <w:continuationSeparator/>
      </w:r>
    </w:p>
  </w:endnote>
  <w:endnote w:type="continuationNotice" w:id="1">
    <w:p w:rsidR="00827416" w:rsidRDefault="00827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21E" w:rsidRDefault="00EC6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21E" w:rsidRDefault="00EC62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21E" w:rsidRDefault="00EC6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416" w:rsidRDefault="00827416">
      <w:r>
        <w:separator/>
      </w:r>
    </w:p>
  </w:footnote>
  <w:footnote w:type="continuationSeparator" w:id="0">
    <w:p w:rsidR="00827416" w:rsidRDefault="00827416">
      <w:r>
        <w:continuationSeparator/>
      </w:r>
    </w:p>
  </w:footnote>
  <w:footnote w:type="continuationNotice" w:id="1">
    <w:p w:rsidR="00827416" w:rsidRDefault="008274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21E" w:rsidRDefault="00EC62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9AB" w:rsidRPr="009119AB" w:rsidRDefault="009119AB" w:rsidP="009119AB">
    <w:pPr>
      <w:tabs>
        <w:tab w:val="center" w:pos="4153"/>
      </w:tabs>
      <w:ind w:left="4320"/>
      <w:rPr>
        <w:rFonts w:cs="Arial"/>
        <w:b w:val="0"/>
        <w:szCs w:val="24"/>
        <w:lang w:val="en-GB"/>
      </w:rPr>
    </w:pPr>
    <w:r w:rsidRPr="009119AB">
      <w:rPr>
        <w:rFonts w:cs="Arial"/>
        <w:b w:val="0"/>
        <w:noProof/>
        <w:szCs w:val="24"/>
        <w:lang w:val="en-GB" w:eastAsia="en-GB"/>
      </w:rPr>
      <w:tab/>
    </w:r>
    <w:r w:rsidRPr="009119AB">
      <w:rPr>
        <w:rFonts w:cs="Arial"/>
        <w:b w:val="0"/>
        <w:noProof/>
        <w:szCs w:val="24"/>
        <w:lang w:val="en-GB" w:eastAsia="en-GB"/>
      </w:rPr>
      <w:tab/>
    </w:r>
    <w:r w:rsidRPr="009119AB">
      <w:rPr>
        <w:rFonts w:cs="Arial"/>
        <w:b w:val="0"/>
        <w:noProof/>
        <w:szCs w:val="24"/>
        <w:lang w:val="en-GB" w:eastAsia="en-GB"/>
      </w:rPr>
      <w:tab/>
    </w:r>
    <w:r w:rsidRPr="009119AB">
      <w:rPr>
        <w:rFonts w:cs="Arial"/>
        <w:b w:val="0"/>
        <w:noProof/>
        <w:szCs w:val="24"/>
        <w:lang w:val="en-GB" w:eastAsia="en-GB"/>
      </w:rPr>
      <w:tab/>
    </w:r>
    <w:r w:rsidRPr="009119AB">
      <w:rPr>
        <w:rFonts w:cs="Arial"/>
        <w:b w:val="0"/>
        <w:noProof/>
        <w:szCs w:val="24"/>
        <w:lang w:val="en-GB" w:eastAsia="en-GB"/>
      </w:rPr>
      <w:tab/>
    </w:r>
    <w:r>
      <w:rPr>
        <w:rFonts w:cs="Arial"/>
        <w:b w:val="0"/>
        <w:noProof/>
        <w:szCs w:val="24"/>
        <w:lang w:val="en-GB" w:eastAsia="en-GB"/>
      </w:rPr>
      <w:tab/>
    </w:r>
    <w:r w:rsidRPr="009119AB">
      <w:rPr>
        <w:rFonts w:cs="Arial"/>
        <w:b w:val="0"/>
        <w:noProof/>
        <w:szCs w:val="24"/>
        <w:lang w:val="en-GB" w:eastAsia="en-GB"/>
      </w:rPr>
      <w:tab/>
      <w:t xml:space="preserve">     </w:t>
    </w:r>
    <w:r w:rsidR="00827416" w:rsidRPr="009119AB">
      <w:rPr>
        <w:rFonts w:cs="Arial"/>
        <w:b w:val="0"/>
        <w:noProof/>
        <w:szCs w:val="24"/>
        <w:lang w:val="en-GB" w:eastAsia="en-GB"/>
      </w:rPr>
      <w:drawing>
        <wp:inline distT="0" distB="0" distL="0" distR="0" wp14:editId="550FD033">
          <wp:extent cx="1095375"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266700"/>
                  </a:xfrm>
                  <a:prstGeom prst="rect">
                    <a:avLst/>
                  </a:prstGeom>
                  <a:noFill/>
                  <a:ln>
                    <a:noFill/>
                  </a:ln>
                </pic:spPr>
              </pic:pic>
            </a:graphicData>
          </a:graphic>
        </wp:inline>
      </w:drawing>
    </w:r>
  </w:p>
  <w:p w:rsidR="00376A67" w:rsidRDefault="00376A67">
    <w:pPr>
      <w:pStyle w:val="Header"/>
    </w:pPr>
  </w:p>
  <w:p w:rsidR="00376A67" w:rsidRDefault="00376A67">
    <w:pPr>
      <w:pStyle w:val="Header"/>
    </w:pPr>
  </w:p>
  <w:p w:rsidR="00706BCA" w:rsidRPr="00444716" w:rsidRDefault="00376A67" w:rsidP="00706BCA">
    <w:pPr>
      <w:spacing w:line="240" w:lineRule="atLeast"/>
      <w:ind w:firstLine="720"/>
      <w:jc w:val="right"/>
      <w:rPr>
        <w:lang w:val="en-GB"/>
      </w:rPr>
    </w:pPr>
    <w:r>
      <w:rPr>
        <w:lang w:val="en-GB"/>
      </w:rPr>
      <w:t xml:space="preserve">Council </w:t>
    </w:r>
    <w:r w:rsidRPr="00706BCA">
      <w:rPr>
        <w:lang w:val="en-GB"/>
      </w:rPr>
      <w:t>reference:</w:t>
    </w:r>
    <w:r w:rsidRPr="00706BCA">
      <w:rPr>
        <w:lang w:val="en-GB"/>
      </w:rPr>
      <w:tab/>
    </w:r>
    <w:r w:rsidR="00444716" w:rsidRPr="00444716">
      <w:rPr>
        <w:lang w:val="x-none"/>
      </w:rPr>
      <w:t>EN19/0239</w:t>
    </w:r>
  </w:p>
  <w:p w:rsidR="00706BCA" w:rsidRPr="00706BCA" w:rsidRDefault="00706BCA" w:rsidP="00706BCA">
    <w:pPr>
      <w:spacing w:line="240" w:lineRule="atLeast"/>
      <w:ind w:firstLine="720"/>
      <w:jc w:val="right"/>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21E" w:rsidRDefault="00EC6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FAB"/>
    <w:multiLevelType w:val="hybridMultilevel"/>
    <w:tmpl w:val="D59A1C6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6260274"/>
    <w:multiLevelType w:val="hybridMultilevel"/>
    <w:tmpl w:val="BCD2377C"/>
    <w:lvl w:ilvl="0" w:tplc="1D467F3C">
      <w:start w:val="1"/>
      <w:numFmt w:val="decimal"/>
      <w:lvlText w:val="%1."/>
      <w:lvlJc w:val="left"/>
      <w:pPr>
        <w:ind w:left="720" w:hanging="360"/>
      </w:pPr>
      <w:rPr>
        <w:rFonts w:ascii="Arial" w:eastAsia="Times New Roman" w:hAnsi="Arial" w:cs="Arial"/>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261285"/>
    <w:multiLevelType w:val="hybridMultilevel"/>
    <w:tmpl w:val="78D89126"/>
    <w:lvl w:ilvl="0" w:tplc="08090011">
      <w:start w:val="1"/>
      <w:numFmt w:val="decimal"/>
      <w:lvlText w:val="%1)"/>
      <w:lvlJc w:val="left"/>
      <w:pPr>
        <w:tabs>
          <w:tab w:val="num" w:pos="1287"/>
        </w:tabs>
        <w:ind w:left="1287" w:hanging="360"/>
      </w:p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 w15:restartNumberingAfterBreak="0">
    <w:nsid w:val="22304FE4"/>
    <w:multiLevelType w:val="hybridMultilevel"/>
    <w:tmpl w:val="679415B2"/>
    <w:lvl w:ilvl="0" w:tplc="4B4C0F4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3720F9B"/>
    <w:multiLevelType w:val="hybridMultilevel"/>
    <w:tmpl w:val="66CAC9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185D47"/>
    <w:multiLevelType w:val="hybridMultilevel"/>
    <w:tmpl w:val="ED7AE3DC"/>
    <w:lvl w:ilvl="0" w:tplc="71B6F648">
      <w:start w:val="1"/>
      <w:numFmt w:val="decimal"/>
      <w:lvlText w:val="%1)"/>
      <w:lvlJc w:val="left"/>
      <w:pPr>
        <w:ind w:left="1103" w:hanging="360"/>
      </w:pPr>
      <w:rPr>
        <w:rFonts w:hint="default"/>
      </w:rPr>
    </w:lvl>
    <w:lvl w:ilvl="1" w:tplc="08090019" w:tentative="1">
      <w:start w:val="1"/>
      <w:numFmt w:val="lowerLetter"/>
      <w:lvlText w:val="%2."/>
      <w:lvlJc w:val="left"/>
      <w:pPr>
        <w:ind w:left="1823" w:hanging="360"/>
      </w:pPr>
    </w:lvl>
    <w:lvl w:ilvl="2" w:tplc="0809001B" w:tentative="1">
      <w:start w:val="1"/>
      <w:numFmt w:val="lowerRoman"/>
      <w:lvlText w:val="%3."/>
      <w:lvlJc w:val="right"/>
      <w:pPr>
        <w:ind w:left="2543" w:hanging="180"/>
      </w:pPr>
    </w:lvl>
    <w:lvl w:ilvl="3" w:tplc="0809000F" w:tentative="1">
      <w:start w:val="1"/>
      <w:numFmt w:val="decimal"/>
      <w:lvlText w:val="%4."/>
      <w:lvlJc w:val="left"/>
      <w:pPr>
        <w:ind w:left="3263" w:hanging="360"/>
      </w:pPr>
    </w:lvl>
    <w:lvl w:ilvl="4" w:tplc="08090019" w:tentative="1">
      <w:start w:val="1"/>
      <w:numFmt w:val="lowerLetter"/>
      <w:lvlText w:val="%5."/>
      <w:lvlJc w:val="left"/>
      <w:pPr>
        <w:ind w:left="3983" w:hanging="360"/>
      </w:pPr>
    </w:lvl>
    <w:lvl w:ilvl="5" w:tplc="0809001B" w:tentative="1">
      <w:start w:val="1"/>
      <w:numFmt w:val="lowerRoman"/>
      <w:lvlText w:val="%6."/>
      <w:lvlJc w:val="right"/>
      <w:pPr>
        <w:ind w:left="4703" w:hanging="180"/>
      </w:pPr>
    </w:lvl>
    <w:lvl w:ilvl="6" w:tplc="0809000F" w:tentative="1">
      <w:start w:val="1"/>
      <w:numFmt w:val="decimal"/>
      <w:lvlText w:val="%7."/>
      <w:lvlJc w:val="left"/>
      <w:pPr>
        <w:ind w:left="5423" w:hanging="360"/>
      </w:pPr>
    </w:lvl>
    <w:lvl w:ilvl="7" w:tplc="08090019" w:tentative="1">
      <w:start w:val="1"/>
      <w:numFmt w:val="lowerLetter"/>
      <w:lvlText w:val="%8."/>
      <w:lvlJc w:val="left"/>
      <w:pPr>
        <w:ind w:left="6143" w:hanging="360"/>
      </w:pPr>
    </w:lvl>
    <w:lvl w:ilvl="8" w:tplc="0809001B" w:tentative="1">
      <w:start w:val="1"/>
      <w:numFmt w:val="lowerRoman"/>
      <w:lvlText w:val="%9."/>
      <w:lvlJc w:val="right"/>
      <w:pPr>
        <w:ind w:left="6863" w:hanging="180"/>
      </w:pPr>
    </w:lvl>
  </w:abstractNum>
  <w:abstractNum w:abstractNumId="6" w15:restartNumberingAfterBreak="0">
    <w:nsid w:val="28AA2B70"/>
    <w:multiLevelType w:val="hybridMultilevel"/>
    <w:tmpl w:val="156C30FE"/>
    <w:lvl w:ilvl="0" w:tplc="DFEE2FCA">
      <w:start w:val="1"/>
      <w:numFmt w:val="lowerLetter"/>
      <w:lvlText w:val="%1)"/>
      <w:lvlJc w:val="left"/>
      <w:pPr>
        <w:tabs>
          <w:tab w:val="num" w:pos="1080"/>
        </w:tabs>
        <w:ind w:left="1080" w:hanging="360"/>
      </w:pPr>
      <w:rPr>
        <w:rFonts w:cs="Times New Roman"/>
        <w:b w:val="0"/>
        <w:i w:val="0"/>
        <w:color w:val="auto"/>
        <w:sz w:val="24"/>
        <w:szCs w:val="24"/>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3BFB40B2"/>
    <w:multiLevelType w:val="hybridMultilevel"/>
    <w:tmpl w:val="5EC4EC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23D506F"/>
    <w:multiLevelType w:val="hybridMultilevel"/>
    <w:tmpl w:val="EF08BC7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45E2285F"/>
    <w:multiLevelType w:val="multilevel"/>
    <w:tmpl w:val="0462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C87416"/>
    <w:multiLevelType w:val="hybridMultilevel"/>
    <w:tmpl w:val="1A64B0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4EA5609"/>
    <w:multiLevelType w:val="singleLevel"/>
    <w:tmpl w:val="08090017"/>
    <w:lvl w:ilvl="0">
      <w:start w:val="1"/>
      <w:numFmt w:val="lowerLetter"/>
      <w:lvlText w:val="%1)"/>
      <w:lvlJc w:val="left"/>
      <w:pPr>
        <w:tabs>
          <w:tab w:val="num" w:pos="360"/>
        </w:tabs>
        <w:ind w:left="360" w:hanging="360"/>
      </w:pPr>
      <w:rPr>
        <w:rFonts w:hint="default"/>
      </w:rPr>
    </w:lvl>
  </w:abstractNum>
  <w:abstractNum w:abstractNumId="12" w15:restartNumberingAfterBreak="0">
    <w:nsid w:val="64C34A54"/>
    <w:multiLevelType w:val="multilevel"/>
    <w:tmpl w:val="7F9A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CE4D84"/>
    <w:multiLevelType w:val="hybridMultilevel"/>
    <w:tmpl w:val="7CC2890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BEC02FB"/>
    <w:multiLevelType w:val="hybridMultilevel"/>
    <w:tmpl w:val="B98479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925E07"/>
    <w:multiLevelType w:val="hybridMultilevel"/>
    <w:tmpl w:val="AA32D88C"/>
    <w:lvl w:ilvl="0" w:tplc="65FA8E90">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6" w15:restartNumberingAfterBreak="0">
    <w:nsid w:val="7DF91DC1"/>
    <w:multiLevelType w:val="hybridMultilevel"/>
    <w:tmpl w:val="34B6883E"/>
    <w:lvl w:ilvl="0" w:tplc="A84C205E">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1"/>
  </w:num>
  <w:num w:numId="2">
    <w:abstractNumId w:val="3"/>
  </w:num>
  <w:num w:numId="3">
    <w:abstractNumId w:val="11"/>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5"/>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num>
  <w:num w:numId="13">
    <w:abstractNumId w:val="9"/>
  </w:num>
  <w:num w:numId="14">
    <w:abstractNumId w:val="14"/>
  </w:num>
  <w:num w:numId="15">
    <w:abstractNumId w:val="8"/>
  </w:num>
  <w:num w:numId="16">
    <w:abstractNumId w:val="4"/>
  </w:num>
  <w:num w:numId="17">
    <w:abstractNumId w:val="1"/>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75E"/>
    <w:rsid w:val="00001FAB"/>
    <w:rsid w:val="0007608B"/>
    <w:rsid w:val="00076B8B"/>
    <w:rsid w:val="000927C2"/>
    <w:rsid w:val="000A0188"/>
    <w:rsid w:val="000A36CE"/>
    <w:rsid w:val="000D5E22"/>
    <w:rsid w:val="00115425"/>
    <w:rsid w:val="0012117C"/>
    <w:rsid w:val="00124561"/>
    <w:rsid w:val="0014404B"/>
    <w:rsid w:val="00150DE9"/>
    <w:rsid w:val="00175867"/>
    <w:rsid w:val="00184F97"/>
    <w:rsid w:val="001A3FF7"/>
    <w:rsid w:val="001A7543"/>
    <w:rsid w:val="001C5FD5"/>
    <w:rsid w:val="001D5B96"/>
    <w:rsid w:val="001E5493"/>
    <w:rsid w:val="001F7494"/>
    <w:rsid w:val="0021641C"/>
    <w:rsid w:val="002334D0"/>
    <w:rsid w:val="00233F70"/>
    <w:rsid w:val="00246C8A"/>
    <w:rsid w:val="00252248"/>
    <w:rsid w:val="00257611"/>
    <w:rsid w:val="00265E94"/>
    <w:rsid w:val="00274FFC"/>
    <w:rsid w:val="00287786"/>
    <w:rsid w:val="002B779D"/>
    <w:rsid w:val="002E6008"/>
    <w:rsid w:val="002F6FA8"/>
    <w:rsid w:val="0032188D"/>
    <w:rsid w:val="003265E6"/>
    <w:rsid w:val="003307A3"/>
    <w:rsid w:val="003415F0"/>
    <w:rsid w:val="003616C6"/>
    <w:rsid w:val="0037141F"/>
    <w:rsid w:val="00374AF7"/>
    <w:rsid w:val="003766F2"/>
    <w:rsid w:val="00376A67"/>
    <w:rsid w:val="003A2C9D"/>
    <w:rsid w:val="003A40AE"/>
    <w:rsid w:val="003A72C0"/>
    <w:rsid w:val="003B41D7"/>
    <w:rsid w:val="003B46E0"/>
    <w:rsid w:val="003C2689"/>
    <w:rsid w:val="003D7F63"/>
    <w:rsid w:val="003F0D40"/>
    <w:rsid w:val="003F44D4"/>
    <w:rsid w:val="00406AE9"/>
    <w:rsid w:val="00413192"/>
    <w:rsid w:val="0041779D"/>
    <w:rsid w:val="00444716"/>
    <w:rsid w:val="00463CDB"/>
    <w:rsid w:val="00472FDA"/>
    <w:rsid w:val="00491F74"/>
    <w:rsid w:val="00494B96"/>
    <w:rsid w:val="004956F9"/>
    <w:rsid w:val="004A0993"/>
    <w:rsid w:val="004A2671"/>
    <w:rsid w:val="004A2C6F"/>
    <w:rsid w:val="004D2C20"/>
    <w:rsid w:val="004D7BE4"/>
    <w:rsid w:val="004E1F0A"/>
    <w:rsid w:val="004F2FBC"/>
    <w:rsid w:val="00506F39"/>
    <w:rsid w:val="00507841"/>
    <w:rsid w:val="0052497D"/>
    <w:rsid w:val="00534B5E"/>
    <w:rsid w:val="00556B70"/>
    <w:rsid w:val="00561860"/>
    <w:rsid w:val="00566323"/>
    <w:rsid w:val="0057788F"/>
    <w:rsid w:val="005823D8"/>
    <w:rsid w:val="00583DEC"/>
    <w:rsid w:val="00585BB1"/>
    <w:rsid w:val="005A6A23"/>
    <w:rsid w:val="006172C6"/>
    <w:rsid w:val="006642D8"/>
    <w:rsid w:val="006D6715"/>
    <w:rsid w:val="006D738E"/>
    <w:rsid w:val="00706BCA"/>
    <w:rsid w:val="00734BCC"/>
    <w:rsid w:val="00742C63"/>
    <w:rsid w:val="007643D9"/>
    <w:rsid w:val="007727D5"/>
    <w:rsid w:val="00787EF7"/>
    <w:rsid w:val="007A4CAA"/>
    <w:rsid w:val="007A764C"/>
    <w:rsid w:val="007B5914"/>
    <w:rsid w:val="007E1A6C"/>
    <w:rsid w:val="0081002D"/>
    <w:rsid w:val="00827416"/>
    <w:rsid w:val="008412AD"/>
    <w:rsid w:val="00855A5A"/>
    <w:rsid w:val="00860737"/>
    <w:rsid w:val="008630AB"/>
    <w:rsid w:val="0087099D"/>
    <w:rsid w:val="00886D90"/>
    <w:rsid w:val="008B0017"/>
    <w:rsid w:val="008B715A"/>
    <w:rsid w:val="008E63B6"/>
    <w:rsid w:val="008F7B80"/>
    <w:rsid w:val="00903B92"/>
    <w:rsid w:val="009119AB"/>
    <w:rsid w:val="00913DB2"/>
    <w:rsid w:val="00914511"/>
    <w:rsid w:val="00925F48"/>
    <w:rsid w:val="009265B9"/>
    <w:rsid w:val="00940A62"/>
    <w:rsid w:val="00946B15"/>
    <w:rsid w:val="00952C1A"/>
    <w:rsid w:val="009B0CCA"/>
    <w:rsid w:val="009B284B"/>
    <w:rsid w:val="009E2E9D"/>
    <w:rsid w:val="00A00722"/>
    <w:rsid w:val="00A0561E"/>
    <w:rsid w:val="00A115AE"/>
    <w:rsid w:val="00A16565"/>
    <w:rsid w:val="00A21A51"/>
    <w:rsid w:val="00A22269"/>
    <w:rsid w:val="00A22654"/>
    <w:rsid w:val="00A25EC1"/>
    <w:rsid w:val="00A34397"/>
    <w:rsid w:val="00A37416"/>
    <w:rsid w:val="00A52722"/>
    <w:rsid w:val="00A70362"/>
    <w:rsid w:val="00A72031"/>
    <w:rsid w:val="00A74321"/>
    <w:rsid w:val="00A85711"/>
    <w:rsid w:val="00A92C06"/>
    <w:rsid w:val="00AB7DDC"/>
    <w:rsid w:val="00B0321B"/>
    <w:rsid w:val="00B04CCE"/>
    <w:rsid w:val="00B361D5"/>
    <w:rsid w:val="00B502E5"/>
    <w:rsid w:val="00B548A7"/>
    <w:rsid w:val="00B845D5"/>
    <w:rsid w:val="00B9707D"/>
    <w:rsid w:val="00BA5834"/>
    <w:rsid w:val="00BB42AD"/>
    <w:rsid w:val="00BC43E8"/>
    <w:rsid w:val="00BC797B"/>
    <w:rsid w:val="00BE0170"/>
    <w:rsid w:val="00C06BB3"/>
    <w:rsid w:val="00C10E1A"/>
    <w:rsid w:val="00C42205"/>
    <w:rsid w:val="00C43FBF"/>
    <w:rsid w:val="00C5075E"/>
    <w:rsid w:val="00C675EA"/>
    <w:rsid w:val="00C842E5"/>
    <w:rsid w:val="00C848A5"/>
    <w:rsid w:val="00CA3D21"/>
    <w:rsid w:val="00CB3CF2"/>
    <w:rsid w:val="00CB47A1"/>
    <w:rsid w:val="00CB6811"/>
    <w:rsid w:val="00CE66F2"/>
    <w:rsid w:val="00D0135F"/>
    <w:rsid w:val="00D150D4"/>
    <w:rsid w:val="00D2761E"/>
    <w:rsid w:val="00D51430"/>
    <w:rsid w:val="00D537E6"/>
    <w:rsid w:val="00D65F1C"/>
    <w:rsid w:val="00D9245D"/>
    <w:rsid w:val="00DA3687"/>
    <w:rsid w:val="00DA4AA1"/>
    <w:rsid w:val="00DF421C"/>
    <w:rsid w:val="00E01BB6"/>
    <w:rsid w:val="00E03243"/>
    <w:rsid w:val="00E4146C"/>
    <w:rsid w:val="00E451C7"/>
    <w:rsid w:val="00E8631A"/>
    <w:rsid w:val="00EA5604"/>
    <w:rsid w:val="00EC0E07"/>
    <w:rsid w:val="00EC621E"/>
    <w:rsid w:val="00EC6233"/>
    <w:rsid w:val="00ED74A4"/>
    <w:rsid w:val="00EF3D63"/>
    <w:rsid w:val="00EF4903"/>
    <w:rsid w:val="00F142D1"/>
    <w:rsid w:val="00F34C84"/>
    <w:rsid w:val="00F37A51"/>
    <w:rsid w:val="00F4105D"/>
    <w:rsid w:val="00F51CEE"/>
    <w:rsid w:val="00F55CD5"/>
    <w:rsid w:val="00F622CA"/>
    <w:rsid w:val="00F636A1"/>
    <w:rsid w:val="00F67F4E"/>
    <w:rsid w:val="00FA2587"/>
    <w:rsid w:val="00FB5591"/>
    <w:rsid w:val="00FC6984"/>
    <w:rsid w:val="00FD57EA"/>
    <w:rsid w:val="00FE71BE"/>
    <w:rsid w:val="00FE7C01"/>
    <w:rsid w:val="00FF2BE6"/>
    <w:rsid w:val="00FF4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B2F7E5A"/>
  <w15:chartTrackingRefBased/>
  <w15:docId w15:val="{0D8934AA-7377-4165-BFD0-12A6005A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BCC"/>
    <w:rPr>
      <w:rFonts w:ascii="Arial" w:hAnsi="Arial"/>
      <w:b/>
      <w:sz w:val="24"/>
      <w:lang w:val="en-US" w:eastAsia="en-US"/>
    </w:rPr>
  </w:style>
  <w:style w:type="paragraph" w:styleId="Heading1">
    <w:name w:val="heading 1"/>
    <w:basedOn w:val="Normal"/>
    <w:next w:val="Normal"/>
    <w:qFormat/>
    <w:rsid w:val="00C5075E"/>
    <w:pPr>
      <w:keepNext/>
      <w:spacing w:line="240" w:lineRule="atLeast"/>
      <w:jc w:val="both"/>
      <w:outlineLvl w:val="0"/>
    </w:pPr>
    <w:rPr>
      <w:lang w:val="en-GB"/>
    </w:rPr>
  </w:style>
  <w:style w:type="paragraph" w:styleId="Heading2">
    <w:name w:val="heading 2"/>
    <w:basedOn w:val="Normal"/>
    <w:next w:val="Normal"/>
    <w:qFormat/>
    <w:rsid w:val="00C5075E"/>
    <w:pPr>
      <w:keepNext/>
      <w:spacing w:before="240" w:after="60"/>
      <w:outlineLvl w:val="1"/>
    </w:pPr>
    <w:rPr>
      <w:rFonts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5075E"/>
    <w:pPr>
      <w:jc w:val="center"/>
    </w:pPr>
    <w:rPr>
      <w:sz w:val="28"/>
      <w:lang w:val="en-GB"/>
    </w:rPr>
  </w:style>
  <w:style w:type="paragraph" w:styleId="BodyText">
    <w:name w:val="Body Text"/>
    <w:basedOn w:val="Normal"/>
    <w:link w:val="BodyTextChar"/>
    <w:rsid w:val="00C5075E"/>
    <w:pPr>
      <w:spacing w:line="240" w:lineRule="atLeast"/>
      <w:jc w:val="both"/>
    </w:pPr>
    <w:rPr>
      <w:b w:val="0"/>
      <w:lang w:val="en-GB"/>
    </w:rPr>
  </w:style>
  <w:style w:type="paragraph" w:styleId="BodyTextIndent">
    <w:name w:val="Body Text Indent"/>
    <w:basedOn w:val="Normal"/>
    <w:rsid w:val="00C5075E"/>
    <w:pPr>
      <w:spacing w:line="240" w:lineRule="atLeast"/>
      <w:ind w:left="360"/>
      <w:jc w:val="both"/>
    </w:pPr>
    <w:rPr>
      <w:b w:val="0"/>
      <w:lang w:val="en-GB"/>
    </w:rPr>
  </w:style>
  <w:style w:type="character" w:styleId="Hyperlink">
    <w:name w:val="Hyperlink"/>
    <w:rsid w:val="00C5075E"/>
    <w:rPr>
      <w:color w:val="0000FF"/>
      <w:u w:val="single"/>
    </w:rPr>
  </w:style>
  <w:style w:type="table" w:styleId="TableGrid">
    <w:name w:val="Table Grid"/>
    <w:basedOn w:val="TableNormal"/>
    <w:rsid w:val="00534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1779D"/>
    <w:pPr>
      <w:tabs>
        <w:tab w:val="center" w:pos="4153"/>
        <w:tab w:val="right" w:pos="8306"/>
      </w:tabs>
    </w:pPr>
  </w:style>
  <w:style w:type="paragraph" w:styleId="Footer">
    <w:name w:val="footer"/>
    <w:basedOn w:val="Normal"/>
    <w:rsid w:val="0041779D"/>
    <w:pPr>
      <w:tabs>
        <w:tab w:val="center" w:pos="4153"/>
        <w:tab w:val="right" w:pos="8306"/>
      </w:tabs>
    </w:pPr>
  </w:style>
  <w:style w:type="character" w:styleId="CommentReference">
    <w:name w:val="annotation reference"/>
    <w:semiHidden/>
    <w:rsid w:val="004A2671"/>
    <w:rPr>
      <w:sz w:val="16"/>
      <w:szCs w:val="16"/>
    </w:rPr>
  </w:style>
  <w:style w:type="paragraph" w:styleId="CommentText">
    <w:name w:val="annotation text"/>
    <w:basedOn w:val="Normal"/>
    <w:semiHidden/>
    <w:rsid w:val="004A2671"/>
    <w:rPr>
      <w:sz w:val="20"/>
    </w:rPr>
  </w:style>
  <w:style w:type="paragraph" w:styleId="CommentSubject">
    <w:name w:val="annotation subject"/>
    <w:basedOn w:val="CommentText"/>
    <w:next w:val="CommentText"/>
    <w:semiHidden/>
    <w:rsid w:val="004A2671"/>
    <w:rPr>
      <w:bCs/>
    </w:rPr>
  </w:style>
  <w:style w:type="paragraph" w:styleId="BalloonText">
    <w:name w:val="Balloon Text"/>
    <w:basedOn w:val="Normal"/>
    <w:semiHidden/>
    <w:rsid w:val="004A2671"/>
    <w:rPr>
      <w:rFonts w:ascii="Tahoma" w:hAnsi="Tahoma" w:cs="Tahoma"/>
      <w:sz w:val="16"/>
      <w:szCs w:val="16"/>
    </w:rPr>
  </w:style>
  <w:style w:type="character" w:styleId="Strong">
    <w:name w:val="Strong"/>
    <w:uiPriority w:val="22"/>
    <w:qFormat/>
    <w:rsid w:val="001E5493"/>
    <w:rPr>
      <w:b/>
      <w:bCs/>
    </w:rPr>
  </w:style>
  <w:style w:type="paragraph" w:styleId="ListParagraph">
    <w:name w:val="List Paragraph"/>
    <w:basedOn w:val="Normal"/>
    <w:uiPriority w:val="34"/>
    <w:qFormat/>
    <w:rsid w:val="004E1F0A"/>
    <w:pPr>
      <w:ind w:left="720"/>
    </w:pPr>
  </w:style>
  <w:style w:type="paragraph" w:customStyle="1" w:styleId="Default">
    <w:name w:val="Default"/>
    <w:rsid w:val="00374AF7"/>
    <w:pPr>
      <w:autoSpaceDE w:val="0"/>
      <w:autoSpaceDN w:val="0"/>
      <w:adjustRightInd w:val="0"/>
    </w:pPr>
    <w:rPr>
      <w:rFonts w:ascii="Verdana" w:hAnsi="Verdana" w:cs="Verdana"/>
      <w:color w:val="000000"/>
      <w:sz w:val="24"/>
      <w:szCs w:val="24"/>
    </w:rPr>
  </w:style>
  <w:style w:type="character" w:customStyle="1" w:styleId="BodyTextChar">
    <w:name w:val="Body Text Char"/>
    <w:link w:val="BodyText"/>
    <w:rsid w:val="003307A3"/>
    <w:rPr>
      <w:rFonts w:ascii="Arial" w:hAnsi="Arial"/>
      <w:sz w:val="24"/>
      <w:lang w:eastAsia="en-US"/>
    </w:rPr>
  </w:style>
  <w:style w:type="character" w:styleId="FollowedHyperlink">
    <w:name w:val="FollowedHyperlink"/>
    <w:rsid w:val="00FF2BE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51058">
      <w:bodyDiv w:val="1"/>
      <w:marLeft w:val="0"/>
      <w:marRight w:val="0"/>
      <w:marTop w:val="0"/>
      <w:marBottom w:val="0"/>
      <w:divBdr>
        <w:top w:val="none" w:sz="0" w:space="0" w:color="auto"/>
        <w:left w:val="none" w:sz="0" w:space="0" w:color="auto"/>
        <w:bottom w:val="none" w:sz="0" w:space="0" w:color="auto"/>
        <w:right w:val="none" w:sz="0" w:space="0" w:color="auto"/>
      </w:divBdr>
      <w:divsChild>
        <w:div w:id="110366218">
          <w:marLeft w:val="0"/>
          <w:marRight w:val="0"/>
          <w:marTop w:val="0"/>
          <w:marBottom w:val="0"/>
          <w:divBdr>
            <w:top w:val="none" w:sz="0" w:space="0" w:color="auto"/>
            <w:left w:val="none" w:sz="0" w:space="0" w:color="auto"/>
            <w:bottom w:val="none" w:sz="0" w:space="0" w:color="auto"/>
            <w:right w:val="none" w:sz="0" w:space="0" w:color="auto"/>
          </w:divBdr>
          <w:divsChild>
            <w:div w:id="1055275833">
              <w:marLeft w:val="0"/>
              <w:marRight w:val="0"/>
              <w:marTop w:val="0"/>
              <w:marBottom w:val="0"/>
              <w:divBdr>
                <w:top w:val="none" w:sz="0" w:space="0" w:color="auto"/>
                <w:left w:val="none" w:sz="0" w:space="0" w:color="auto"/>
                <w:bottom w:val="none" w:sz="0" w:space="0" w:color="auto"/>
                <w:right w:val="none" w:sz="0" w:space="0" w:color="auto"/>
              </w:divBdr>
              <w:divsChild>
                <w:div w:id="13479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88231">
      <w:bodyDiv w:val="1"/>
      <w:marLeft w:val="0"/>
      <w:marRight w:val="0"/>
      <w:marTop w:val="0"/>
      <w:marBottom w:val="0"/>
      <w:divBdr>
        <w:top w:val="none" w:sz="0" w:space="0" w:color="auto"/>
        <w:left w:val="none" w:sz="0" w:space="0" w:color="auto"/>
        <w:bottom w:val="none" w:sz="0" w:space="0" w:color="auto"/>
        <w:right w:val="none" w:sz="0" w:space="0" w:color="auto"/>
      </w:divBdr>
    </w:div>
    <w:div w:id="624580526">
      <w:bodyDiv w:val="1"/>
      <w:marLeft w:val="0"/>
      <w:marRight w:val="0"/>
      <w:marTop w:val="0"/>
      <w:marBottom w:val="0"/>
      <w:divBdr>
        <w:top w:val="none" w:sz="0" w:space="0" w:color="auto"/>
        <w:left w:val="none" w:sz="0" w:space="0" w:color="auto"/>
        <w:bottom w:val="none" w:sz="0" w:space="0" w:color="auto"/>
        <w:right w:val="none" w:sz="0" w:space="0" w:color="auto"/>
      </w:divBdr>
      <w:divsChild>
        <w:div w:id="104815053">
          <w:marLeft w:val="0"/>
          <w:marRight w:val="0"/>
          <w:marTop w:val="0"/>
          <w:marBottom w:val="0"/>
          <w:divBdr>
            <w:top w:val="none" w:sz="0" w:space="0" w:color="auto"/>
            <w:left w:val="none" w:sz="0" w:space="0" w:color="auto"/>
            <w:bottom w:val="none" w:sz="0" w:space="0" w:color="auto"/>
            <w:right w:val="none" w:sz="0" w:space="0" w:color="auto"/>
          </w:divBdr>
          <w:divsChild>
            <w:div w:id="207110986">
              <w:marLeft w:val="0"/>
              <w:marRight w:val="0"/>
              <w:marTop w:val="0"/>
              <w:marBottom w:val="0"/>
              <w:divBdr>
                <w:top w:val="none" w:sz="0" w:space="0" w:color="auto"/>
                <w:left w:val="none" w:sz="0" w:space="0" w:color="auto"/>
                <w:bottom w:val="none" w:sz="0" w:space="0" w:color="auto"/>
                <w:right w:val="none" w:sz="0" w:space="0" w:color="auto"/>
              </w:divBdr>
              <w:divsChild>
                <w:div w:id="96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27233">
      <w:bodyDiv w:val="1"/>
      <w:marLeft w:val="0"/>
      <w:marRight w:val="0"/>
      <w:marTop w:val="0"/>
      <w:marBottom w:val="0"/>
      <w:divBdr>
        <w:top w:val="none" w:sz="0" w:space="0" w:color="auto"/>
        <w:left w:val="none" w:sz="0" w:space="0" w:color="auto"/>
        <w:bottom w:val="none" w:sz="0" w:space="0" w:color="auto"/>
        <w:right w:val="none" w:sz="0" w:space="0" w:color="auto"/>
      </w:divBdr>
      <w:divsChild>
        <w:div w:id="15694851">
          <w:marLeft w:val="0"/>
          <w:marRight w:val="0"/>
          <w:marTop w:val="0"/>
          <w:marBottom w:val="0"/>
          <w:divBdr>
            <w:top w:val="none" w:sz="0" w:space="0" w:color="auto"/>
            <w:left w:val="none" w:sz="0" w:space="0" w:color="auto"/>
            <w:bottom w:val="none" w:sz="0" w:space="0" w:color="auto"/>
            <w:right w:val="none" w:sz="0" w:space="0" w:color="auto"/>
          </w:divBdr>
          <w:divsChild>
            <w:div w:id="438530119">
              <w:marLeft w:val="0"/>
              <w:marRight w:val="0"/>
              <w:marTop w:val="0"/>
              <w:marBottom w:val="0"/>
              <w:divBdr>
                <w:top w:val="none" w:sz="0" w:space="0" w:color="auto"/>
                <w:left w:val="none" w:sz="0" w:space="0" w:color="auto"/>
                <w:bottom w:val="none" w:sz="0" w:space="0" w:color="auto"/>
                <w:right w:val="none" w:sz="0" w:space="0" w:color="auto"/>
              </w:divBdr>
              <w:divsChild>
                <w:div w:id="6594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3638">
      <w:bodyDiv w:val="1"/>
      <w:marLeft w:val="0"/>
      <w:marRight w:val="0"/>
      <w:marTop w:val="0"/>
      <w:marBottom w:val="0"/>
      <w:divBdr>
        <w:top w:val="none" w:sz="0" w:space="0" w:color="auto"/>
        <w:left w:val="none" w:sz="0" w:space="0" w:color="auto"/>
        <w:bottom w:val="none" w:sz="0" w:space="0" w:color="auto"/>
        <w:right w:val="none" w:sz="0" w:space="0" w:color="auto"/>
      </w:divBdr>
    </w:div>
    <w:div w:id="1167137110">
      <w:bodyDiv w:val="1"/>
      <w:marLeft w:val="0"/>
      <w:marRight w:val="0"/>
      <w:marTop w:val="0"/>
      <w:marBottom w:val="0"/>
      <w:divBdr>
        <w:top w:val="none" w:sz="0" w:space="0" w:color="auto"/>
        <w:left w:val="none" w:sz="0" w:space="0" w:color="auto"/>
        <w:bottom w:val="none" w:sz="0" w:space="0" w:color="auto"/>
        <w:right w:val="none" w:sz="0" w:space="0" w:color="auto"/>
      </w:divBdr>
    </w:div>
    <w:div w:id="1243952472">
      <w:bodyDiv w:val="1"/>
      <w:marLeft w:val="0"/>
      <w:marRight w:val="0"/>
      <w:marTop w:val="0"/>
      <w:marBottom w:val="0"/>
      <w:divBdr>
        <w:top w:val="none" w:sz="0" w:space="0" w:color="auto"/>
        <w:left w:val="none" w:sz="0" w:space="0" w:color="auto"/>
        <w:bottom w:val="none" w:sz="0" w:space="0" w:color="auto"/>
        <w:right w:val="none" w:sz="0" w:space="0" w:color="auto"/>
      </w:divBdr>
    </w:div>
    <w:div w:id="1344437461">
      <w:bodyDiv w:val="1"/>
      <w:marLeft w:val="0"/>
      <w:marRight w:val="0"/>
      <w:marTop w:val="0"/>
      <w:marBottom w:val="0"/>
      <w:divBdr>
        <w:top w:val="none" w:sz="0" w:space="0" w:color="auto"/>
        <w:left w:val="none" w:sz="0" w:space="0" w:color="auto"/>
        <w:bottom w:val="none" w:sz="0" w:space="0" w:color="auto"/>
        <w:right w:val="none" w:sz="0" w:space="0" w:color="auto"/>
      </w:divBdr>
    </w:div>
    <w:div w:id="1723795558">
      <w:bodyDiv w:val="1"/>
      <w:marLeft w:val="0"/>
      <w:marRight w:val="0"/>
      <w:marTop w:val="0"/>
      <w:marBottom w:val="0"/>
      <w:divBdr>
        <w:top w:val="none" w:sz="0" w:space="0" w:color="auto"/>
        <w:left w:val="none" w:sz="0" w:space="0" w:color="auto"/>
        <w:bottom w:val="none" w:sz="0" w:space="0" w:color="auto"/>
        <w:right w:val="none" w:sz="0" w:space="0" w:color="auto"/>
      </w:divBdr>
      <w:divsChild>
        <w:div w:id="1113095196">
          <w:marLeft w:val="0"/>
          <w:marRight w:val="0"/>
          <w:marTop w:val="0"/>
          <w:marBottom w:val="0"/>
          <w:divBdr>
            <w:top w:val="none" w:sz="0" w:space="0" w:color="auto"/>
            <w:left w:val="none" w:sz="0" w:space="0" w:color="auto"/>
            <w:bottom w:val="none" w:sz="0" w:space="0" w:color="auto"/>
            <w:right w:val="none" w:sz="0" w:space="0" w:color="auto"/>
          </w:divBdr>
          <w:divsChild>
            <w:div w:id="1993677400">
              <w:marLeft w:val="0"/>
              <w:marRight w:val="0"/>
              <w:marTop w:val="0"/>
              <w:marBottom w:val="0"/>
              <w:divBdr>
                <w:top w:val="single" w:sz="2" w:space="0" w:color="FFFFFF"/>
                <w:left w:val="single" w:sz="6" w:space="0" w:color="FFFFFF"/>
                <w:bottom w:val="single" w:sz="6" w:space="0" w:color="FFFFFF"/>
                <w:right w:val="single" w:sz="6" w:space="0" w:color="FFFFFF"/>
              </w:divBdr>
              <w:divsChild>
                <w:div w:id="821505387">
                  <w:marLeft w:val="0"/>
                  <w:marRight w:val="0"/>
                  <w:marTop w:val="0"/>
                  <w:marBottom w:val="0"/>
                  <w:divBdr>
                    <w:top w:val="single" w:sz="6" w:space="1" w:color="D3D3D3"/>
                    <w:left w:val="none" w:sz="0" w:space="0" w:color="auto"/>
                    <w:bottom w:val="none" w:sz="0" w:space="0" w:color="auto"/>
                    <w:right w:val="none" w:sz="0" w:space="0" w:color="auto"/>
                  </w:divBdr>
                  <w:divsChild>
                    <w:div w:id="729574829">
                      <w:marLeft w:val="0"/>
                      <w:marRight w:val="0"/>
                      <w:marTop w:val="0"/>
                      <w:marBottom w:val="0"/>
                      <w:divBdr>
                        <w:top w:val="none" w:sz="0" w:space="0" w:color="auto"/>
                        <w:left w:val="none" w:sz="0" w:space="0" w:color="auto"/>
                        <w:bottom w:val="none" w:sz="0" w:space="0" w:color="auto"/>
                        <w:right w:val="none" w:sz="0" w:space="0" w:color="auto"/>
                      </w:divBdr>
                      <w:divsChild>
                        <w:div w:id="17247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ningportal.gov.uk/uploads/pins/enfinfosheet.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C1B8A-7721-43F0-981E-3D385847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1149</Words>
  <Characters>5938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THE LONDON BOROUGH OF CAMDEN</vt:lpstr>
    </vt:vector>
  </TitlesOfParts>
  <Company>London Borough of Camden</Company>
  <LinksUpToDate>false</LinksUpToDate>
  <CharactersWithSpaces>7073</CharactersWithSpaces>
  <SharedDoc>false</SharedDoc>
  <HLinks>
    <vt:vector size="6" baseType="variant">
      <vt:variant>
        <vt:i4>7471211</vt:i4>
      </vt:variant>
      <vt:variant>
        <vt:i4>0</vt:i4>
      </vt:variant>
      <vt:variant>
        <vt:i4>0</vt:i4>
      </vt:variant>
      <vt:variant>
        <vt:i4>5</vt:i4>
      </vt:variant>
      <vt:variant>
        <vt:lpwstr>http://www.planningportal.gov.uk/uploads/pins/enfinfosheet.pdf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LONDON BOROUGH OF CAMDEN</dc:title>
  <dc:subject/>
  <dc:creator>Camhp021</dc:creator>
  <cp:keywords/>
  <cp:lastModifiedBy>Mohammed, Hadiza</cp:lastModifiedBy>
  <cp:revision>2</cp:revision>
  <cp:lastPrinted>2016-06-08T13:34:00Z</cp:lastPrinted>
  <dcterms:created xsi:type="dcterms:W3CDTF">2019-08-30T13:49:00Z</dcterms:created>
  <dcterms:modified xsi:type="dcterms:W3CDTF">2019-08-30T13:49:00Z</dcterms:modified>
</cp:coreProperties>
</file>