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604" w:rsidRDefault="00C94604" w:rsidP="00C94604">
      <w:pPr>
        <w:pStyle w:val="Reportreference"/>
        <w:tabs>
          <w:tab w:val="left" w:pos="851"/>
          <w:tab w:val="right" w:pos="14175"/>
        </w:tabs>
        <w:ind w:right="-23"/>
      </w:pPr>
      <w:r>
        <w:t xml:space="preserve">Our Ref: </w:t>
      </w:r>
      <w:r>
        <w:tab/>
        <w:t>1675/118/DR/</w:t>
      </w:r>
      <w:proofErr w:type="spellStart"/>
      <w:r>
        <w:t>msk</w:t>
      </w:r>
      <w:proofErr w:type="spellEnd"/>
    </w:p>
    <w:p w:rsidR="00C94604" w:rsidRDefault="00C94604" w:rsidP="00C94604">
      <w:pPr>
        <w:pStyle w:val="Reportreference"/>
        <w:tabs>
          <w:tab w:val="left" w:pos="851"/>
          <w:tab w:val="right" w:pos="14175"/>
        </w:tabs>
        <w:ind w:right="-23"/>
      </w:pPr>
      <w:r>
        <w:t xml:space="preserve">          cc:</w:t>
      </w:r>
      <w:r>
        <w:tab/>
        <w:t>1845/25/DR/</w:t>
      </w:r>
      <w:proofErr w:type="spellStart"/>
      <w:r>
        <w:t>msk</w:t>
      </w:r>
      <w:proofErr w:type="spellEnd"/>
    </w:p>
    <w:p w:rsidR="00C94604" w:rsidRPr="003D71C7" w:rsidRDefault="00C94604" w:rsidP="00C94604">
      <w:pPr>
        <w:pStyle w:val="Reporttitle"/>
        <w:jc w:val="left"/>
      </w:pPr>
      <w:r>
        <w:t>55 Fitzroy Park: ABA comment/query summary</w:t>
      </w:r>
    </w:p>
    <w:p w:rsidR="00C94604" w:rsidRPr="00C94604" w:rsidRDefault="00C94604" w:rsidP="00C94604">
      <w:pPr>
        <w:pStyle w:val="Reportreference"/>
        <w:tabs>
          <w:tab w:val="left" w:pos="851"/>
          <w:tab w:val="right" w:pos="14175"/>
        </w:tabs>
        <w:ind w:right="-23"/>
        <w:rPr>
          <w:sz w:val="8"/>
        </w:rPr>
      </w:pPr>
    </w:p>
    <w:tbl>
      <w:tblPr>
        <w:tblStyle w:val="TableGrid"/>
        <w:tblW w:w="14175" w:type="dxa"/>
        <w:tblLayout w:type="fixed"/>
        <w:tblLook w:val="04A0" w:firstRow="1" w:lastRow="0" w:firstColumn="1" w:lastColumn="0" w:noHBand="0" w:noVBand="1"/>
      </w:tblPr>
      <w:tblGrid>
        <w:gridCol w:w="1951"/>
        <w:gridCol w:w="2949"/>
        <w:gridCol w:w="3092"/>
        <w:gridCol w:w="3091"/>
        <w:gridCol w:w="3092"/>
      </w:tblGrid>
      <w:tr w:rsidR="00C94604" w:rsidTr="00F63852">
        <w:tc>
          <w:tcPr>
            <w:tcW w:w="1951" w:type="dxa"/>
            <w:tcBorders>
              <w:bottom w:val="single" w:sz="4" w:space="0" w:color="auto"/>
            </w:tcBorders>
          </w:tcPr>
          <w:p w:rsidR="00C94604" w:rsidRDefault="00C94604" w:rsidP="00C94604">
            <w:pPr>
              <w:pStyle w:val="Reporttitle"/>
              <w:jc w:val="left"/>
            </w:pPr>
            <w:r>
              <w:t>Comment/Query No</w:t>
            </w:r>
          </w:p>
        </w:tc>
        <w:tc>
          <w:tcPr>
            <w:tcW w:w="2949" w:type="dxa"/>
            <w:tcBorders>
              <w:bottom w:val="single" w:sz="4" w:space="0" w:color="auto"/>
            </w:tcBorders>
          </w:tcPr>
          <w:p w:rsidR="00C94604" w:rsidRDefault="00C94604" w:rsidP="00C94604">
            <w:pPr>
              <w:pStyle w:val="Reporttitle"/>
              <w:jc w:val="left"/>
            </w:pPr>
            <w:r>
              <w:t>Subject</w:t>
            </w:r>
          </w:p>
        </w:tc>
        <w:tc>
          <w:tcPr>
            <w:tcW w:w="3092" w:type="dxa"/>
            <w:tcBorders>
              <w:bottom w:val="single" w:sz="4" w:space="0" w:color="auto"/>
            </w:tcBorders>
          </w:tcPr>
          <w:p w:rsidR="00C94604" w:rsidRDefault="00C94604" w:rsidP="00C94604">
            <w:pPr>
              <w:pStyle w:val="Reporttitle"/>
              <w:jc w:val="left"/>
            </w:pPr>
            <w:r>
              <w:t>ABA Comment/Query</w:t>
            </w:r>
          </w:p>
        </w:tc>
        <w:tc>
          <w:tcPr>
            <w:tcW w:w="3091" w:type="dxa"/>
            <w:tcBorders>
              <w:bottom w:val="single" w:sz="4" w:space="0" w:color="auto"/>
            </w:tcBorders>
          </w:tcPr>
          <w:p w:rsidR="00C94604" w:rsidRDefault="00C94604" w:rsidP="00C94604">
            <w:pPr>
              <w:pStyle w:val="Reporttitle"/>
              <w:jc w:val="left"/>
            </w:pPr>
            <w:r>
              <w:t>Campbell Reith initial assessment/audit</w:t>
            </w:r>
          </w:p>
        </w:tc>
        <w:tc>
          <w:tcPr>
            <w:tcW w:w="3092" w:type="dxa"/>
            <w:tcBorders>
              <w:bottom w:val="single" w:sz="4" w:space="0" w:color="auto"/>
            </w:tcBorders>
          </w:tcPr>
          <w:p w:rsidR="00C94604" w:rsidRDefault="00C94604" w:rsidP="00C94604">
            <w:pPr>
              <w:pStyle w:val="Reporttitle"/>
              <w:jc w:val="left"/>
            </w:pPr>
            <w:r>
              <w:t>Current status</w:t>
            </w:r>
            <w:r w:rsidR="00AE2359">
              <w:t xml:space="preserve"> (following Campbell Reith second assessment)</w:t>
            </w:r>
          </w:p>
        </w:tc>
      </w:tr>
      <w:tr w:rsidR="00FF73FC" w:rsidTr="00F63852">
        <w:trPr>
          <w:trHeight w:val="374"/>
        </w:trPr>
        <w:tc>
          <w:tcPr>
            <w:tcW w:w="1951" w:type="dxa"/>
            <w:tcBorders>
              <w:top w:val="single" w:sz="4" w:space="0" w:color="auto"/>
              <w:left w:val="single" w:sz="4" w:space="0" w:color="auto"/>
              <w:bottom w:val="single" w:sz="4" w:space="0" w:color="auto"/>
              <w:right w:val="single" w:sz="4" w:space="0" w:color="auto"/>
            </w:tcBorders>
          </w:tcPr>
          <w:p w:rsidR="00FF73FC" w:rsidRPr="00F3716C" w:rsidRDefault="00FF73FC" w:rsidP="008913A2">
            <w:pPr>
              <w:pStyle w:val="Reporttitle"/>
              <w:jc w:val="left"/>
              <w:rPr>
                <w:b w:val="0"/>
                <w:sz w:val="22"/>
              </w:rPr>
            </w:pPr>
            <w:r w:rsidRPr="00F3716C">
              <w:rPr>
                <w:b w:val="0"/>
                <w:sz w:val="22"/>
              </w:rPr>
              <w:t>A) Information</w:t>
            </w:r>
          </w:p>
        </w:tc>
        <w:tc>
          <w:tcPr>
            <w:tcW w:w="2949" w:type="dxa"/>
            <w:tcBorders>
              <w:top w:val="single" w:sz="4" w:space="0" w:color="auto"/>
              <w:left w:val="single" w:sz="4" w:space="0" w:color="auto"/>
              <w:bottom w:val="single" w:sz="4" w:space="0" w:color="auto"/>
              <w:right w:val="single" w:sz="4" w:space="0" w:color="auto"/>
            </w:tcBorders>
          </w:tcPr>
          <w:p w:rsidR="00FF73FC" w:rsidRPr="00F3716C" w:rsidRDefault="00FF73FC" w:rsidP="00C94604">
            <w:pPr>
              <w:pStyle w:val="Reporttitle"/>
              <w:jc w:val="left"/>
              <w:rPr>
                <w:b w:val="0"/>
                <w:sz w:val="22"/>
              </w:rPr>
            </w:pPr>
            <w:r w:rsidRPr="00F3716C">
              <w:rPr>
                <w:b w:val="0"/>
                <w:sz w:val="22"/>
              </w:rPr>
              <w:t>(See Letter 18/10/2018)</w:t>
            </w:r>
          </w:p>
        </w:tc>
        <w:tc>
          <w:tcPr>
            <w:tcW w:w="3092" w:type="dxa"/>
            <w:tcBorders>
              <w:top w:val="single" w:sz="4" w:space="0" w:color="auto"/>
              <w:left w:val="single" w:sz="4" w:space="0" w:color="auto"/>
              <w:bottom w:val="single" w:sz="4" w:space="0" w:color="auto"/>
              <w:right w:val="single" w:sz="4" w:space="0" w:color="auto"/>
            </w:tcBorders>
          </w:tcPr>
          <w:p w:rsidR="00FF73FC" w:rsidRPr="00F3716C" w:rsidRDefault="00FF73FC" w:rsidP="00C94604">
            <w:pPr>
              <w:pStyle w:val="Reporttitle"/>
              <w:jc w:val="left"/>
              <w:rPr>
                <w:b w:val="0"/>
                <w:sz w:val="22"/>
              </w:rPr>
            </w:pPr>
          </w:p>
        </w:tc>
        <w:tc>
          <w:tcPr>
            <w:tcW w:w="3091" w:type="dxa"/>
            <w:tcBorders>
              <w:top w:val="single" w:sz="4" w:space="0" w:color="auto"/>
              <w:left w:val="single" w:sz="4" w:space="0" w:color="auto"/>
              <w:bottom w:val="single" w:sz="4" w:space="0" w:color="auto"/>
              <w:right w:val="single" w:sz="4" w:space="0" w:color="auto"/>
            </w:tcBorders>
          </w:tcPr>
          <w:p w:rsidR="00FF73FC" w:rsidRPr="00F3716C" w:rsidRDefault="00FF73FC" w:rsidP="00C94604">
            <w:pPr>
              <w:pStyle w:val="Reporttitle"/>
              <w:jc w:val="left"/>
              <w:rPr>
                <w:b w:val="0"/>
                <w:sz w:val="22"/>
              </w:rPr>
            </w:pPr>
          </w:p>
        </w:tc>
        <w:tc>
          <w:tcPr>
            <w:tcW w:w="3092" w:type="dxa"/>
            <w:tcBorders>
              <w:top w:val="single" w:sz="4" w:space="0" w:color="auto"/>
              <w:left w:val="single" w:sz="4" w:space="0" w:color="auto"/>
              <w:bottom w:val="single" w:sz="4" w:space="0" w:color="auto"/>
              <w:right w:val="single" w:sz="4" w:space="0" w:color="auto"/>
            </w:tcBorders>
          </w:tcPr>
          <w:p w:rsidR="00FF73FC" w:rsidRPr="00F3716C" w:rsidRDefault="00FF73FC" w:rsidP="00C94604">
            <w:pPr>
              <w:pStyle w:val="Reporttitle"/>
              <w:jc w:val="left"/>
              <w:rPr>
                <w:b w:val="0"/>
                <w:sz w:val="22"/>
              </w:rPr>
            </w:pPr>
          </w:p>
        </w:tc>
      </w:tr>
      <w:tr w:rsidR="00FF73FC" w:rsidTr="00F63852">
        <w:trPr>
          <w:trHeight w:val="373"/>
        </w:trPr>
        <w:tc>
          <w:tcPr>
            <w:tcW w:w="1951" w:type="dxa"/>
            <w:tcBorders>
              <w:top w:val="single" w:sz="4" w:space="0" w:color="auto"/>
            </w:tcBorders>
          </w:tcPr>
          <w:p w:rsidR="00FF73FC" w:rsidRPr="00F3716C" w:rsidRDefault="00FF73FC" w:rsidP="008913A2">
            <w:pPr>
              <w:pStyle w:val="Reporttitle"/>
              <w:numPr>
                <w:ilvl w:val="0"/>
                <w:numId w:val="2"/>
              </w:numPr>
              <w:jc w:val="left"/>
              <w:rPr>
                <w:b w:val="0"/>
                <w:sz w:val="22"/>
              </w:rPr>
            </w:pPr>
          </w:p>
        </w:tc>
        <w:tc>
          <w:tcPr>
            <w:tcW w:w="2949" w:type="dxa"/>
            <w:tcBorders>
              <w:top w:val="single" w:sz="4" w:space="0" w:color="auto"/>
            </w:tcBorders>
          </w:tcPr>
          <w:p w:rsidR="00FF73FC" w:rsidRPr="00F3716C" w:rsidRDefault="00F3716C" w:rsidP="00C94604">
            <w:pPr>
              <w:pStyle w:val="Reporttitle"/>
              <w:jc w:val="left"/>
              <w:rPr>
                <w:b w:val="0"/>
                <w:sz w:val="22"/>
              </w:rPr>
            </w:pPr>
            <w:proofErr w:type="gramStart"/>
            <w:r w:rsidRPr="00F3716C">
              <w:rPr>
                <w:b w:val="0"/>
                <w:sz w:val="22"/>
              </w:rPr>
              <w:t>Does</w:t>
            </w:r>
            <w:proofErr w:type="gramEnd"/>
            <w:r w:rsidRPr="00F3716C">
              <w:rPr>
                <w:b w:val="0"/>
                <w:sz w:val="22"/>
              </w:rPr>
              <w:t xml:space="preserve"> Geotechnical assessment and Hydrological/ Hydrogeological assessment constitute a BIA?</w:t>
            </w:r>
          </w:p>
        </w:tc>
        <w:tc>
          <w:tcPr>
            <w:tcW w:w="3092" w:type="dxa"/>
            <w:tcBorders>
              <w:top w:val="single" w:sz="4" w:space="0" w:color="auto"/>
            </w:tcBorders>
          </w:tcPr>
          <w:p w:rsidR="00FF73FC" w:rsidRPr="00F3716C" w:rsidRDefault="00F3716C" w:rsidP="00C94604">
            <w:pPr>
              <w:pStyle w:val="Reporttitle"/>
              <w:jc w:val="left"/>
              <w:rPr>
                <w:b w:val="0"/>
                <w:sz w:val="22"/>
              </w:rPr>
            </w:pPr>
            <w:r>
              <w:rPr>
                <w:b w:val="0"/>
                <w:sz w:val="22"/>
              </w:rPr>
              <w:t>Includes standard screening and scoping assessments, but lacks detail.</w:t>
            </w:r>
          </w:p>
        </w:tc>
        <w:tc>
          <w:tcPr>
            <w:tcW w:w="3091" w:type="dxa"/>
            <w:tcBorders>
              <w:top w:val="single" w:sz="4" w:space="0" w:color="auto"/>
            </w:tcBorders>
          </w:tcPr>
          <w:p w:rsidR="00FF73FC" w:rsidRPr="00F3716C" w:rsidRDefault="00F3716C" w:rsidP="00C94604">
            <w:pPr>
              <w:pStyle w:val="Reporttitle"/>
              <w:jc w:val="left"/>
              <w:rPr>
                <w:b w:val="0"/>
                <w:sz w:val="22"/>
              </w:rPr>
            </w:pPr>
            <w:r>
              <w:rPr>
                <w:b w:val="0"/>
                <w:sz w:val="22"/>
              </w:rPr>
              <w:t xml:space="preserve">Accepted that the information constituted a BIA. </w:t>
            </w:r>
          </w:p>
        </w:tc>
        <w:tc>
          <w:tcPr>
            <w:tcW w:w="3092" w:type="dxa"/>
            <w:tcBorders>
              <w:top w:val="single" w:sz="4" w:space="0" w:color="auto"/>
            </w:tcBorders>
          </w:tcPr>
          <w:p w:rsidR="00FF73FC" w:rsidRPr="00F3716C" w:rsidRDefault="00F3716C" w:rsidP="00C94604">
            <w:pPr>
              <w:pStyle w:val="Reporttitle"/>
              <w:jc w:val="left"/>
              <w:rPr>
                <w:b w:val="0"/>
                <w:sz w:val="22"/>
              </w:rPr>
            </w:pPr>
            <w:r>
              <w:rPr>
                <w:b w:val="0"/>
                <w:sz w:val="22"/>
              </w:rPr>
              <w:t>It has been accepted</w:t>
            </w:r>
            <w:r w:rsidR="00CC169C">
              <w:rPr>
                <w:b w:val="0"/>
                <w:sz w:val="22"/>
              </w:rPr>
              <w:t xml:space="preserve"> by CR</w:t>
            </w:r>
            <w:r>
              <w:rPr>
                <w:b w:val="0"/>
                <w:sz w:val="22"/>
              </w:rPr>
              <w:t xml:space="preserve"> that the information and addendum information constitutes a BIA. </w:t>
            </w:r>
          </w:p>
        </w:tc>
      </w:tr>
      <w:tr w:rsidR="00C94604" w:rsidTr="00F63852">
        <w:tc>
          <w:tcPr>
            <w:tcW w:w="1951" w:type="dxa"/>
          </w:tcPr>
          <w:p w:rsidR="00C94604" w:rsidRPr="00F3716C" w:rsidRDefault="00C94604" w:rsidP="008913A2">
            <w:pPr>
              <w:pStyle w:val="Reporttitle"/>
              <w:numPr>
                <w:ilvl w:val="0"/>
                <w:numId w:val="2"/>
              </w:numPr>
              <w:jc w:val="left"/>
              <w:rPr>
                <w:b w:val="0"/>
                <w:sz w:val="22"/>
              </w:rPr>
            </w:pPr>
          </w:p>
        </w:tc>
        <w:tc>
          <w:tcPr>
            <w:tcW w:w="2949" w:type="dxa"/>
          </w:tcPr>
          <w:p w:rsidR="00C94604" w:rsidRPr="00F3716C" w:rsidRDefault="00F3716C" w:rsidP="005C2295">
            <w:pPr>
              <w:pStyle w:val="Reporttitle"/>
              <w:jc w:val="left"/>
              <w:rPr>
                <w:b w:val="0"/>
                <w:sz w:val="22"/>
              </w:rPr>
            </w:pPr>
            <w:r w:rsidRPr="00F3716C">
              <w:rPr>
                <w:b w:val="0"/>
                <w:sz w:val="22"/>
              </w:rPr>
              <w:t xml:space="preserve">Have </w:t>
            </w:r>
            <w:r>
              <w:rPr>
                <w:b w:val="0"/>
                <w:sz w:val="22"/>
              </w:rPr>
              <w:t>hydrogeological and hydrological</w:t>
            </w:r>
            <w:r w:rsidR="005C2295">
              <w:rPr>
                <w:b w:val="0"/>
                <w:sz w:val="22"/>
              </w:rPr>
              <w:t xml:space="preserve"> issues been considered?</w:t>
            </w:r>
          </w:p>
        </w:tc>
        <w:tc>
          <w:tcPr>
            <w:tcW w:w="3092" w:type="dxa"/>
          </w:tcPr>
          <w:p w:rsidR="00C94604" w:rsidRPr="00F3716C" w:rsidRDefault="005C2295" w:rsidP="007F76B8">
            <w:pPr>
              <w:pStyle w:val="Reporttitle"/>
              <w:jc w:val="left"/>
              <w:rPr>
                <w:b w:val="0"/>
                <w:sz w:val="22"/>
              </w:rPr>
            </w:pPr>
            <w:r>
              <w:rPr>
                <w:b w:val="0"/>
                <w:sz w:val="22"/>
              </w:rPr>
              <w:t xml:space="preserve">No factual SI information or groundwater monitoring. Little information on </w:t>
            </w:r>
            <w:r w:rsidR="007F76B8">
              <w:rPr>
                <w:b w:val="0"/>
                <w:sz w:val="22"/>
              </w:rPr>
              <w:t>buried valley</w:t>
            </w:r>
            <w:r>
              <w:rPr>
                <w:b w:val="0"/>
                <w:sz w:val="22"/>
              </w:rPr>
              <w:t xml:space="preserve"> feature and groundwater flows.</w:t>
            </w:r>
          </w:p>
        </w:tc>
        <w:tc>
          <w:tcPr>
            <w:tcW w:w="3091" w:type="dxa"/>
          </w:tcPr>
          <w:p w:rsidR="00C94604" w:rsidRPr="00F3716C" w:rsidRDefault="005C2295" w:rsidP="00C94604">
            <w:pPr>
              <w:pStyle w:val="Reporttitle"/>
              <w:jc w:val="left"/>
              <w:rPr>
                <w:b w:val="0"/>
                <w:sz w:val="22"/>
              </w:rPr>
            </w:pPr>
            <w:r>
              <w:rPr>
                <w:b w:val="0"/>
                <w:sz w:val="22"/>
              </w:rPr>
              <w:t>The SI had been provided</w:t>
            </w:r>
            <w:r w:rsidR="00AE2359">
              <w:rPr>
                <w:b w:val="0"/>
                <w:sz w:val="22"/>
              </w:rPr>
              <w:t xml:space="preserve"> by the time CR carried out their audit,</w:t>
            </w:r>
            <w:r>
              <w:rPr>
                <w:b w:val="0"/>
                <w:sz w:val="22"/>
              </w:rPr>
              <w:t xml:space="preserve"> but no groundwater monitoring.</w:t>
            </w:r>
          </w:p>
        </w:tc>
        <w:tc>
          <w:tcPr>
            <w:tcW w:w="3092" w:type="dxa"/>
          </w:tcPr>
          <w:p w:rsidR="00C94604" w:rsidRPr="00F3716C" w:rsidRDefault="005C2295" w:rsidP="00C94604">
            <w:pPr>
              <w:pStyle w:val="Reporttitle"/>
              <w:jc w:val="left"/>
              <w:rPr>
                <w:b w:val="0"/>
                <w:sz w:val="22"/>
              </w:rPr>
            </w:pPr>
            <w:r>
              <w:rPr>
                <w:b w:val="0"/>
                <w:sz w:val="22"/>
              </w:rPr>
              <w:t>The factual SI was subsequently provided, along with some groundwater monitoring results as part of addendum BIA.</w:t>
            </w:r>
          </w:p>
        </w:tc>
      </w:tr>
      <w:tr w:rsidR="00C94604" w:rsidTr="00F63852">
        <w:tc>
          <w:tcPr>
            <w:tcW w:w="1951" w:type="dxa"/>
          </w:tcPr>
          <w:p w:rsidR="00C94604" w:rsidRPr="00F3716C" w:rsidRDefault="00C94604" w:rsidP="008913A2">
            <w:pPr>
              <w:pStyle w:val="Reporttitle"/>
              <w:numPr>
                <w:ilvl w:val="0"/>
                <w:numId w:val="2"/>
              </w:numPr>
              <w:jc w:val="left"/>
              <w:rPr>
                <w:b w:val="0"/>
                <w:sz w:val="22"/>
              </w:rPr>
            </w:pPr>
          </w:p>
        </w:tc>
        <w:tc>
          <w:tcPr>
            <w:tcW w:w="2949" w:type="dxa"/>
          </w:tcPr>
          <w:p w:rsidR="00C94604" w:rsidRPr="00F3716C" w:rsidRDefault="005C2295" w:rsidP="00C94604">
            <w:pPr>
              <w:pStyle w:val="Reporttitle"/>
              <w:jc w:val="left"/>
              <w:rPr>
                <w:b w:val="0"/>
                <w:sz w:val="22"/>
              </w:rPr>
            </w:pPr>
            <w:r>
              <w:rPr>
                <w:b w:val="0"/>
                <w:sz w:val="22"/>
              </w:rPr>
              <w:t>Groundwater flows</w:t>
            </w:r>
          </w:p>
        </w:tc>
        <w:tc>
          <w:tcPr>
            <w:tcW w:w="3092" w:type="dxa"/>
          </w:tcPr>
          <w:p w:rsidR="00C94604" w:rsidRPr="00F3716C" w:rsidRDefault="005C2295" w:rsidP="00C94604">
            <w:pPr>
              <w:pStyle w:val="Reporttitle"/>
              <w:jc w:val="left"/>
              <w:rPr>
                <w:b w:val="0"/>
                <w:sz w:val="22"/>
              </w:rPr>
            </w:pPr>
            <w:r>
              <w:rPr>
                <w:b w:val="0"/>
                <w:sz w:val="22"/>
              </w:rPr>
              <w:t xml:space="preserve">Only broad statements on surface water flows, source of water in pond and SUDS strategy. No evidence and little detail. </w:t>
            </w:r>
          </w:p>
        </w:tc>
        <w:tc>
          <w:tcPr>
            <w:tcW w:w="3091" w:type="dxa"/>
          </w:tcPr>
          <w:p w:rsidR="00C94604" w:rsidRPr="00F3716C" w:rsidRDefault="005C2295" w:rsidP="00C94604">
            <w:pPr>
              <w:pStyle w:val="Reporttitle"/>
              <w:jc w:val="left"/>
              <w:rPr>
                <w:b w:val="0"/>
                <w:sz w:val="22"/>
              </w:rPr>
            </w:pPr>
            <w:r>
              <w:rPr>
                <w:b w:val="0"/>
                <w:sz w:val="22"/>
              </w:rPr>
              <w:t>Further assessment is required to verify the impact of the development on surface water flows off site.</w:t>
            </w:r>
          </w:p>
        </w:tc>
        <w:tc>
          <w:tcPr>
            <w:tcW w:w="3092" w:type="dxa"/>
          </w:tcPr>
          <w:p w:rsidR="00C94604" w:rsidRPr="00F3716C" w:rsidRDefault="005C2295" w:rsidP="00AE2359">
            <w:pPr>
              <w:pStyle w:val="Reporttitle"/>
              <w:jc w:val="left"/>
              <w:rPr>
                <w:b w:val="0"/>
                <w:sz w:val="22"/>
              </w:rPr>
            </w:pPr>
            <w:r>
              <w:rPr>
                <w:b w:val="0"/>
                <w:sz w:val="22"/>
              </w:rPr>
              <w:t>Some further information and pl</w:t>
            </w:r>
            <w:r w:rsidR="00AE2359">
              <w:rPr>
                <w:b w:val="0"/>
                <w:sz w:val="22"/>
              </w:rPr>
              <w:t>ans showing SUDS and flow</w:t>
            </w:r>
            <w:r>
              <w:rPr>
                <w:b w:val="0"/>
                <w:sz w:val="22"/>
              </w:rPr>
              <w:t xml:space="preserve"> routes analysis provided with addendum BIA. </w:t>
            </w:r>
            <w:r w:rsidR="00AE2359">
              <w:rPr>
                <w:b w:val="0"/>
                <w:sz w:val="22"/>
              </w:rPr>
              <w:t>Any</w:t>
            </w:r>
            <w:r>
              <w:rPr>
                <w:b w:val="0"/>
                <w:sz w:val="22"/>
              </w:rPr>
              <w:t xml:space="preserve"> surface water from Fitzroy Park and parking areas is to discharge to the combined sewer. </w:t>
            </w:r>
          </w:p>
        </w:tc>
      </w:tr>
      <w:tr w:rsidR="00C94604" w:rsidTr="00F63852">
        <w:tc>
          <w:tcPr>
            <w:tcW w:w="1951" w:type="dxa"/>
          </w:tcPr>
          <w:p w:rsidR="00C94604" w:rsidRPr="00F3716C" w:rsidRDefault="00C94604" w:rsidP="008913A2">
            <w:pPr>
              <w:pStyle w:val="Reporttitle"/>
              <w:numPr>
                <w:ilvl w:val="0"/>
                <w:numId w:val="2"/>
              </w:numPr>
              <w:jc w:val="left"/>
              <w:rPr>
                <w:b w:val="0"/>
                <w:sz w:val="22"/>
              </w:rPr>
            </w:pPr>
          </w:p>
        </w:tc>
        <w:tc>
          <w:tcPr>
            <w:tcW w:w="2949" w:type="dxa"/>
          </w:tcPr>
          <w:p w:rsidR="00C94604" w:rsidRPr="00F3716C" w:rsidRDefault="002C344D" w:rsidP="00C94604">
            <w:pPr>
              <w:pStyle w:val="Reporttitle"/>
              <w:jc w:val="left"/>
              <w:rPr>
                <w:b w:val="0"/>
                <w:sz w:val="22"/>
              </w:rPr>
            </w:pPr>
            <w:r>
              <w:rPr>
                <w:b w:val="0"/>
                <w:sz w:val="22"/>
              </w:rPr>
              <w:t>Pr</w:t>
            </w:r>
            <w:r w:rsidR="00AE2359">
              <w:rPr>
                <w:b w:val="0"/>
                <w:sz w:val="22"/>
              </w:rPr>
              <w:t xml:space="preserve">oposed pipe below </w:t>
            </w:r>
            <w:proofErr w:type="spellStart"/>
            <w:r w:rsidR="00AE2359">
              <w:rPr>
                <w:b w:val="0"/>
                <w:sz w:val="22"/>
              </w:rPr>
              <w:t>Millfield</w:t>
            </w:r>
            <w:proofErr w:type="spellEnd"/>
            <w:r w:rsidR="00AE2359">
              <w:rPr>
                <w:b w:val="0"/>
                <w:sz w:val="22"/>
              </w:rPr>
              <w:t xml:space="preserve"> Lane</w:t>
            </w:r>
            <w:r>
              <w:rPr>
                <w:b w:val="0"/>
                <w:sz w:val="22"/>
              </w:rPr>
              <w:t xml:space="preserve"> to feed Nature Reserve</w:t>
            </w:r>
          </w:p>
        </w:tc>
        <w:tc>
          <w:tcPr>
            <w:tcW w:w="3092" w:type="dxa"/>
          </w:tcPr>
          <w:p w:rsidR="00C94604" w:rsidRPr="00F3716C" w:rsidRDefault="002C344D" w:rsidP="00C94604">
            <w:pPr>
              <w:pStyle w:val="Reporttitle"/>
              <w:jc w:val="left"/>
              <w:rPr>
                <w:b w:val="0"/>
                <w:sz w:val="22"/>
              </w:rPr>
            </w:pPr>
            <w:r>
              <w:rPr>
                <w:b w:val="0"/>
                <w:sz w:val="22"/>
              </w:rPr>
              <w:t xml:space="preserve">No details provided and could disrupt existing water regime. </w:t>
            </w:r>
          </w:p>
        </w:tc>
        <w:tc>
          <w:tcPr>
            <w:tcW w:w="3091" w:type="dxa"/>
          </w:tcPr>
          <w:p w:rsidR="00C94604" w:rsidRPr="00F3716C" w:rsidRDefault="002C344D" w:rsidP="00AE2359">
            <w:pPr>
              <w:pStyle w:val="Reporttitle"/>
              <w:jc w:val="left"/>
              <w:rPr>
                <w:b w:val="0"/>
                <w:sz w:val="22"/>
              </w:rPr>
            </w:pPr>
            <w:r>
              <w:rPr>
                <w:b w:val="0"/>
                <w:sz w:val="22"/>
              </w:rPr>
              <w:t xml:space="preserve">CR </w:t>
            </w:r>
            <w:proofErr w:type="gramStart"/>
            <w:r>
              <w:rPr>
                <w:b w:val="0"/>
                <w:sz w:val="22"/>
              </w:rPr>
              <w:t>were</w:t>
            </w:r>
            <w:proofErr w:type="gramEnd"/>
            <w:r>
              <w:rPr>
                <w:b w:val="0"/>
                <w:sz w:val="22"/>
              </w:rPr>
              <w:t xml:space="preserve"> </w:t>
            </w:r>
            <w:r w:rsidR="00CC169C">
              <w:rPr>
                <w:b w:val="0"/>
                <w:sz w:val="22"/>
              </w:rPr>
              <w:t xml:space="preserve">wrongly </w:t>
            </w:r>
            <w:r>
              <w:rPr>
                <w:b w:val="0"/>
                <w:sz w:val="22"/>
              </w:rPr>
              <w:t xml:space="preserve">under </w:t>
            </w:r>
            <w:r w:rsidR="00AE2359">
              <w:rPr>
                <w:b w:val="0"/>
                <w:sz w:val="22"/>
              </w:rPr>
              <w:t>impression</w:t>
            </w:r>
            <w:r>
              <w:rPr>
                <w:b w:val="0"/>
                <w:sz w:val="22"/>
              </w:rPr>
              <w:t xml:space="preserve"> there was an existing pipe under </w:t>
            </w:r>
            <w:proofErr w:type="spellStart"/>
            <w:r>
              <w:rPr>
                <w:b w:val="0"/>
                <w:sz w:val="22"/>
              </w:rPr>
              <w:t>Millfield</w:t>
            </w:r>
            <w:proofErr w:type="spellEnd"/>
            <w:r>
              <w:rPr>
                <w:b w:val="0"/>
                <w:sz w:val="22"/>
              </w:rPr>
              <w:t xml:space="preserve"> Lane. </w:t>
            </w:r>
          </w:p>
        </w:tc>
        <w:tc>
          <w:tcPr>
            <w:tcW w:w="3092" w:type="dxa"/>
          </w:tcPr>
          <w:p w:rsidR="00C94604" w:rsidRPr="00F3716C" w:rsidRDefault="002C344D" w:rsidP="007F76B8">
            <w:pPr>
              <w:pStyle w:val="Reporttitle"/>
              <w:jc w:val="left"/>
              <w:rPr>
                <w:b w:val="0"/>
                <w:sz w:val="22"/>
              </w:rPr>
            </w:pPr>
            <w:r>
              <w:rPr>
                <w:b w:val="0"/>
                <w:sz w:val="22"/>
              </w:rPr>
              <w:t xml:space="preserve">The addendum BIA indicates that flows from the SUDS </w:t>
            </w:r>
            <w:r w:rsidR="007F76B8">
              <w:rPr>
                <w:b w:val="0"/>
                <w:sz w:val="22"/>
              </w:rPr>
              <w:t>swale</w:t>
            </w:r>
            <w:r>
              <w:rPr>
                <w:b w:val="0"/>
                <w:sz w:val="22"/>
              </w:rPr>
              <w:t xml:space="preserve"> at the boundary will discharge across </w:t>
            </w:r>
            <w:proofErr w:type="spellStart"/>
            <w:r>
              <w:rPr>
                <w:b w:val="0"/>
                <w:sz w:val="22"/>
              </w:rPr>
              <w:t>Millfield</w:t>
            </w:r>
            <w:proofErr w:type="spellEnd"/>
            <w:r>
              <w:rPr>
                <w:b w:val="0"/>
                <w:sz w:val="22"/>
              </w:rPr>
              <w:t xml:space="preserve"> Lane. The discharge rate is to be agreed </w:t>
            </w:r>
            <w:r>
              <w:rPr>
                <w:b w:val="0"/>
                <w:sz w:val="22"/>
              </w:rPr>
              <w:lastRenderedPageBreak/>
              <w:t xml:space="preserve">with </w:t>
            </w:r>
            <w:proofErr w:type="spellStart"/>
            <w:r>
              <w:rPr>
                <w:b w:val="0"/>
                <w:sz w:val="22"/>
              </w:rPr>
              <w:t>CoL.</w:t>
            </w:r>
            <w:proofErr w:type="spellEnd"/>
            <w:r w:rsidR="00846B7B">
              <w:rPr>
                <w:b w:val="0"/>
                <w:sz w:val="22"/>
              </w:rPr>
              <w:t xml:space="preserve"> </w:t>
            </w:r>
            <w:r w:rsidR="00AE2359">
              <w:rPr>
                <w:b w:val="0"/>
                <w:sz w:val="22"/>
              </w:rPr>
              <w:t>C</w:t>
            </w:r>
            <w:r w:rsidR="00846B7B">
              <w:rPr>
                <w:b w:val="0"/>
                <w:sz w:val="22"/>
              </w:rPr>
              <w:t>R</w:t>
            </w:r>
            <w:bookmarkStart w:id="0" w:name="_GoBack"/>
            <w:bookmarkEnd w:id="0"/>
            <w:r w:rsidR="00AE2359">
              <w:rPr>
                <w:b w:val="0"/>
                <w:sz w:val="22"/>
              </w:rPr>
              <w:t xml:space="preserve"> have indicated this falls outside the BIA and audit.</w:t>
            </w:r>
            <w:r w:rsidR="00CC169C">
              <w:rPr>
                <w:b w:val="0"/>
                <w:sz w:val="22"/>
              </w:rPr>
              <w:t xml:space="preserve"> However It remains as a significant concern to </w:t>
            </w:r>
            <w:proofErr w:type="spellStart"/>
            <w:r w:rsidR="00CC169C">
              <w:rPr>
                <w:b w:val="0"/>
                <w:sz w:val="22"/>
              </w:rPr>
              <w:t>CoL.</w:t>
            </w:r>
            <w:proofErr w:type="spellEnd"/>
          </w:p>
        </w:tc>
      </w:tr>
      <w:tr w:rsidR="00C94604" w:rsidTr="00F63852">
        <w:tc>
          <w:tcPr>
            <w:tcW w:w="1951" w:type="dxa"/>
          </w:tcPr>
          <w:p w:rsidR="00C94604" w:rsidRPr="00F3716C" w:rsidRDefault="00C94604" w:rsidP="008913A2">
            <w:pPr>
              <w:pStyle w:val="Reporttitle"/>
              <w:numPr>
                <w:ilvl w:val="0"/>
                <w:numId w:val="2"/>
              </w:numPr>
              <w:jc w:val="left"/>
              <w:rPr>
                <w:b w:val="0"/>
                <w:sz w:val="22"/>
              </w:rPr>
            </w:pPr>
          </w:p>
        </w:tc>
        <w:tc>
          <w:tcPr>
            <w:tcW w:w="2949" w:type="dxa"/>
          </w:tcPr>
          <w:p w:rsidR="00C94604" w:rsidRPr="00F3716C" w:rsidRDefault="002C344D" w:rsidP="00C94604">
            <w:pPr>
              <w:pStyle w:val="Reporttitle"/>
              <w:jc w:val="left"/>
              <w:rPr>
                <w:b w:val="0"/>
                <w:sz w:val="22"/>
              </w:rPr>
            </w:pPr>
            <w:r>
              <w:rPr>
                <w:b w:val="0"/>
                <w:sz w:val="22"/>
              </w:rPr>
              <w:t>Existing/proposed s</w:t>
            </w:r>
            <w:r w:rsidR="00AE2359">
              <w:rPr>
                <w:b w:val="0"/>
                <w:sz w:val="22"/>
              </w:rPr>
              <w:t>urface and foul water proposals</w:t>
            </w:r>
          </w:p>
        </w:tc>
        <w:tc>
          <w:tcPr>
            <w:tcW w:w="3092" w:type="dxa"/>
          </w:tcPr>
          <w:p w:rsidR="00C94604" w:rsidRPr="00F3716C" w:rsidRDefault="002C344D" w:rsidP="00C94604">
            <w:pPr>
              <w:pStyle w:val="Reporttitle"/>
              <w:jc w:val="left"/>
              <w:rPr>
                <w:b w:val="0"/>
                <w:sz w:val="22"/>
              </w:rPr>
            </w:pPr>
            <w:r>
              <w:rPr>
                <w:b w:val="0"/>
                <w:sz w:val="22"/>
              </w:rPr>
              <w:t>No information on existing combined sewer, foul sewer (under tennis court) or possible connection to Kenwood sewer.</w:t>
            </w:r>
          </w:p>
        </w:tc>
        <w:tc>
          <w:tcPr>
            <w:tcW w:w="3091" w:type="dxa"/>
          </w:tcPr>
          <w:p w:rsidR="00C94604" w:rsidRPr="00F3716C" w:rsidRDefault="002C344D" w:rsidP="00C94604">
            <w:pPr>
              <w:pStyle w:val="Reporttitle"/>
              <w:jc w:val="left"/>
              <w:rPr>
                <w:b w:val="0"/>
                <w:sz w:val="22"/>
              </w:rPr>
            </w:pPr>
            <w:r>
              <w:rPr>
                <w:b w:val="0"/>
                <w:sz w:val="22"/>
              </w:rPr>
              <w:t xml:space="preserve">Insufficient information supplied to allow changes to surface water treatment to be assessed. It should be confirmed that the tennis court drains to the sewer network. </w:t>
            </w:r>
          </w:p>
        </w:tc>
        <w:tc>
          <w:tcPr>
            <w:tcW w:w="3092" w:type="dxa"/>
          </w:tcPr>
          <w:p w:rsidR="00C94604" w:rsidRPr="00F3716C" w:rsidRDefault="007F76B8" w:rsidP="00C94604">
            <w:pPr>
              <w:pStyle w:val="Reporttitle"/>
              <w:jc w:val="left"/>
              <w:rPr>
                <w:b w:val="0"/>
                <w:sz w:val="22"/>
              </w:rPr>
            </w:pPr>
            <w:r>
              <w:rPr>
                <w:b w:val="0"/>
                <w:sz w:val="22"/>
              </w:rPr>
              <w:t xml:space="preserve">Further proposals and existing details of the combined sewer in Fitzroy Park have been provided. Still no details have been provided on foul water. </w:t>
            </w:r>
          </w:p>
        </w:tc>
      </w:tr>
      <w:tr w:rsidR="00C94604" w:rsidTr="00F63852">
        <w:tc>
          <w:tcPr>
            <w:tcW w:w="1951" w:type="dxa"/>
          </w:tcPr>
          <w:p w:rsidR="00C94604" w:rsidRPr="00F3716C" w:rsidRDefault="00C94604" w:rsidP="008913A2">
            <w:pPr>
              <w:pStyle w:val="Reporttitle"/>
              <w:numPr>
                <w:ilvl w:val="0"/>
                <w:numId w:val="2"/>
              </w:numPr>
              <w:jc w:val="left"/>
              <w:rPr>
                <w:b w:val="0"/>
                <w:sz w:val="22"/>
              </w:rPr>
            </w:pPr>
          </w:p>
        </w:tc>
        <w:tc>
          <w:tcPr>
            <w:tcW w:w="2949" w:type="dxa"/>
          </w:tcPr>
          <w:p w:rsidR="00C94604" w:rsidRPr="00F3716C" w:rsidRDefault="007F76B8" w:rsidP="00C94604">
            <w:pPr>
              <w:pStyle w:val="Reporttitle"/>
              <w:jc w:val="left"/>
              <w:rPr>
                <w:b w:val="0"/>
                <w:sz w:val="22"/>
              </w:rPr>
            </w:pPr>
            <w:r>
              <w:rPr>
                <w:b w:val="0"/>
                <w:sz w:val="22"/>
              </w:rPr>
              <w:t>Depth/extent of Excavations</w:t>
            </w:r>
          </w:p>
        </w:tc>
        <w:tc>
          <w:tcPr>
            <w:tcW w:w="3092" w:type="dxa"/>
          </w:tcPr>
          <w:p w:rsidR="00C94604" w:rsidRPr="00F3716C" w:rsidRDefault="007F76B8" w:rsidP="00C94604">
            <w:pPr>
              <w:pStyle w:val="Reporttitle"/>
              <w:jc w:val="left"/>
              <w:rPr>
                <w:b w:val="0"/>
                <w:sz w:val="22"/>
              </w:rPr>
            </w:pPr>
            <w:r>
              <w:rPr>
                <w:b w:val="0"/>
                <w:sz w:val="22"/>
              </w:rPr>
              <w:t>Only schematic sketches and statements provided, with no details.</w:t>
            </w:r>
          </w:p>
        </w:tc>
        <w:tc>
          <w:tcPr>
            <w:tcW w:w="3091" w:type="dxa"/>
          </w:tcPr>
          <w:p w:rsidR="00C94604" w:rsidRPr="00F3716C" w:rsidRDefault="007F76B8" w:rsidP="00C94604">
            <w:pPr>
              <w:pStyle w:val="Reporttitle"/>
              <w:jc w:val="left"/>
              <w:rPr>
                <w:b w:val="0"/>
                <w:sz w:val="22"/>
              </w:rPr>
            </w:pPr>
            <w:r>
              <w:rPr>
                <w:b w:val="0"/>
                <w:sz w:val="22"/>
              </w:rPr>
              <w:t xml:space="preserve">Excavations will extend below the groundwater and the water level in the pond and the need for dewatering should be clarified. </w:t>
            </w:r>
          </w:p>
        </w:tc>
        <w:tc>
          <w:tcPr>
            <w:tcW w:w="3092" w:type="dxa"/>
          </w:tcPr>
          <w:p w:rsidR="00C94604" w:rsidRPr="00F3716C" w:rsidRDefault="007F76B8" w:rsidP="00F63852">
            <w:pPr>
              <w:pStyle w:val="Reporttitle"/>
              <w:jc w:val="left"/>
              <w:rPr>
                <w:b w:val="0"/>
                <w:sz w:val="22"/>
              </w:rPr>
            </w:pPr>
            <w:r>
              <w:rPr>
                <w:b w:val="0"/>
                <w:sz w:val="22"/>
              </w:rPr>
              <w:t xml:space="preserve">Some further </w:t>
            </w:r>
            <w:r w:rsidR="00AE2359">
              <w:rPr>
                <w:b w:val="0"/>
                <w:sz w:val="22"/>
              </w:rPr>
              <w:t xml:space="preserve">schematic </w:t>
            </w:r>
            <w:r>
              <w:rPr>
                <w:b w:val="0"/>
                <w:sz w:val="22"/>
              </w:rPr>
              <w:t>sections for plots 1-3 pr</w:t>
            </w:r>
            <w:r w:rsidR="00AE2359">
              <w:rPr>
                <w:b w:val="0"/>
                <w:sz w:val="22"/>
              </w:rPr>
              <w:t xml:space="preserve">ovided as part of BIA addendum. CR </w:t>
            </w:r>
            <w:proofErr w:type="gramStart"/>
            <w:r w:rsidR="00AE2359">
              <w:rPr>
                <w:b w:val="0"/>
                <w:sz w:val="22"/>
              </w:rPr>
              <w:t>have</w:t>
            </w:r>
            <w:proofErr w:type="gramEnd"/>
            <w:r w:rsidR="00AE2359">
              <w:rPr>
                <w:b w:val="0"/>
                <w:sz w:val="22"/>
              </w:rPr>
              <w:t xml:space="preserve"> acknowledged excavations up to 2.5m deep. There is no mention of temporary dewatering and CR </w:t>
            </w:r>
            <w:proofErr w:type="gramStart"/>
            <w:r w:rsidR="00AE2359">
              <w:rPr>
                <w:b w:val="0"/>
                <w:sz w:val="22"/>
              </w:rPr>
              <w:t>have</w:t>
            </w:r>
            <w:proofErr w:type="gramEnd"/>
            <w:r w:rsidR="00AE2359">
              <w:rPr>
                <w:b w:val="0"/>
                <w:sz w:val="22"/>
              </w:rPr>
              <w:t xml:space="preserve"> accepted </w:t>
            </w:r>
            <w:r w:rsidR="00F63852">
              <w:rPr>
                <w:b w:val="0"/>
                <w:sz w:val="22"/>
              </w:rPr>
              <w:t>the</w:t>
            </w:r>
            <w:r w:rsidR="00AE2359">
              <w:rPr>
                <w:b w:val="0"/>
                <w:sz w:val="22"/>
              </w:rPr>
              <w:t xml:space="preserve"> measures proposed to mitigate the effects of flooding.</w:t>
            </w:r>
          </w:p>
        </w:tc>
      </w:tr>
      <w:tr w:rsidR="00C94604" w:rsidTr="00F63852">
        <w:tc>
          <w:tcPr>
            <w:tcW w:w="1951" w:type="dxa"/>
          </w:tcPr>
          <w:p w:rsidR="00C94604" w:rsidRPr="00F3716C" w:rsidRDefault="00C94604" w:rsidP="008913A2">
            <w:pPr>
              <w:pStyle w:val="Reporttitle"/>
              <w:numPr>
                <w:ilvl w:val="0"/>
                <w:numId w:val="2"/>
              </w:numPr>
              <w:jc w:val="left"/>
              <w:rPr>
                <w:b w:val="0"/>
                <w:sz w:val="22"/>
              </w:rPr>
            </w:pPr>
          </w:p>
        </w:tc>
        <w:tc>
          <w:tcPr>
            <w:tcW w:w="2949" w:type="dxa"/>
          </w:tcPr>
          <w:p w:rsidR="00C94604" w:rsidRPr="00F3716C" w:rsidRDefault="007F76B8" w:rsidP="00C94604">
            <w:pPr>
              <w:pStyle w:val="Reporttitle"/>
              <w:jc w:val="left"/>
              <w:rPr>
                <w:b w:val="0"/>
                <w:sz w:val="22"/>
              </w:rPr>
            </w:pPr>
            <w:r>
              <w:rPr>
                <w:b w:val="0"/>
                <w:sz w:val="22"/>
              </w:rPr>
              <w:t>Slope stability</w:t>
            </w:r>
          </w:p>
        </w:tc>
        <w:tc>
          <w:tcPr>
            <w:tcW w:w="3092" w:type="dxa"/>
          </w:tcPr>
          <w:p w:rsidR="00C94604" w:rsidRPr="00F3716C" w:rsidRDefault="007F76B8" w:rsidP="00C94604">
            <w:pPr>
              <w:pStyle w:val="Reporttitle"/>
              <w:jc w:val="left"/>
              <w:rPr>
                <w:b w:val="0"/>
                <w:sz w:val="22"/>
              </w:rPr>
            </w:pPr>
            <w:r>
              <w:rPr>
                <w:b w:val="0"/>
                <w:sz w:val="22"/>
              </w:rPr>
              <w:t xml:space="preserve">No drawings, details of calculations provided of proposals. Unclear whether reliance on existing retaining wall to Fitzroy Park. </w:t>
            </w:r>
          </w:p>
        </w:tc>
        <w:tc>
          <w:tcPr>
            <w:tcW w:w="3091" w:type="dxa"/>
          </w:tcPr>
          <w:p w:rsidR="00C94604" w:rsidRPr="00F3716C" w:rsidRDefault="007F76B8" w:rsidP="00C94604">
            <w:pPr>
              <w:pStyle w:val="Reporttitle"/>
              <w:jc w:val="left"/>
              <w:rPr>
                <w:b w:val="0"/>
                <w:sz w:val="22"/>
              </w:rPr>
            </w:pPr>
            <w:r>
              <w:rPr>
                <w:b w:val="0"/>
                <w:sz w:val="22"/>
              </w:rPr>
              <w:t xml:space="preserve">Outline </w:t>
            </w:r>
            <w:proofErr w:type="gramStart"/>
            <w:r>
              <w:rPr>
                <w:b w:val="0"/>
                <w:sz w:val="22"/>
              </w:rPr>
              <w:t>designs of retaining walls (including temporary structures) is</w:t>
            </w:r>
            <w:proofErr w:type="gramEnd"/>
            <w:r>
              <w:rPr>
                <w:b w:val="0"/>
                <w:sz w:val="22"/>
              </w:rPr>
              <w:t xml:space="preserve"> required along with confirmation ground movements will not affect surrounding roads or the pond. </w:t>
            </w:r>
          </w:p>
        </w:tc>
        <w:tc>
          <w:tcPr>
            <w:tcW w:w="3092" w:type="dxa"/>
          </w:tcPr>
          <w:p w:rsidR="00C94604" w:rsidRPr="00F3716C" w:rsidRDefault="007F76B8" w:rsidP="00C94604">
            <w:pPr>
              <w:pStyle w:val="Reporttitle"/>
              <w:jc w:val="left"/>
              <w:rPr>
                <w:b w:val="0"/>
                <w:sz w:val="22"/>
              </w:rPr>
            </w:pPr>
            <w:r>
              <w:rPr>
                <w:b w:val="0"/>
                <w:sz w:val="22"/>
              </w:rPr>
              <w:t>A technical not</w:t>
            </w:r>
            <w:r w:rsidR="00AE2359">
              <w:rPr>
                <w:b w:val="0"/>
                <w:sz w:val="22"/>
              </w:rPr>
              <w:t>e</w:t>
            </w:r>
            <w:r>
              <w:rPr>
                <w:b w:val="0"/>
                <w:sz w:val="22"/>
              </w:rPr>
              <w:t xml:space="preserve"> provided (appendix 3 of CR final audit) which shows basement to plot 3</w:t>
            </w:r>
            <w:r w:rsidR="009E3E26">
              <w:rPr>
                <w:b w:val="0"/>
                <w:sz w:val="22"/>
              </w:rPr>
              <w:t xml:space="preserve"> moved back away from the road and that excavations for plots 1 and 2 should not undermine the boundary.</w:t>
            </w:r>
            <w:r w:rsidR="00AE2359">
              <w:rPr>
                <w:b w:val="0"/>
                <w:sz w:val="22"/>
              </w:rPr>
              <w:t xml:space="preserve"> CR </w:t>
            </w:r>
            <w:proofErr w:type="gramStart"/>
            <w:r w:rsidR="00AE2359">
              <w:rPr>
                <w:b w:val="0"/>
                <w:sz w:val="22"/>
              </w:rPr>
              <w:t>have</w:t>
            </w:r>
            <w:proofErr w:type="gramEnd"/>
            <w:r w:rsidR="00AE2359">
              <w:rPr>
                <w:b w:val="0"/>
                <w:sz w:val="22"/>
              </w:rPr>
              <w:t xml:space="preserve"> accepted statements that there is negligible impact.</w:t>
            </w:r>
          </w:p>
        </w:tc>
      </w:tr>
      <w:tr w:rsidR="00C94604" w:rsidTr="00F63852">
        <w:tc>
          <w:tcPr>
            <w:tcW w:w="1951" w:type="dxa"/>
          </w:tcPr>
          <w:p w:rsidR="00C94604" w:rsidRPr="00F3716C" w:rsidRDefault="00C94604" w:rsidP="008913A2">
            <w:pPr>
              <w:pStyle w:val="Reporttitle"/>
              <w:numPr>
                <w:ilvl w:val="0"/>
                <w:numId w:val="2"/>
              </w:numPr>
              <w:jc w:val="left"/>
              <w:rPr>
                <w:b w:val="0"/>
                <w:sz w:val="22"/>
              </w:rPr>
            </w:pPr>
          </w:p>
        </w:tc>
        <w:tc>
          <w:tcPr>
            <w:tcW w:w="2949" w:type="dxa"/>
          </w:tcPr>
          <w:p w:rsidR="00C94604" w:rsidRPr="00F3716C" w:rsidRDefault="005973A4" w:rsidP="00C94604">
            <w:pPr>
              <w:pStyle w:val="Reporttitle"/>
              <w:jc w:val="left"/>
              <w:rPr>
                <w:b w:val="0"/>
                <w:sz w:val="22"/>
              </w:rPr>
            </w:pPr>
            <w:r>
              <w:rPr>
                <w:b w:val="0"/>
                <w:sz w:val="22"/>
              </w:rPr>
              <w:t xml:space="preserve">Damage </w:t>
            </w:r>
            <w:r w:rsidR="003A025B">
              <w:rPr>
                <w:b w:val="0"/>
                <w:sz w:val="22"/>
              </w:rPr>
              <w:t>Assessment</w:t>
            </w:r>
          </w:p>
        </w:tc>
        <w:tc>
          <w:tcPr>
            <w:tcW w:w="3092" w:type="dxa"/>
          </w:tcPr>
          <w:p w:rsidR="00C94604" w:rsidRPr="00F3716C" w:rsidRDefault="005973A4" w:rsidP="00C94604">
            <w:pPr>
              <w:pStyle w:val="Reporttitle"/>
              <w:jc w:val="left"/>
              <w:rPr>
                <w:b w:val="0"/>
                <w:sz w:val="22"/>
              </w:rPr>
            </w:pPr>
            <w:r>
              <w:rPr>
                <w:b w:val="0"/>
                <w:sz w:val="22"/>
              </w:rPr>
              <w:t>No PDAs carried out although risk of movements which could impact carriageway.</w:t>
            </w:r>
          </w:p>
        </w:tc>
        <w:tc>
          <w:tcPr>
            <w:tcW w:w="3091" w:type="dxa"/>
          </w:tcPr>
          <w:p w:rsidR="00C94604" w:rsidRPr="00F3716C" w:rsidRDefault="005973A4" w:rsidP="00C94604">
            <w:pPr>
              <w:pStyle w:val="Reporttitle"/>
              <w:jc w:val="left"/>
              <w:rPr>
                <w:b w:val="0"/>
                <w:sz w:val="22"/>
              </w:rPr>
            </w:pPr>
            <w:r>
              <w:rPr>
                <w:b w:val="0"/>
                <w:sz w:val="22"/>
              </w:rPr>
              <w:t xml:space="preserve">See 7. </w:t>
            </w:r>
            <w:proofErr w:type="gramStart"/>
            <w:r>
              <w:rPr>
                <w:b w:val="0"/>
                <w:sz w:val="22"/>
              </w:rPr>
              <w:t>above</w:t>
            </w:r>
            <w:proofErr w:type="gramEnd"/>
            <w:r>
              <w:rPr>
                <w:b w:val="0"/>
                <w:sz w:val="22"/>
              </w:rPr>
              <w:t>. Mitigation measures are required.</w:t>
            </w:r>
          </w:p>
        </w:tc>
        <w:tc>
          <w:tcPr>
            <w:tcW w:w="3092" w:type="dxa"/>
          </w:tcPr>
          <w:p w:rsidR="00C94604" w:rsidRPr="00F3716C" w:rsidRDefault="005973A4" w:rsidP="00C94604">
            <w:pPr>
              <w:pStyle w:val="Reporttitle"/>
              <w:jc w:val="left"/>
              <w:rPr>
                <w:b w:val="0"/>
                <w:sz w:val="22"/>
              </w:rPr>
            </w:pPr>
            <w:r>
              <w:rPr>
                <w:b w:val="0"/>
                <w:sz w:val="22"/>
              </w:rPr>
              <w:t xml:space="preserve">CR </w:t>
            </w:r>
            <w:proofErr w:type="gramStart"/>
            <w:r>
              <w:rPr>
                <w:b w:val="0"/>
                <w:sz w:val="22"/>
              </w:rPr>
              <w:t>have</w:t>
            </w:r>
            <w:proofErr w:type="gramEnd"/>
            <w:r>
              <w:rPr>
                <w:b w:val="0"/>
                <w:sz w:val="22"/>
              </w:rPr>
              <w:t xml:space="preserve"> accepted based on appendix 3, that no PDAs required to retaining wall. </w:t>
            </w:r>
          </w:p>
        </w:tc>
      </w:tr>
      <w:tr w:rsidR="00C94604" w:rsidTr="00F63852">
        <w:tc>
          <w:tcPr>
            <w:tcW w:w="1951" w:type="dxa"/>
          </w:tcPr>
          <w:p w:rsidR="00C94604" w:rsidRPr="00F3716C" w:rsidRDefault="00C94604" w:rsidP="008913A2">
            <w:pPr>
              <w:pStyle w:val="Reporttitle"/>
              <w:numPr>
                <w:ilvl w:val="0"/>
                <w:numId w:val="2"/>
              </w:numPr>
              <w:jc w:val="left"/>
              <w:rPr>
                <w:b w:val="0"/>
                <w:sz w:val="22"/>
              </w:rPr>
            </w:pPr>
          </w:p>
        </w:tc>
        <w:tc>
          <w:tcPr>
            <w:tcW w:w="2949" w:type="dxa"/>
          </w:tcPr>
          <w:p w:rsidR="00C94604" w:rsidRPr="00F3716C" w:rsidRDefault="003A025B" w:rsidP="00C94604">
            <w:pPr>
              <w:pStyle w:val="Reporttitle"/>
              <w:jc w:val="left"/>
              <w:rPr>
                <w:b w:val="0"/>
                <w:sz w:val="22"/>
              </w:rPr>
            </w:pPr>
            <w:r>
              <w:rPr>
                <w:b w:val="0"/>
                <w:sz w:val="22"/>
              </w:rPr>
              <w:t xml:space="preserve">Material volumes/HGV manoeuvres </w:t>
            </w:r>
          </w:p>
        </w:tc>
        <w:tc>
          <w:tcPr>
            <w:tcW w:w="3092" w:type="dxa"/>
          </w:tcPr>
          <w:p w:rsidR="00C94604" w:rsidRPr="00F3716C" w:rsidRDefault="003A025B" w:rsidP="00C94604">
            <w:pPr>
              <w:pStyle w:val="Reporttitle"/>
              <w:jc w:val="left"/>
              <w:rPr>
                <w:b w:val="0"/>
                <w:sz w:val="22"/>
              </w:rPr>
            </w:pPr>
            <w:r>
              <w:rPr>
                <w:b w:val="0"/>
                <w:sz w:val="22"/>
              </w:rPr>
              <w:t>Contradictory statements and no cumulative assessments.</w:t>
            </w:r>
          </w:p>
        </w:tc>
        <w:tc>
          <w:tcPr>
            <w:tcW w:w="3091" w:type="dxa"/>
          </w:tcPr>
          <w:p w:rsidR="00C94604" w:rsidRPr="00F3716C" w:rsidRDefault="003A025B" w:rsidP="00C94604">
            <w:pPr>
              <w:pStyle w:val="Reporttitle"/>
              <w:jc w:val="left"/>
              <w:rPr>
                <w:b w:val="0"/>
                <w:sz w:val="22"/>
              </w:rPr>
            </w:pPr>
            <w:r>
              <w:rPr>
                <w:b w:val="0"/>
                <w:sz w:val="22"/>
              </w:rPr>
              <w:t>Not considered in audit.</w:t>
            </w:r>
          </w:p>
        </w:tc>
        <w:tc>
          <w:tcPr>
            <w:tcW w:w="3092" w:type="dxa"/>
          </w:tcPr>
          <w:p w:rsidR="00C94604" w:rsidRPr="00F3716C" w:rsidRDefault="003A025B" w:rsidP="00C94604">
            <w:pPr>
              <w:pStyle w:val="Reporttitle"/>
              <w:jc w:val="left"/>
              <w:rPr>
                <w:b w:val="0"/>
                <w:sz w:val="22"/>
              </w:rPr>
            </w:pPr>
            <w:r>
              <w:rPr>
                <w:b w:val="0"/>
                <w:sz w:val="22"/>
              </w:rPr>
              <w:t>Outside scope of BIA, but queries remain.</w:t>
            </w:r>
          </w:p>
        </w:tc>
      </w:tr>
      <w:tr w:rsidR="00C94604" w:rsidTr="00F63852">
        <w:tc>
          <w:tcPr>
            <w:tcW w:w="1951" w:type="dxa"/>
          </w:tcPr>
          <w:p w:rsidR="00C94604" w:rsidRPr="00F3716C" w:rsidRDefault="00C94604" w:rsidP="008913A2">
            <w:pPr>
              <w:pStyle w:val="Reporttitle"/>
              <w:numPr>
                <w:ilvl w:val="0"/>
                <w:numId w:val="2"/>
              </w:numPr>
              <w:jc w:val="left"/>
              <w:rPr>
                <w:b w:val="0"/>
                <w:sz w:val="22"/>
              </w:rPr>
            </w:pPr>
          </w:p>
        </w:tc>
        <w:tc>
          <w:tcPr>
            <w:tcW w:w="2949" w:type="dxa"/>
          </w:tcPr>
          <w:p w:rsidR="00C94604" w:rsidRPr="00F3716C" w:rsidRDefault="003A025B" w:rsidP="00C94604">
            <w:pPr>
              <w:pStyle w:val="Reporttitle"/>
              <w:jc w:val="left"/>
              <w:rPr>
                <w:b w:val="0"/>
                <w:sz w:val="22"/>
              </w:rPr>
            </w:pPr>
            <w:r>
              <w:rPr>
                <w:b w:val="0"/>
                <w:sz w:val="22"/>
              </w:rPr>
              <w:t>Cumulative hydrogeological and hydrological impacts</w:t>
            </w:r>
          </w:p>
        </w:tc>
        <w:tc>
          <w:tcPr>
            <w:tcW w:w="3092" w:type="dxa"/>
          </w:tcPr>
          <w:p w:rsidR="00C94604" w:rsidRPr="00F3716C" w:rsidRDefault="003A025B" w:rsidP="00C94604">
            <w:pPr>
              <w:pStyle w:val="Reporttitle"/>
              <w:jc w:val="left"/>
              <w:rPr>
                <w:b w:val="0"/>
                <w:sz w:val="22"/>
              </w:rPr>
            </w:pPr>
            <w:r>
              <w:rPr>
                <w:b w:val="0"/>
                <w:sz w:val="22"/>
              </w:rPr>
              <w:t>No cumulative assessments of impacts in relation to neighbouring properties.</w:t>
            </w:r>
          </w:p>
        </w:tc>
        <w:tc>
          <w:tcPr>
            <w:tcW w:w="3091" w:type="dxa"/>
          </w:tcPr>
          <w:p w:rsidR="00C94604" w:rsidRPr="00F3716C" w:rsidRDefault="00540BFF" w:rsidP="00C94604">
            <w:pPr>
              <w:pStyle w:val="Reporttitle"/>
              <w:jc w:val="left"/>
              <w:rPr>
                <w:b w:val="0"/>
                <w:sz w:val="22"/>
              </w:rPr>
            </w:pPr>
            <w:r>
              <w:rPr>
                <w:b w:val="0"/>
                <w:sz w:val="22"/>
              </w:rPr>
              <w:t xml:space="preserve">Cumulative impact of the various changes to surface water flows requires further detail. </w:t>
            </w:r>
          </w:p>
        </w:tc>
        <w:tc>
          <w:tcPr>
            <w:tcW w:w="3092" w:type="dxa"/>
          </w:tcPr>
          <w:p w:rsidR="00C94604" w:rsidRPr="00F3716C" w:rsidRDefault="00540BFF" w:rsidP="00C94604">
            <w:pPr>
              <w:pStyle w:val="Reporttitle"/>
              <w:jc w:val="left"/>
              <w:rPr>
                <w:b w:val="0"/>
                <w:sz w:val="22"/>
              </w:rPr>
            </w:pPr>
            <w:r>
              <w:rPr>
                <w:b w:val="0"/>
                <w:sz w:val="22"/>
              </w:rPr>
              <w:t>Still no cumulative assessment has been undertaken to assess the impact in conjunction with basement construction at 51 and 53 Fitzroy Park.</w:t>
            </w:r>
            <w:r w:rsidR="00AE2359">
              <w:rPr>
                <w:b w:val="0"/>
                <w:sz w:val="22"/>
              </w:rPr>
              <w:t xml:space="preserve"> CR </w:t>
            </w:r>
            <w:proofErr w:type="gramStart"/>
            <w:r w:rsidR="00AE2359">
              <w:rPr>
                <w:b w:val="0"/>
                <w:sz w:val="22"/>
              </w:rPr>
              <w:t>note</w:t>
            </w:r>
            <w:proofErr w:type="gramEnd"/>
            <w:r w:rsidR="00AE2359">
              <w:rPr>
                <w:b w:val="0"/>
                <w:sz w:val="22"/>
              </w:rPr>
              <w:t xml:space="preserve"> that a network of drainage is proposed around the houses. Whilst they note this will have to be developed into a detailed design it is accepted as a mitigation strategy.</w:t>
            </w:r>
          </w:p>
        </w:tc>
      </w:tr>
      <w:tr w:rsidR="00C94604" w:rsidTr="00F63852">
        <w:tc>
          <w:tcPr>
            <w:tcW w:w="1951" w:type="dxa"/>
            <w:tcBorders>
              <w:bottom w:val="nil"/>
            </w:tcBorders>
          </w:tcPr>
          <w:p w:rsidR="00C94604" w:rsidRPr="00F3716C" w:rsidRDefault="00C94604" w:rsidP="008913A2">
            <w:pPr>
              <w:pStyle w:val="Reporttitle"/>
              <w:numPr>
                <w:ilvl w:val="0"/>
                <w:numId w:val="2"/>
              </w:numPr>
              <w:jc w:val="left"/>
              <w:rPr>
                <w:b w:val="0"/>
                <w:sz w:val="22"/>
              </w:rPr>
            </w:pPr>
          </w:p>
        </w:tc>
        <w:tc>
          <w:tcPr>
            <w:tcW w:w="2949" w:type="dxa"/>
            <w:tcBorders>
              <w:bottom w:val="nil"/>
            </w:tcBorders>
          </w:tcPr>
          <w:p w:rsidR="00C94604" w:rsidRPr="00F3716C" w:rsidRDefault="00540BFF" w:rsidP="00C94604">
            <w:pPr>
              <w:pStyle w:val="Reporttitle"/>
              <w:jc w:val="left"/>
              <w:rPr>
                <w:b w:val="0"/>
                <w:sz w:val="22"/>
              </w:rPr>
            </w:pPr>
            <w:r>
              <w:rPr>
                <w:b w:val="0"/>
                <w:sz w:val="22"/>
              </w:rPr>
              <w:t>Engineering input</w:t>
            </w:r>
          </w:p>
        </w:tc>
        <w:tc>
          <w:tcPr>
            <w:tcW w:w="3092" w:type="dxa"/>
            <w:tcBorders>
              <w:bottom w:val="single" w:sz="4" w:space="0" w:color="auto"/>
            </w:tcBorders>
          </w:tcPr>
          <w:p w:rsidR="00C94604" w:rsidRPr="00F3716C" w:rsidRDefault="00AE2359" w:rsidP="00C94604">
            <w:pPr>
              <w:pStyle w:val="Reporttitle"/>
              <w:jc w:val="left"/>
              <w:rPr>
                <w:b w:val="0"/>
                <w:sz w:val="22"/>
              </w:rPr>
            </w:pPr>
            <w:r>
              <w:rPr>
                <w:b w:val="0"/>
                <w:sz w:val="22"/>
              </w:rPr>
              <w:t>No</w:t>
            </w:r>
            <w:r w:rsidR="00540BFF">
              <w:rPr>
                <w:b w:val="0"/>
                <w:sz w:val="22"/>
              </w:rPr>
              <w:t xml:space="preserve"> engineering plans/details on basement construction or drainage and no Basement Construction Plan. </w:t>
            </w:r>
          </w:p>
        </w:tc>
        <w:tc>
          <w:tcPr>
            <w:tcW w:w="3091" w:type="dxa"/>
            <w:tcBorders>
              <w:bottom w:val="single" w:sz="4" w:space="0" w:color="auto"/>
            </w:tcBorders>
          </w:tcPr>
          <w:p w:rsidR="00C94604" w:rsidRPr="00F3716C" w:rsidRDefault="00540BFF" w:rsidP="00734BA5">
            <w:pPr>
              <w:pStyle w:val="Reporttitle"/>
              <w:jc w:val="left"/>
              <w:rPr>
                <w:b w:val="0"/>
                <w:sz w:val="22"/>
              </w:rPr>
            </w:pPr>
            <w:r>
              <w:rPr>
                <w:b w:val="0"/>
                <w:sz w:val="22"/>
              </w:rPr>
              <w:t>No engineering drawings are presented. Outline calculations</w:t>
            </w:r>
            <w:r w:rsidR="00734BA5">
              <w:rPr>
                <w:b w:val="0"/>
                <w:sz w:val="22"/>
              </w:rPr>
              <w:t xml:space="preserve"> </w:t>
            </w:r>
            <w:r w:rsidR="00734BA5" w:rsidRPr="00734BA5">
              <w:rPr>
                <w:b w:val="0"/>
                <w:sz w:val="22"/>
              </w:rPr>
              <w:t>and</w:t>
            </w:r>
            <w:r>
              <w:rPr>
                <w:b w:val="0"/>
                <w:sz w:val="22"/>
              </w:rPr>
              <w:t xml:space="preserve"> sketches demonstrating the proposals for retaining walls, basement slabs and foundations are required. </w:t>
            </w:r>
          </w:p>
        </w:tc>
        <w:tc>
          <w:tcPr>
            <w:tcW w:w="3092" w:type="dxa"/>
            <w:tcBorders>
              <w:bottom w:val="single" w:sz="4" w:space="0" w:color="auto"/>
            </w:tcBorders>
          </w:tcPr>
          <w:p w:rsidR="00C94604" w:rsidRPr="00F3716C" w:rsidRDefault="00734BA5" w:rsidP="004163AE">
            <w:pPr>
              <w:pStyle w:val="Reporttitle"/>
              <w:jc w:val="left"/>
              <w:rPr>
                <w:b w:val="0"/>
                <w:sz w:val="22"/>
              </w:rPr>
            </w:pPr>
            <w:r w:rsidRPr="00734BA5">
              <w:rPr>
                <w:b w:val="0"/>
                <w:sz w:val="22"/>
              </w:rPr>
              <w:t>A broad structural and civil engineering design statement</w:t>
            </w:r>
            <w:r w:rsidR="004163AE">
              <w:rPr>
                <w:b w:val="0"/>
                <w:sz w:val="22"/>
              </w:rPr>
              <w:t>,</w:t>
            </w:r>
            <w:r w:rsidRPr="00734BA5">
              <w:rPr>
                <w:b w:val="0"/>
                <w:sz w:val="22"/>
              </w:rPr>
              <w:t xml:space="preserve"> one drawing</w:t>
            </w:r>
            <w:r w:rsidR="00924851">
              <w:rPr>
                <w:b w:val="0"/>
                <w:sz w:val="22"/>
              </w:rPr>
              <w:t xml:space="preserve"> and some calculations for the </w:t>
            </w:r>
            <w:r w:rsidR="00F63852">
              <w:rPr>
                <w:b w:val="0"/>
                <w:sz w:val="22"/>
              </w:rPr>
              <w:t xml:space="preserve">new </w:t>
            </w:r>
            <w:r w:rsidR="00924851">
              <w:rPr>
                <w:b w:val="0"/>
                <w:sz w:val="22"/>
              </w:rPr>
              <w:t>basement walls</w:t>
            </w:r>
            <w:r w:rsidRPr="00734BA5">
              <w:rPr>
                <w:b w:val="0"/>
                <w:sz w:val="22"/>
              </w:rPr>
              <w:t xml:space="preserve"> provided. No details</w:t>
            </w:r>
            <w:r>
              <w:rPr>
                <w:b w:val="0"/>
                <w:sz w:val="22"/>
              </w:rPr>
              <w:t xml:space="preserve"> of drainage proposals or adequacy of existing retaining wall. </w:t>
            </w:r>
          </w:p>
        </w:tc>
      </w:tr>
      <w:tr w:rsidR="004163AE" w:rsidTr="00F63852">
        <w:trPr>
          <w:trHeight w:val="177"/>
        </w:trPr>
        <w:tc>
          <w:tcPr>
            <w:tcW w:w="1951" w:type="dxa"/>
            <w:tcBorders>
              <w:top w:val="single" w:sz="4" w:space="0" w:color="auto"/>
              <w:left w:val="single" w:sz="4" w:space="0" w:color="auto"/>
              <w:bottom w:val="single" w:sz="4" w:space="0" w:color="auto"/>
              <w:right w:val="single" w:sz="4" w:space="0" w:color="auto"/>
            </w:tcBorders>
          </w:tcPr>
          <w:p w:rsidR="004163AE" w:rsidRPr="00F3716C" w:rsidRDefault="004163AE" w:rsidP="00C94604">
            <w:pPr>
              <w:pStyle w:val="Reporttitle"/>
              <w:jc w:val="left"/>
              <w:rPr>
                <w:b w:val="0"/>
                <w:sz w:val="22"/>
              </w:rPr>
            </w:pPr>
            <w:r>
              <w:rPr>
                <w:b w:val="0"/>
                <w:sz w:val="22"/>
              </w:rPr>
              <w:t xml:space="preserve">B) Impacts </w:t>
            </w:r>
          </w:p>
        </w:tc>
        <w:tc>
          <w:tcPr>
            <w:tcW w:w="6041" w:type="dxa"/>
            <w:gridSpan w:val="2"/>
            <w:tcBorders>
              <w:top w:val="single" w:sz="4" w:space="0" w:color="auto"/>
              <w:left w:val="single" w:sz="4" w:space="0" w:color="auto"/>
              <w:bottom w:val="nil"/>
              <w:right w:val="single" w:sz="4" w:space="0" w:color="auto"/>
            </w:tcBorders>
          </w:tcPr>
          <w:p w:rsidR="004163AE" w:rsidRPr="00F3716C" w:rsidRDefault="004163AE" w:rsidP="00C94604">
            <w:pPr>
              <w:pStyle w:val="Reporttitle"/>
              <w:jc w:val="left"/>
              <w:rPr>
                <w:b w:val="0"/>
                <w:sz w:val="22"/>
              </w:rPr>
            </w:pPr>
            <w:r>
              <w:rPr>
                <w:b w:val="0"/>
                <w:sz w:val="22"/>
              </w:rPr>
              <w:t>(see reports 7/9/18, 5/12/18/ and 9/1/19)</w:t>
            </w:r>
          </w:p>
        </w:tc>
        <w:tc>
          <w:tcPr>
            <w:tcW w:w="3091" w:type="dxa"/>
            <w:tcBorders>
              <w:top w:val="single" w:sz="4" w:space="0" w:color="auto"/>
              <w:left w:val="single" w:sz="4" w:space="0" w:color="auto"/>
              <w:bottom w:val="single" w:sz="4" w:space="0" w:color="auto"/>
              <w:right w:val="single" w:sz="4" w:space="0" w:color="auto"/>
            </w:tcBorders>
          </w:tcPr>
          <w:p w:rsidR="004163AE" w:rsidRPr="00F3716C" w:rsidRDefault="004163AE" w:rsidP="00C94604">
            <w:pPr>
              <w:pStyle w:val="Reporttitle"/>
              <w:jc w:val="left"/>
              <w:rPr>
                <w:b w:val="0"/>
                <w:sz w:val="22"/>
              </w:rPr>
            </w:pPr>
          </w:p>
        </w:tc>
        <w:tc>
          <w:tcPr>
            <w:tcW w:w="3092" w:type="dxa"/>
            <w:tcBorders>
              <w:top w:val="single" w:sz="4" w:space="0" w:color="auto"/>
              <w:left w:val="single" w:sz="4" w:space="0" w:color="auto"/>
              <w:bottom w:val="single" w:sz="4" w:space="0" w:color="auto"/>
              <w:right w:val="single" w:sz="4" w:space="0" w:color="auto"/>
            </w:tcBorders>
          </w:tcPr>
          <w:p w:rsidR="004163AE" w:rsidRPr="00F3716C" w:rsidRDefault="004163AE" w:rsidP="00C94604">
            <w:pPr>
              <w:pStyle w:val="Reporttitle"/>
              <w:jc w:val="left"/>
              <w:rPr>
                <w:b w:val="0"/>
                <w:sz w:val="22"/>
              </w:rPr>
            </w:pPr>
          </w:p>
        </w:tc>
      </w:tr>
      <w:tr w:rsidR="00734BA5" w:rsidTr="00F63852">
        <w:trPr>
          <w:trHeight w:val="176"/>
        </w:trPr>
        <w:tc>
          <w:tcPr>
            <w:tcW w:w="1951" w:type="dxa"/>
            <w:tcBorders>
              <w:top w:val="single" w:sz="4" w:space="0" w:color="auto"/>
              <w:left w:val="single" w:sz="4" w:space="0" w:color="auto"/>
              <w:bottom w:val="single" w:sz="4" w:space="0" w:color="auto"/>
              <w:right w:val="single" w:sz="4" w:space="0" w:color="auto"/>
            </w:tcBorders>
          </w:tcPr>
          <w:p w:rsidR="00734BA5" w:rsidRPr="00F3716C" w:rsidRDefault="00734BA5" w:rsidP="00B0204D">
            <w:pPr>
              <w:pStyle w:val="Reporttitle"/>
              <w:numPr>
                <w:ilvl w:val="0"/>
                <w:numId w:val="2"/>
              </w:numPr>
              <w:jc w:val="left"/>
              <w:rPr>
                <w:b w:val="0"/>
                <w:sz w:val="22"/>
              </w:rPr>
            </w:pPr>
          </w:p>
        </w:tc>
        <w:tc>
          <w:tcPr>
            <w:tcW w:w="2949" w:type="dxa"/>
            <w:tcBorders>
              <w:top w:val="single" w:sz="4" w:space="0" w:color="auto"/>
              <w:left w:val="single" w:sz="4" w:space="0" w:color="auto"/>
              <w:bottom w:val="single" w:sz="4" w:space="0" w:color="auto"/>
              <w:right w:val="single" w:sz="4" w:space="0" w:color="auto"/>
            </w:tcBorders>
          </w:tcPr>
          <w:p w:rsidR="00734BA5" w:rsidRPr="00F3716C" w:rsidRDefault="00B0204D" w:rsidP="00C94604">
            <w:pPr>
              <w:pStyle w:val="Reporttitle"/>
              <w:jc w:val="left"/>
              <w:rPr>
                <w:b w:val="0"/>
                <w:sz w:val="22"/>
              </w:rPr>
            </w:pPr>
            <w:r>
              <w:rPr>
                <w:b w:val="0"/>
                <w:sz w:val="22"/>
              </w:rPr>
              <w:t>The garden pond</w:t>
            </w:r>
          </w:p>
        </w:tc>
        <w:tc>
          <w:tcPr>
            <w:tcW w:w="3092" w:type="dxa"/>
            <w:tcBorders>
              <w:top w:val="single" w:sz="4" w:space="0" w:color="auto"/>
              <w:left w:val="single" w:sz="4" w:space="0" w:color="auto"/>
              <w:bottom w:val="single" w:sz="4" w:space="0" w:color="auto"/>
              <w:right w:val="single" w:sz="4" w:space="0" w:color="auto"/>
            </w:tcBorders>
          </w:tcPr>
          <w:p w:rsidR="00734BA5" w:rsidRPr="00F3716C" w:rsidRDefault="00B0204D" w:rsidP="00C94604">
            <w:pPr>
              <w:pStyle w:val="Reporttitle"/>
              <w:jc w:val="left"/>
              <w:rPr>
                <w:b w:val="0"/>
                <w:sz w:val="22"/>
              </w:rPr>
            </w:pPr>
            <w:r>
              <w:rPr>
                <w:b w:val="0"/>
                <w:sz w:val="22"/>
              </w:rPr>
              <w:t xml:space="preserve">The hydrological and hydrogeological report indicates the pond is surface water fed. However, it is known (see Lynne </w:t>
            </w:r>
            <w:r>
              <w:rPr>
                <w:b w:val="0"/>
                <w:sz w:val="22"/>
              </w:rPr>
              <w:lastRenderedPageBreak/>
              <w:t>Turner-Stokes letter 3/7/2008) that the pond is also fed by natural springs and that ground water flows are variable).</w:t>
            </w:r>
          </w:p>
        </w:tc>
        <w:tc>
          <w:tcPr>
            <w:tcW w:w="3091" w:type="dxa"/>
            <w:tcBorders>
              <w:top w:val="single" w:sz="4" w:space="0" w:color="auto"/>
              <w:left w:val="single" w:sz="4" w:space="0" w:color="auto"/>
              <w:bottom w:val="single" w:sz="4" w:space="0" w:color="auto"/>
              <w:right w:val="single" w:sz="4" w:space="0" w:color="auto"/>
            </w:tcBorders>
          </w:tcPr>
          <w:p w:rsidR="00734BA5" w:rsidRPr="00F3716C" w:rsidRDefault="00B0204D" w:rsidP="00C94604">
            <w:pPr>
              <w:pStyle w:val="Reporttitle"/>
              <w:jc w:val="left"/>
              <w:rPr>
                <w:b w:val="0"/>
                <w:sz w:val="22"/>
              </w:rPr>
            </w:pPr>
            <w:r>
              <w:rPr>
                <w:b w:val="0"/>
                <w:sz w:val="22"/>
              </w:rPr>
              <w:lastRenderedPageBreak/>
              <w:t xml:space="preserve">The risk of flooding from surface water around the man made pond is high. The excess outflow is discharged via the </w:t>
            </w:r>
            <w:r>
              <w:rPr>
                <w:b w:val="0"/>
                <w:sz w:val="22"/>
              </w:rPr>
              <w:lastRenderedPageBreak/>
              <w:t xml:space="preserve">weir and pipe to the heath below. The surface water drainage will be directed to the same pipe. Clarification required </w:t>
            </w:r>
            <w:proofErr w:type="gramStart"/>
            <w:r>
              <w:rPr>
                <w:b w:val="0"/>
                <w:sz w:val="22"/>
              </w:rPr>
              <w:t>to confirm</w:t>
            </w:r>
            <w:proofErr w:type="gramEnd"/>
            <w:r>
              <w:rPr>
                <w:b w:val="0"/>
                <w:sz w:val="22"/>
              </w:rPr>
              <w:t xml:space="preserve"> the feasibility of this proposal. </w:t>
            </w:r>
          </w:p>
        </w:tc>
        <w:tc>
          <w:tcPr>
            <w:tcW w:w="3092" w:type="dxa"/>
            <w:tcBorders>
              <w:top w:val="single" w:sz="4" w:space="0" w:color="auto"/>
              <w:left w:val="single" w:sz="4" w:space="0" w:color="auto"/>
              <w:bottom w:val="single" w:sz="4" w:space="0" w:color="auto"/>
              <w:right w:val="single" w:sz="4" w:space="0" w:color="auto"/>
            </w:tcBorders>
          </w:tcPr>
          <w:p w:rsidR="00734BA5" w:rsidRPr="00F3716C" w:rsidRDefault="00B0204D" w:rsidP="005E447D">
            <w:pPr>
              <w:pStyle w:val="Reporttitle"/>
              <w:jc w:val="left"/>
              <w:rPr>
                <w:b w:val="0"/>
                <w:sz w:val="22"/>
              </w:rPr>
            </w:pPr>
            <w:r>
              <w:rPr>
                <w:b w:val="0"/>
                <w:sz w:val="22"/>
              </w:rPr>
              <w:lastRenderedPageBreak/>
              <w:t xml:space="preserve">CR </w:t>
            </w:r>
            <w:proofErr w:type="gramStart"/>
            <w:r>
              <w:rPr>
                <w:b w:val="0"/>
                <w:sz w:val="22"/>
              </w:rPr>
              <w:t>have</w:t>
            </w:r>
            <w:proofErr w:type="gramEnd"/>
            <w:r>
              <w:rPr>
                <w:b w:val="0"/>
                <w:sz w:val="22"/>
              </w:rPr>
              <w:t xml:space="preserve"> accepted the addendum BIA showing the proposed SUDS an</w:t>
            </w:r>
            <w:r w:rsidR="005E447D">
              <w:rPr>
                <w:b w:val="0"/>
                <w:sz w:val="22"/>
              </w:rPr>
              <w:t>d flow route analysis. However, t</w:t>
            </w:r>
            <w:r>
              <w:rPr>
                <w:b w:val="0"/>
                <w:sz w:val="22"/>
              </w:rPr>
              <w:t xml:space="preserve">he </w:t>
            </w:r>
            <w:r>
              <w:rPr>
                <w:b w:val="0"/>
                <w:sz w:val="22"/>
              </w:rPr>
              <w:lastRenderedPageBreak/>
              <w:t xml:space="preserve">hydrology </w:t>
            </w:r>
            <w:r w:rsidR="005E447D">
              <w:rPr>
                <w:b w:val="0"/>
                <w:sz w:val="22"/>
              </w:rPr>
              <w:t xml:space="preserve">in the area </w:t>
            </w:r>
            <w:r>
              <w:rPr>
                <w:b w:val="0"/>
                <w:sz w:val="22"/>
              </w:rPr>
              <w:t xml:space="preserve">is more complex </w:t>
            </w:r>
            <w:r w:rsidR="005E447D">
              <w:rPr>
                <w:b w:val="0"/>
                <w:sz w:val="22"/>
              </w:rPr>
              <w:t xml:space="preserve">than assumed </w:t>
            </w:r>
            <w:r>
              <w:rPr>
                <w:b w:val="0"/>
                <w:sz w:val="22"/>
              </w:rPr>
              <w:t xml:space="preserve">and includes springs. There remains a risk that </w:t>
            </w:r>
            <w:r w:rsidR="005E447D">
              <w:rPr>
                <w:b w:val="0"/>
                <w:sz w:val="22"/>
              </w:rPr>
              <w:t>the works</w:t>
            </w:r>
            <w:r>
              <w:rPr>
                <w:b w:val="0"/>
                <w:sz w:val="22"/>
              </w:rPr>
              <w:t xml:space="preserve"> could affect </w:t>
            </w:r>
            <w:r w:rsidR="005E447D">
              <w:rPr>
                <w:b w:val="0"/>
                <w:sz w:val="22"/>
              </w:rPr>
              <w:t xml:space="preserve">the flows to the </w:t>
            </w:r>
            <w:r>
              <w:rPr>
                <w:b w:val="0"/>
                <w:sz w:val="22"/>
              </w:rPr>
              <w:t xml:space="preserve">pond and the nature reserve. </w:t>
            </w:r>
          </w:p>
        </w:tc>
      </w:tr>
      <w:tr w:rsidR="00C94604" w:rsidTr="00F63852">
        <w:tc>
          <w:tcPr>
            <w:tcW w:w="1951" w:type="dxa"/>
            <w:tcBorders>
              <w:top w:val="single" w:sz="4" w:space="0" w:color="auto"/>
            </w:tcBorders>
          </w:tcPr>
          <w:p w:rsidR="00C94604" w:rsidRPr="00F3716C" w:rsidRDefault="00C94604" w:rsidP="008913A2">
            <w:pPr>
              <w:pStyle w:val="Reporttitle"/>
              <w:numPr>
                <w:ilvl w:val="0"/>
                <w:numId w:val="2"/>
              </w:numPr>
              <w:jc w:val="left"/>
              <w:rPr>
                <w:b w:val="0"/>
                <w:sz w:val="22"/>
              </w:rPr>
            </w:pPr>
          </w:p>
        </w:tc>
        <w:tc>
          <w:tcPr>
            <w:tcW w:w="2949" w:type="dxa"/>
            <w:tcBorders>
              <w:top w:val="single" w:sz="4" w:space="0" w:color="auto"/>
            </w:tcBorders>
          </w:tcPr>
          <w:p w:rsidR="00C94604" w:rsidRPr="00F3716C" w:rsidRDefault="00B0204D" w:rsidP="00C94604">
            <w:pPr>
              <w:pStyle w:val="Reporttitle"/>
              <w:jc w:val="left"/>
              <w:rPr>
                <w:b w:val="0"/>
                <w:sz w:val="22"/>
              </w:rPr>
            </w:pPr>
            <w:r>
              <w:rPr>
                <w:b w:val="0"/>
                <w:sz w:val="22"/>
              </w:rPr>
              <w:t>Contamination of the pond</w:t>
            </w:r>
          </w:p>
        </w:tc>
        <w:tc>
          <w:tcPr>
            <w:tcW w:w="3092" w:type="dxa"/>
            <w:tcBorders>
              <w:top w:val="single" w:sz="4" w:space="0" w:color="auto"/>
            </w:tcBorders>
          </w:tcPr>
          <w:p w:rsidR="00C94604" w:rsidRPr="00F3716C" w:rsidRDefault="00B0204D" w:rsidP="00C94604">
            <w:pPr>
              <w:pStyle w:val="Reporttitle"/>
              <w:jc w:val="left"/>
              <w:rPr>
                <w:b w:val="0"/>
                <w:sz w:val="22"/>
              </w:rPr>
            </w:pPr>
            <w:r>
              <w:rPr>
                <w:b w:val="0"/>
                <w:sz w:val="22"/>
              </w:rPr>
              <w:t xml:space="preserve">Excavations for the basements will cut through groundwater bearing soils and temporary sheet piled retaining walls and water retention bunds are proposed to plots 4 and 5 to direct and collect groundwater. The water is to be disposed of in combined sewer. No details/drawings provided and risk of contamination of ground water, the pond, nature reserve and Bird Sanctuary Pond. </w:t>
            </w:r>
          </w:p>
        </w:tc>
        <w:tc>
          <w:tcPr>
            <w:tcW w:w="3091" w:type="dxa"/>
            <w:tcBorders>
              <w:top w:val="single" w:sz="4" w:space="0" w:color="auto"/>
            </w:tcBorders>
          </w:tcPr>
          <w:p w:rsidR="00C94604" w:rsidRPr="00F3716C" w:rsidRDefault="008B7256" w:rsidP="00C94604">
            <w:pPr>
              <w:pStyle w:val="Reporttitle"/>
              <w:jc w:val="left"/>
              <w:rPr>
                <w:b w:val="0"/>
                <w:sz w:val="22"/>
              </w:rPr>
            </w:pPr>
            <w:r>
              <w:rPr>
                <w:b w:val="0"/>
                <w:sz w:val="22"/>
              </w:rPr>
              <w:t>Not considered</w:t>
            </w:r>
            <w:r w:rsidR="005E447D">
              <w:rPr>
                <w:b w:val="0"/>
                <w:sz w:val="22"/>
              </w:rPr>
              <w:t xml:space="preserve"> as part of the CR audit</w:t>
            </w:r>
            <w:r>
              <w:rPr>
                <w:b w:val="0"/>
                <w:sz w:val="22"/>
              </w:rPr>
              <w:t>, but groundwater monitoring data requested.</w:t>
            </w:r>
          </w:p>
        </w:tc>
        <w:tc>
          <w:tcPr>
            <w:tcW w:w="3092" w:type="dxa"/>
            <w:tcBorders>
              <w:top w:val="single" w:sz="4" w:space="0" w:color="auto"/>
            </w:tcBorders>
          </w:tcPr>
          <w:p w:rsidR="00C94604" w:rsidRPr="00F3716C" w:rsidRDefault="005E447D" w:rsidP="00C94604">
            <w:pPr>
              <w:pStyle w:val="Reporttitle"/>
              <w:jc w:val="left"/>
              <w:rPr>
                <w:b w:val="0"/>
                <w:sz w:val="22"/>
              </w:rPr>
            </w:pPr>
            <w:r>
              <w:rPr>
                <w:b w:val="0"/>
                <w:sz w:val="22"/>
              </w:rPr>
              <w:t xml:space="preserve">Not considered as part of further CR audit. </w:t>
            </w:r>
            <w:r w:rsidR="008B7256">
              <w:rPr>
                <w:b w:val="0"/>
                <w:sz w:val="22"/>
              </w:rPr>
              <w:t>Given the scal</w:t>
            </w:r>
            <w:r w:rsidR="00F63852">
              <w:rPr>
                <w:b w:val="0"/>
                <w:sz w:val="22"/>
              </w:rPr>
              <w:t>e and proximity of excavations cl</w:t>
            </w:r>
            <w:r w:rsidR="008B7256">
              <w:rPr>
                <w:b w:val="0"/>
                <w:sz w:val="22"/>
              </w:rPr>
              <w:t xml:space="preserve">ose to the pond the risk of contamination remains. </w:t>
            </w:r>
          </w:p>
        </w:tc>
      </w:tr>
      <w:tr w:rsidR="00C94604" w:rsidTr="00F63852">
        <w:tc>
          <w:tcPr>
            <w:tcW w:w="1951" w:type="dxa"/>
          </w:tcPr>
          <w:p w:rsidR="00C94604" w:rsidRPr="00F3716C" w:rsidRDefault="00C94604" w:rsidP="008913A2">
            <w:pPr>
              <w:pStyle w:val="Reporttitle"/>
              <w:numPr>
                <w:ilvl w:val="0"/>
                <w:numId w:val="2"/>
              </w:numPr>
              <w:jc w:val="left"/>
              <w:rPr>
                <w:b w:val="0"/>
                <w:sz w:val="22"/>
              </w:rPr>
            </w:pPr>
          </w:p>
        </w:tc>
        <w:tc>
          <w:tcPr>
            <w:tcW w:w="2949" w:type="dxa"/>
          </w:tcPr>
          <w:p w:rsidR="00C94604" w:rsidRPr="00F3716C" w:rsidRDefault="00071F8E" w:rsidP="00C94604">
            <w:pPr>
              <w:pStyle w:val="Reporttitle"/>
              <w:jc w:val="left"/>
              <w:rPr>
                <w:b w:val="0"/>
                <w:sz w:val="22"/>
              </w:rPr>
            </w:pPr>
            <w:r>
              <w:rPr>
                <w:b w:val="0"/>
                <w:sz w:val="22"/>
              </w:rPr>
              <w:t>Permanent design for groundwater</w:t>
            </w:r>
          </w:p>
        </w:tc>
        <w:tc>
          <w:tcPr>
            <w:tcW w:w="3092" w:type="dxa"/>
            <w:tcBorders>
              <w:bottom w:val="single" w:sz="4" w:space="0" w:color="auto"/>
            </w:tcBorders>
          </w:tcPr>
          <w:p w:rsidR="00C94604" w:rsidRPr="00F3716C" w:rsidRDefault="00071F8E" w:rsidP="00C94604">
            <w:pPr>
              <w:pStyle w:val="Reporttitle"/>
              <w:jc w:val="left"/>
              <w:rPr>
                <w:b w:val="0"/>
                <w:sz w:val="22"/>
              </w:rPr>
            </w:pPr>
            <w:r>
              <w:rPr>
                <w:b w:val="0"/>
                <w:sz w:val="22"/>
              </w:rPr>
              <w:t xml:space="preserve">There is a risk that the proposals will change groundwater flows to the garden pond and nature reserve. The temporary sheet piling should be fully withdrawn. The new basement will redirect the groundwater flows and consideration should be given to introducing free draining material below the basement slabs (which are piled </w:t>
            </w:r>
            <w:r>
              <w:rPr>
                <w:b w:val="0"/>
                <w:sz w:val="22"/>
              </w:rPr>
              <w:lastRenderedPageBreak/>
              <w:t xml:space="preserve">and suspended). More detail required on SUDS design and proposals for pipe below </w:t>
            </w:r>
            <w:proofErr w:type="spellStart"/>
            <w:r>
              <w:rPr>
                <w:b w:val="0"/>
                <w:sz w:val="22"/>
              </w:rPr>
              <w:t>Millfield</w:t>
            </w:r>
            <w:proofErr w:type="spellEnd"/>
            <w:r>
              <w:rPr>
                <w:b w:val="0"/>
                <w:sz w:val="22"/>
              </w:rPr>
              <w:t xml:space="preserve"> Lane.</w:t>
            </w:r>
          </w:p>
        </w:tc>
        <w:tc>
          <w:tcPr>
            <w:tcW w:w="3091" w:type="dxa"/>
            <w:tcBorders>
              <w:bottom w:val="single" w:sz="4" w:space="0" w:color="auto"/>
            </w:tcBorders>
          </w:tcPr>
          <w:p w:rsidR="00C94604" w:rsidRPr="00F3716C" w:rsidRDefault="00071F8E" w:rsidP="00C94604">
            <w:pPr>
              <w:pStyle w:val="Reporttitle"/>
              <w:jc w:val="left"/>
              <w:rPr>
                <w:b w:val="0"/>
                <w:sz w:val="22"/>
              </w:rPr>
            </w:pPr>
            <w:r>
              <w:rPr>
                <w:b w:val="0"/>
                <w:sz w:val="22"/>
              </w:rPr>
              <w:lastRenderedPageBreak/>
              <w:t xml:space="preserve">The cumulative </w:t>
            </w:r>
            <w:proofErr w:type="gramStart"/>
            <w:r>
              <w:rPr>
                <w:b w:val="0"/>
                <w:sz w:val="22"/>
              </w:rPr>
              <w:t>impacts of the change to surface water management requires</w:t>
            </w:r>
            <w:proofErr w:type="gramEnd"/>
            <w:r>
              <w:rPr>
                <w:b w:val="0"/>
                <w:sz w:val="22"/>
              </w:rPr>
              <w:t xml:space="preserve"> clarification to allow further assessment of the local hydrology.</w:t>
            </w:r>
          </w:p>
        </w:tc>
        <w:tc>
          <w:tcPr>
            <w:tcW w:w="3092" w:type="dxa"/>
          </w:tcPr>
          <w:p w:rsidR="00C94604" w:rsidRPr="00F3716C" w:rsidRDefault="00071F8E" w:rsidP="00C94604">
            <w:pPr>
              <w:pStyle w:val="Reporttitle"/>
              <w:jc w:val="left"/>
              <w:rPr>
                <w:b w:val="0"/>
                <w:sz w:val="22"/>
              </w:rPr>
            </w:pPr>
            <w:r>
              <w:rPr>
                <w:b w:val="0"/>
                <w:sz w:val="22"/>
              </w:rPr>
              <w:t xml:space="preserve">CR </w:t>
            </w:r>
            <w:proofErr w:type="gramStart"/>
            <w:r>
              <w:rPr>
                <w:b w:val="0"/>
                <w:sz w:val="22"/>
              </w:rPr>
              <w:t>have</w:t>
            </w:r>
            <w:proofErr w:type="gramEnd"/>
            <w:r>
              <w:rPr>
                <w:b w:val="0"/>
                <w:sz w:val="22"/>
              </w:rPr>
              <w:t xml:space="preserve"> accepted the proposals following review of the BIA addendum. We consider the groundwater regime to be complex and variable and likely to change as a result of the construction of the basements. We still think consideration should be given to introducing free draining material</w:t>
            </w:r>
            <w:r w:rsidR="005E447D">
              <w:rPr>
                <w:b w:val="0"/>
                <w:sz w:val="22"/>
              </w:rPr>
              <w:t xml:space="preserve"> below and around the basements so the groundwater flows can </w:t>
            </w:r>
            <w:r w:rsidR="005E447D">
              <w:rPr>
                <w:b w:val="0"/>
                <w:sz w:val="22"/>
              </w:rPr>
              <w:lastRenderedPageBreak/>
              <w:t>remain similar to existing.</w:t>
            </w:r>
            <w:r>
              <w:rPr>
                <w:b w:val="0"/>
                <w:sz w:val="22"/>
              </w:rPr>
              <w:t xml:space="preserve"> </w:t>
            </w:r>
          </w:p>
        </w:tc>
      </w:tr>
      <w:tr w:rsidR="004453E2" w:rsidTr="00F63852">
        <w:trPr>
          <w:trHeight w:val="1841"/>
        </w:trPr>
        <w:tc>
          <w:tcPr>
            <w:tcW w:w="1951" w:type="dxa"/>
            <w:vMerge w:val="restart"/>
          </w:tcPr>
          <w:p w:rsidR="004453E2" w:rsidRPr="00F3716C" w:rsidRDefault="004453E2" w:rsidP="008913A2">
            <w:pPr>
              <w:pStyle w:val="Reporttitle"/>
              <w:numPr>
                <w:ilvl w:val="0"/>
                <w:numId w:val="2"/>
              </w:numPr>
              <w:jc w:val="left"/>
              <w:rPr>
                <w:b w:val="0"/>
                <w:sz w:val="22"/>
              </w:rPr>
            </w:pPr>
          </w:p>
        </w:tc>
        <w:tc>
          <w:tcPr>
            <w:tcW w:w="2949" w:type="dxa"/>
            <w:vMerge w:val="restart"/>
            <w:tcBorders>
              <w:right w:val="single" w:sz="4" w:space="0" w:color="auto"/>
            </w:tcBorders>
          </w:tcPr>
          <w:p w:rsidR="004453E2" w:rsidRPr="00F3716C" w:rsidRDefault="004453E2" w:rsidP="00C94604">
            <w:pPr>
              <w:pStyle w:val="Reporttitle"/>
              <w:jc w:val="left"/>
              <w:rPr>
                <w:b w:val="0"/>
                <w:sz w:val="22"/>
              </w:rPr>
            </w:pPr>
            <w:r>
              <w:rPr>
                <w:b w:val="0"/>
                <w:sz w:val="22"/>
              </w:rPr>
              <w:t>Slope stability and stability of existing retaining wall to carriageway</w:t>
            </w:r>
          </w:p>
        </w:tc>
        <w:tc>
          <w:tcPr>
            <w:tcW w:w="3092" w:type="dxa"/>
            <w:tcBorders>
              <w:top w:val="single" w:sz="4" w:space="0" w:color="auto"/>
              <w:left w:val="single" w:sz="4" w:space="0" w:color="auto"/>
              <w:bottom w:val="nil"/>
              <w:right w:val="single" w:sz="4" w:space="0" w:color="auto"/>
            </w:tcBorders>
          </w:tcPr>
          <w:p w:rsidR="004453E2" w:rsidRDefault="004453E2" w:rsidP="004453E2">
            <w:pPr>
              <w:pStyle w:val="Reporttitle"/>
              <w:jc w:val="left"/>
              <w:rPr>
                <w:b w:val="0"/>
                <w:sz w:val="22"/>
              </w:rPr>
            </w:pPr>
            <w:r>
              <w:rPr>
                <w:b w:val="0"/>
                <w:sz w:val="22"/>
              </w:rPr>
              <w:t xml:space="preserve">No details of proposals to excavate for swale at steep boundary with trees to </w:t>
            </w:r>
            <w:proofErr w:type="spellStart"/>
            <w:r>
              <w:rPr>
                <w:b w:val="0"/>
                <w:sz w:val="22"/>
              </w:rPr>
              <w:t>Millfield</w:t>
            </w:r>
            <w:proofErr w:type="spellEnd"/>
            <w:r>
              <w:rPr>
                <w:b w:val="0"/>
                <w:sz w:val="22"/>
              </w:rPr>
              <w:t xml:space="preserve"> Lane. Unclear what reliance is placed on existing retaining wall to the carriageway during excavations for the basements to plots 1-3. </w:t>
            </w:r>
          </w:p>
        </w:tc>
        <w:tc>
          <w:tcPr>
            <w:tcW w:w="3091" w:type="dxa"/>
            <w:tcBorders>
              <w:top w:val="single" w:sz="4" w:space="0" w:color="auto"/>
              <w:left w:val="single" w:sz="4" w:space="0" w:color="auto"/>
              <w:bottom w:val="nil"/>
              <w:right w:val="single" w:sz="4" w:space="0" w:color="auto"/>
            </w:tcBorders>
          </w:tcPr>
          <w:p w:rsidR="004453E2" w:rsidRPr="00F3716C" w:rsidRDefault="004453E2" w:rsidP="00C94604">
            <w:pPr>
              <w:pStyle w:val="Reporttitle"/>
              <w:jc w:val="left"/>
              <w:rPr>
                <w:b w:val="0"/>
                <w:sz w:val="22"/>
              </w:rPr>
            </w:pPr>
            <w:r w:rsidRPr="004453E2">
              <w:rPr>
                <w:b w:val="0"/>
                <w:sz w:val="22"/>
              </w:rPr>
              <w:t>Require outline design of temporary and permanent retaining walls to assess their suitability.</w:t>
            </w:r>
          </w:p>
        </w:tc>
        <w:tc>
          <w:tcPr>
            <w:tcW w:w="3092" w:type="dxa"/>
            <w:vMerge w:val="restart"/>
            <w:tcBorders>
              <w:left w:val="single" w:sz="4" w:space="0" w:color="auto"/>
            </w:tcBorders>
          </w:tcPr>
          <w:p w:rsidR="00D632B2" w:rsidRPr="00F3716C" w:rsidRDefault="004453E2" w:rsidP="00C94604">
            <w:pPr>
              <w:pStyle w:val="Reporttitle"/>
              <w:jc w:val="left"/>
              <w:rPr>
                <w:b w:val="0"/>
                <w:sz w:val="22"/>
              </w:rPr>
            </w:pPr>
            <w:r>
              <w:rPr>
                <w:b w:val="0"/>
                <w:sz w:val="22"/>
              </w:rPr>
              <w:t>CR</w:t>
            </w:r>
            <w:r w:rsidR="00D632B2">
              <w:rPr>
                <w:b w:val="0"/>
                <w:sz w:val="22"/>
              </w:rPr>
              <w:t xml:space="preserve"> </w:t>
            </w:r>
            <w:proofErr w:type="gramStart"/>
            <w:r w:rsidR="00D632B2">
              <w:rPr>
                <w:b w:val="0"/>
                <w:sz w:val="22"/>
              </w:rPr>
              <w:t>have</w:t>
            </w:r>
            <w:proofErr w:type="gramEnd"/>
            <w:r w:rsidR="00D632B2">
              <w:rPr>
                <w:b w:val="0"/>
                <w:sz w:val="22"/>
              </w:rPr>
              <w:t xml:space="preserve"> accepted that the basements are sufficient distance from the existing retaining walls not to affect stability (Appendix 3). With basement to plot 3 moved away from the road this is justifiable.</w:t>
            </w:r>
            <w:r w:rsidR="005E447D">
              <w:rPr>
                <w:b w:val="0"/>
                <w:sz w:val="22"/>
              </w:rPr>
              <w:t xml:space="preserve"> CR have accepted that the stability of slope and retaining wall next to the pond is beyond th</w:t>
            </w:r>
            <w:r w:rsidR="00F63852">
              <w:rPr>
                <w:b w:val="0"/>
                <w:sz w:val="22"/>
              </w:rPr>
              <w:t>e scope of the BIA, but suggest</w:t>
            </w:r>
            <w:r w:rsidR="005E447D">
              <w:rPr>
                <w:b w:val="0"/>
                <w:sz w:val="22"/>
              </w:rPr>
              <w:t xml:space="preserve"> a detailed assessment is carried out to eliminate adverse impacts. </w:t>
            </w:r>
            <w:r w:rsidR="00D632B2">
              <w:rPr>
                <w:b w:val="0"/>
                <w:sz w:val="22"/>
              </w:rPr>
              <w:t xml:space="preserve"> </w:t>
            </w:r>
          </w:p>
        </w:tc>
      </w:tr>
      <w:tr w:rsidR="004453E2" w:rsidTr="00F63852">
        <w:trPr>
          <w:trHeight w:val="1201"/>
        </w:trPr>
        <w:tc>
          <w:tcPr>
            <w:tcW w:w="1951" w:type="dxa"/>
            <w:vMerge/>
          </w:tcPr>
          <w:p w:rsidR="004453E2" w:rsidRPr="00F3716C" w:rsidRDefault="004453E2" w:rsidP="008913A2">
            <w:pPr>
              <w:pStyle w:val="Reporttitle"/>
              <w:numPr>
                <w:ilvl w:val="0"/>
                <w:numId w:val="2"/>
              </w:numPr>
              <w:jc w:val="left"/>
              <w:rPr>
                <w:b w:val="0"/>
                <w:sz w:val="22"/>
              </w:rPr>
            </w:pPr>
          </w:p>
        </w:tc>
        <w:tc>
          <w:tcPr>
            <w:tcW w:w="2949" w:type="dxa"/>
            <w:vMerge/>
            <w:tcBorders>
              <w:right w:val="single" w:sz="4" w:space="0" w:color="auto"/>
            </w:tcBorders>
          </w:tcPr>
          <w:p w:rsidR="004453E2" w:rsidRDefault="004453E2" w:rsidP="00C94604">
            <w:pPr>
              <w:pStyle w:val="Reporttitle"/>
              <w:jc w:val="left"/>
              <w:rPr>
                <w:b w:val="0"/>
                <w:sz w:val="22"/>
              </w:rPr>
            </w:pPr>
          </w:p>
        </w:tc>
        <w:tc>
          <w:tcPr>
            <w:tcW w:w="3092" w:type="dxa"/>
            <w:tcBorders>
              <w:top w:val="nil"/>
              <w:left w:val="single" w:sz="4" w:space="0" w:color="auto"/>
              <w:bottom w:val="single" w:sz="4" w:space="0" w:color="auto"/>
              <w:right w:val="single" w:sz="4" w:space="0" w:color="auto"/>
            </w:tcBorders>
          </w:tcPr>
          <w:p w:rsidR="004453E2" w:rsidRPr="00F3716C" w:rsidRDefault="004453E2" w:rsidP="004453E2">
            <w:pPr>
              <w:pStyle w:val="Reporttitle"/>
              <w:jc w:val="left"/>
              <w:rPr>
                <w:b w:val="0"/>
                <w:sz w:val="22"/>
              </w:rPr>
            </w:pPr>
            <w:r>
              <w:rPr>
                <w:b w:val="0"/>
                <w:sz w:val="22"/>
              </w:rPr>
              <w:t xml:space="preserve">No details associated with raising levels around the pond. </w:t>
            </w:r>
          </w:p>
          <w:p w:rsidR="004453E2" w:rsidRDefault="004453E2" w:rsidP="00C94604">
            <w:pPr>
              <w:pStyle w:val="Reporttitle"/>
              <w:jc w:val="left"/>
              <w:rPr>
                <w:b w:val="0"/>
                <w:sz w:val="22"/>
              </w:rPr>
            </w:pPr>
          </w:p>
        </w:tc>
        <w:tc>
          <w:tcPr>
            <w:tcW w:w="3091" w:type="dxa"/>
            <w:tcBorders>
              <w:top w:val="nil"/>
              <w:left w:val="single" w:sz="4" w:space="0" w:color="auto"/>
              <w:bottom w:val="single" w:sz="4" w:space="0" w:color="auto"/>
              <w:right w:val="single" w:sz="4" w:space="0" w:color="auto"/>
            </w:tcBorders>
          </w:tcPr>
          <w:p w:rsidR="004453E2" w:rsidRDefault="004453E2" w:rsidP="00C94604">
            <w:pPr>
              <w:pStyle w:val="Reporttitle"/>
              <w:jc w:val="left"/>
              <w:rPr>
                <w:b w:val="0"/>
                <w:sz w:val="22"/>
              </w:rPr>
            </w:pPr>
            <w:r>
              <w:rPr>
                <w:b w:val="0"/>
                <w:sz w:val="22"/>
              </w:rPr>
              <w:t>Slope analysis required for the MSE wall to confirm stability of the embankment to the south of the pond.</w:t>
            </w:r>
          </w:p>
        </w:tc>
        <w:tc>
          <w:tcPr>
            <w:tcW w:w="3092" w:type="dxa"/>
            <w:vMerge/>
            <w:tcBorders>
              <w:left w:val="single" w:sz="4" w:space="0" w:color="auto"/>
            </w:tcBorders>
          </w:tcPr>
          <w:p w:rsidR="004453E2" w:rsidRPr="00F3716C" w:rsidRDefault="004453E2" w:rsidP="00C94604">
            <w:pPr>
              <w:pStyle w:val="Reporttitle"/>
              <w:jc w:val="left"/>
              <w:rPr>
                <w:b w:val="0"/>
                <w:sz w:val="22"/>
              </w:rPr>
            </w:pPr>
          </w:p>
        </w:tc>
      </w:tr>
      <w:tr w:rsidR="00C94604" w:rsidTr="00F63852">
        <w:tc>
          <w:tcPr>
            <w:tcW w:w="1951" w:type="dxa"/>
          </w:tcPr>
          <w:p w:rsidR="00C94604" w:rsidRPr="00F3716C" w:rsidRDefault="00C94604" w:rsidP="008913A2">
            <w:pPr>
              <w:pStyle w:val="Reporttitle"/>
              <w:numPr>
                <w:ilvl w:val="0"/>
                <w:numId w:val="2"/>
              </w:numPr>
              <w:jc w:val="left"/>
              <w:rPr>
                <w:b w:val="0"/>
                <w:sz w:val="22"/>
              </w:rPr>
            </w:pPr>
          </w:p>
        </w:tc>
        <w:tc>
          <w:tcPr>
            <w:tcW w:w="2949" w:type="dxa"/>
          </w:tcPr>
          <w:p w:rsidR="00C94604" w:rsidRPr="00F3716C" w:rsidRDefault="001C6810" w:rsidP="00C94604">
            <w:pPr>
              <w:pStyle w:val="Reporttitle"/>
              <w:jc w:val="left"/>
              <w:rPr>
                <w:b w:val="0"/>
                <w:sz w:val="22"/>
              </w:rPr>
            </w:pPr>
            <w:r>
              <w:rPr>
                <w:b w:val="0"/>
                <w:sz w:val="22"/>
              </w:rPr>
              <w:t>Construction Access</w:t>
            </w:r>
          </w:p>
        </w:tc>
        <w:tc>
          <w:tcPr>
            <w:tcW w:w="3092" w:type="dxa"/>
            <w:tcBorders>
              <w:top w:val="single" w:sz="4" w:space="0" w:color="auto"/>
            </w:tcBorders>
          </w:tcPr>
          <w:p w:rsidR="00C94604" w:rsidRPr="00F3716C" w:rsidRDefault="00B571D4" w:rsidP="00C94604">
            <w:pPr>
              <w:pStyle w:val="Reporttitle"/>
              <w:jc w:val="left"/>
              <w:rPr>
                <w:b w:val="0"/>
                <w:sz w:val="22"/>
              </w:rPr>
            </w:pPr>
            <w:r>
              <w:rPr>
                <w:b w:val="0"/>
                <w:sz w:val="22"/>
              </w:rPr>
              <w:t xml:space="preserve">It is unclear how HGVs will manoeuvre during initial demolition or later when the access is via north-east corner of the site. </w:t>
            </w:r>
          </w:p>
        </w:tc>
        <w:tc>
          <w:tcPr>
            <w:tcW w:w="3091" w:type="dxa"/>
            <w:tcBorders>
              <w:top w:val="single" w:sz="4" w:space="0" w:color="auto"/>
            </w:tcBorders>
          </w:tcPr>
          <w:p w:rsidR="00C94604" w:rsidRPr="00F3716C" w:rsidRDefault="00B571D4" w:rsidP="00C94604">
            <w:pPr>
              <w:pStyle w:val="Reporttitle"/>
              <w:jc w:val="left"/>
              <w:rPr>
                <w:b w:val="0"/>
                <w:sz w:val="22"/>
              </w:rPr>
            </w:pPr>
            <w:r>
              <w:rPr>
                <w:b w:val="0"/>
                <w:sz w:val="22"/>
              </w:rPr>
              <w:t>Not considered as part of BIA audit.</w:t>
            </w:r>
          </w:p>
        </w:tc>
        <w:tc>
          <w:tcPr>
            <w:tcW w:w="3092" w:type="dxa"/>
          </w:tcPr>
          <w:p w:rsidR="00C94604" w:rsidRPr="00F3716C" w:rsidRDefault="00B571D4" w:rsidP="00C94604">
            <w:pPr>
              <w:pStyle w:val="Reporttitle"/>
              <w:jc w:val="left"/>
              <w:rPr>
                <w:b w:val="0"/>
                <w:sz w:val="22"/>
              </w:rPr>
            </w:pPr>
            <w:r>
              <w:rPr>
                <w:b w:val="0"/>
                <w:sz w:val="22"/>
              </w:rPr>
              <w:t xml:space="preserve">No further information provided. Comments remain unchanged. </w:t>
            </w:r>
          </w:p>
        </w:tc>
      </w:tr>
      <w:tr w:rsidR="00C94604" w:rsidTr="00F63852">
        <w:tc>
          <w:tcPr>
            <w:tcW w:w="1951" w:type="dxa"/>
          </w:tcPr>
          <w:p w:rsidR="00C94604" w:rsidRPr="00F3716C" w:rsidRDefault="00C94604" w:rsidP="008913A2">
            <w:pPr>
              <w:pStyle w:val="Reporttitle"/>
              <w:numPr>
                <w:ilvl w:val="0"/>
                <w:numId w:val="2"/>
              </w:numPr>
              <w:jc w:val="left"/>
              <w:rPr>
                <w:b w:val="0"/>
                <w:sz w:val="22"/>
              </w:rPr>
            </w:pPr>
          </w:p>
        </w:tc>
        <w:tc>
          <w:tcPr>
            <w:tcW w:w="2949" w:type="dxa"/>
          </w:tcPr>
          <w:p w:rsidR="00C94604" w:rsidRPr="00F3716C" w:rsidRDefault="002F07D6" w:rsidP="00C94604">
            <w:pPr>
              <w:pStyle w:val="Reporttitle"/>
              <w:jc w:val="left"/>
              <w:rPr>
                <w:b w:val="0"/>
                <w:sz w:val="22"/>
              </w:rPr>
            </w:pPr>
            <w:r>
              <w:rPr>
                <w:b w:val="0"/>
                <w:sz w:val="22"/>
              </w:rPr>
              <w:t>Impact on Trees</w:t>
            </w:r>
          </w:p>
        </w:tc>
        <w:tc>
          <w:tcPr>
            <w:tcW w:w="3092" w:type="dxa"/>
          </w:tcPr>
          <w:p w:rsidR="00C94604" w:rsidRPr="00F3716C" w:rsidRDefault="002F07D6" w:rsidP="00C94604">
            <w:pPr>
              <w:pStyle w:val="Reporttitle"/>
              <w:jc w:val="left"/>
              <w:rPr>
                <w:b w:val="0"/>
                <w:sz w:val="22"/>
              </w:rPr>
            </w:pPr>
            <w:r>
              <w:rPr>
                <w:b w:val="0"/>
                <w:sz w:val="22"/>
              </w:rPr>
              <w:t xml:space="preserve">The true </w:t>
            </w:r>
            <w:r w:rsidR="002E63CA">
              <w:rPr>
                <w:b w:val="0"/>
                <w:sz w:val="22"/>
              </w:rPr>
              <w:t>impact of the basement</w:t>
            </w:r>
            <w:r>
              <w:rPr>
                <w:b w:val="0"/>
                <w:sz w:val="22"/>
              </w:rPr>
              <w:t xml:space="preserve"> excavations, site access roads and exc</w:t>
            </w:r>
            <w:r w:rsidR="00CC2C1A">
              <w:rPr>
                <w:b w:val="0"/>
                <w:sz w:val="22"/>
              </w:rPr>
              <w:t>avations for SUDS on existing trees is not made clear.</w:t>
            </w:r>
          </w:p>
        </w:tc>
        <w:tc>
          <w:tcPr>
            <w:tcW w:w="3091" w:type="dxa"/>
          </w:tcPr>
          <w:p w:rsidR="00C94604" w:rsidRPr="00F3716C" w:rsidRDefault="00CC2C1A" w:rsidP="00C94604">
            <w:pPr>
              <w:pStyle w:val="Reporttitle"/>
              <w:jc w:val="left"/>
              <w:rPr>
                <w:b w:val="0"/>
                <w:sz w:val="22"/>
              </w:rPr>
            </w:pPr>
            <w:r>
              <w:rPr>
                <w:b w:val="0"/>
                <w:sz w:val="22"/>
              </w:rPr>
              <w:t>Not considered as part of BIA audit.</w:t>
            </w:r>
          </w:p>
        </w:tc>
        <w:tc>
          <w:tcPr>
            <w:tcW w:w="3092" w:type="dxa"/>
          </w:tcPr>
          <w:p w:rsidR="009A6CB6" w:rsidRDefault="002E63CA" w:rsidP="00C94604">
            <w:pPr>
              <w:pStyle w:val="Reporttitle"/>
              <w:jc w:val="left"/>
              <w:rPr>
                <w:b w:val="0"/>
                <w:sz w:val="22"/>
              </w:rPr>
            </w:pPr>
            <w:r>
              <w:rPr>
                <w:b w:val="0"/>
                <w:sz w:val="22"/>
              </w:rPr>
              <w:t>CR have commented on the removal of mature trees, but only with regard to piled foundations to the buildings.</w:t>
            </w:r>
            <w:r w:rsidR="00CC169C">
              <w:rPr>
                <w:b w:val="0"/>
                <w:sz w:val="22"/>
              </w:rPr>
              <w:t xml:space="preserve"> Excavations for the swales will impact on trees, particularly along the boundary</w:t>
            </w:r>
          </w:p>
          <w:p w:rsidR="00C94604" w:rsidRPr="00F3716C" w:rsidRDefault="00CC169C" w:rsidP="00C94604">
            <w:pPr>
              <w:pStyle w:val="Reporttitle"/>
              <w:jc w:val="left"/>
              <w:rPr>
                <w:b w:val="0"/>
                <w:sz w:val="22"/>
              </w:rPr>
            </w:pPr>
            <w:r>
              <w:rPr>
                <w:b w:val="0"/>
                <w:sz w:val="22"/>
              </w:rPr>
              <w:lastRenderedPageBreak/>
              <w:t xml:space="preserve"> </w:t>
            </w:r>
            <w:proofErr w:type="gramStart"/>
            <w:r>
              <w:rPr>
                <w:b w:val="0"/>
                <w:sz w:val="22"/>
              </w:rPr>
              <w:t>with</w:t>
            </w:r>
            <w:proofErr w:type="gramEnd"/>
            <w:r>
              <w:rPr>
                <w:b w:val="0"/>
                <w:sz w:val="22"/>
              </w:rPr>
              <w:t xml:space="preserve"> </w:t>
            </w:r>
            <w:proofErr w:type="spellStart"/>
            <w:r>
              <w:rPr>
                <w:b w:val="0"/>
                <w:sz w:val="22"/>
              </w:rPr>
              <w:t>Millfield</w:t>
            </w:r>
            <w:proofErr w:type="spellEnd"/>
            <w:r>
              <w:rPr>
                <w:b w:val="0"/>
                <w:sz w:val="22"/>
              </w:rPr>
              <w:t xml:space="preserve"> lane.</w:t>
            </w:r>
          </w:p>
        </w:tc>
      </w:tr>
      <w:tr w:rsidR="00C94604" w:rsidTr="00F63852">
        <w:tc>
          <w:tcPr>
            <w:tcW w:w="1951" w:type="dxa"/>
          </w:tcPr>
          <w:p w:rsidR="00C94604" w:rsidRPr="00F3716C" w:rsidRDefault="00C94604" w:rsidP="008913A2">
            <w:pPr>
              <w:pStyle w:val="Reporttitle"/>
              <w:numPr>
                <w:ilvl w:val="0"/>
                <w:numId w:val="2"/>
              </w:numPr>
              <w:jc w:val="left"/>
              <w:rPr>
                <w:b w:val="0"/>
                <w:sz w:val="22"/>
              </w:rPr>
            </w:pPr>
          </w:p>
        </w:tc>
        <w:tc>
          <w:tcPr>
            <w:tcW w:w="2949" w:type="dxa"/>
          </w:tcPr>
          <w:p w:rsidR="00C94604" w:rsidRPr="00F3716C" w:rsidRDefault="00CC2C1A" w:rsidP="00C94604">
            <w:pPr>
              <w:pStyle w:val="Reporttitle"/>
              <w:jc w:val="left"/>
              <w:rPr>
                <w:b w:val="0"/>
                <w:sz w:val="22"/>
              </w:rPr>
            </w:pPr>
            <w:r>
              <w:rPr>
                <w:b w:val="0"/>
                <w:sz w:val="22"/>
              </w:rPr>
              <w:t>Drainage</w:t>
            </w:r>
          </w:p>
        </w:tc>
        <w:tc>
          <w:tcPr>
            <w:tcW w:w="3092" w:type="dxa"/>
          </w:tcPr>
          <w:p w:rsidR="00C94604" w:rsidRPr="00F3716C" w:rsidRDefault="00CC2C1A" w:rsidP="00C94604">
            <w:pPr>
              <w:pStyle w:val="Reporttitle"/>
              <w:jc w:val="left"/>
              <w:rPr>
                <w:b w:val="0"/>
                <w:sz w:val="22"/>
              </w:rPr>
            </w:pPr>
            <w:r>
              <w:rPr>
                <w:b w:val="0"/>
                <w:sz w:val="22"/>
              </w:rPr>
              <w:t xml:space="preserve">There is no information on the temporary or permanent surface or foul water proposals. </w:t>
            </w:r>
          </w:p>
        </w:tc>
        <w:tc>
          <w:tcPr>
            <w:tcW w:w="3091" w:type="dxa"/>
          </w:tcPr>
          <w:p w:rsidR="00C94604" w:rsidRPr="00F3716C" w:rsidRDefault="00CC2C1A" w:rsidP="00C94604">
            <w:pPr>
              <w:pStyle w:val="Reporttitle"/>
              <w:jc w:val="left"/>
              <w:rPr>
                <w:b w:val="0"/>
                <w:sz w:val="22"/>
              </w:rPr>
            </w:pPr>
            <w:r>
              <w:rPr>
                <w:b w:val="0"/>
                <w:sz w:val="22"/>
              </w:rPr>
              <w:t xml:space="preserve">A detailed utility survey is required, along with details regarding the pipe under </w:t>
            </w:r>
            <w:proofErr w:type="spellStart"/>
            <w:r>
              <w:rPr>
                <w:b w:val="0"/>
                <w:sz w:val="22"/>
              </w:rPr>
              <w:t>Millfield</w:t>
            </w:r>
            <w:proofErr w:type="spellEnd"/>
            <w:r>
              <w:rPr>
                <w:b w:val="0"/>
                <w:sz w:val="22"/>
              </w:rPr>
              <w:t xml:space="preserve"> Lane (which doesn’t exist).</w:t>
            </w:r>
          </w:p>
        </w:tc>
        <w:tc>
          <w:tcPr>
            <w:tcW w:w="3092" w:type="dxa"/>
          </w:tcPr>
          <w:p w:rsidR="00C94604" w:rsidRPr="00F3716C" w:rsidRDefault="00CC2C1A" w:rsidP="00C94604">
            <w:pPr>
              <w:pStyle w:val="Reporttitle"/>
              <w:jc w:val="left"/>
              <w:rPr>
                <w:b w:val="0"/>
                <w:sz w:val="22"/>
              </w:rPr>
            </w:pPr>
            <w:r>
              <w:rPr>
                <w:b w:val="0"/>
                <w:sz w:val="22"/>
              </w:rPr>
              <w:t>Some utility information provided, including the combined sewer in Fitzroy Park. No information provided on the foul drain below the tennis court.</w:t>
            </w:r>
          </w:p>
        </w:tc>
      </w:tr>
      <w:tr w:rsidR="00C94604" w:rsidTr="00F63852">
        <w:tc>
          <w:tcPr>
            <w:tcW w:w="1951" w:type="dxa"/>
          </w:tcPr>
          <w:p w:rsidR="00C94604" w:rsidRPr="00F3716C" w:rsidRDefault="00C94604" w:rsidP="008913A2">
            <w:pPr>
              <w:pStyle w:val="Reporttitle"/>
              <w:numPr>
                <w:ilvl w:val="0"/>
                <w:numId w:val="2"/>
              </w:numPr>
              <w:jc w:val="left"/>
              <w:rPr>
                <w:b w:val="0"/>
                <w:sz w:val="22"/>
              </w:rPr>
            </w:pPr>
          </w:p>
        </w:tc>
        <w:tc>
          <w:tcPr>
            <w:tcW w:w="2949" w:type="dxa"/>
          </w:tcPr>
          <w:p w:rsidR="00C94604" w:rsidRPr="00F3716C" w:rsidRDefault="00CC2C1A" w:rsidP="00C94604">
            <w:pPr>
              <w:pStyle w:val="Reporttitle"/>
              <w:jc w:val="left"/>
              <w:rPr>
                <w:b w:val="0"/>
                <w:sz w:val="22"/>
              </w:rPr>
            </w:pPr>
            <w:r>
              <w:rPr>
                <w:b w:val="0"/>
                <w:sz w:val="22"/>
              </w:rPr>
              <w:t>Ground Movements</w:t>
            </w:r>
          </w:p>
        </w:tc>
        <w:tc>
          <w:tcPr>
            <w:tcW w:w="3092" w:type="dxa"/>
          </w:tcPr>
          <w:p w:rsidR="00C94604" w:rsidRPr="00F3716C" w:rsidRDefault="00CC2C1A" w:rsidP="00C94604">
            <w:pPr>
              <w:pStyle w:val="Reporttitle"/>
              <w:jc w:val="left"/>
              <w:rPr>
                <w:b w:val="0"/>
                <w:sz w:val="22"/>
              </w:rPr>
            </w:pPr>
            <w:r>
              <w:rPr>
                <w:b w:val="0"/>
                <w:sz w:val="22"/>
              </w:rPr>
              <w:t xml:space="preserve">There are no damage assessments of </w:t>
            </w:r>
            <w:proofErr w:type="gramStart"/>
            <w:r>
              <w:rPr>
                <w:b w:val="0"/>
                <w:sz w:val="22"/>
              </w:rPr>
              <w:t>adjacent  properties</w:t>
            </w:r>
            <w:proofErr w:type="gramEnd"/>
            <w:r>
              <w:rPr>
                <w:b w:val="0"/>
                <w:sz w:val="22"/>
              </w:rPr>
              <w:t xml:space="preserve"> or the existing retaining wall to the carriageway.</w:t>
            </w:r>
          </w:p>
        </w:tc>
        <w:tc>
          <w:tcPr>
            <w:tcW w:w="3091" w:type="dxa"/>
          </w:tcPr>
          <w:p w:rsidR="00C94604" w:rsidRPr="00F3716C" w:rsidRDefault="00CC2C1A" w:rsidP="00C94604">
            <w:pPr>
              <w:pStyle w:val="Reporttitle"/>
              <w:jc w:val="left"/>
              <w:rPr>
                <w:b w:val="0"/>
                <w:sz w:val="22"/>
              </w:rPr>
            </w:pPr>
            <w:r>
              <w:rPr>
                <w:b w:val="0"/>
                <w:sz w:val="22"/>
              </w:rPr>
              <w:t xml:space="preserve">Accepted that adjacent properties far enough away not to be affected. Outline designs of retaining walls required along with confirmation ground movements will not affect the road/pond. </w:t>
            </w:r>
          </w:p>
        </w:tc>
        <w:tc>
          <w:tcPr>
            <w:tcW w:w="3092" w:type="dxa"/>
          </w:tcPr>
          <w:p w:rsidR="00C94604" w:rsidRPr="00F3716C" w:rsidRDefault="00CC2C1A" w:rsidP="00C94604">
            <w:pPr>
              <w:pStyle w:val="Reporttitle"/>
              <w:jc w:val="left"/>
              <w:rPr>
                <w:b w:val="0"/>
                <w:sz w:val="22"/>
              </w:rPr>
            </w:pPr>
            <w:r>
              <w:rPr>
                <w:b w:val="0"/>
                <w:sz w:val="22"/>
              </w:rPr>
              <w:t xml:space="preserve">CR </w:t>
            </w:r>
            <w:proofErr w:type="gramStart"/>
            <w:r>
              <w:rPr>
                <w:b w:val="0"/>
                <w:sz w:val="22"/>
              </w:rPr>
              <w:t>have</w:t>
            </w:r>
            <w:proofErr w:type="gramEnd"/>
            <w:r>
              <w:rPr>
                <w:b w:val="0"/>
                <w:sz w:val="22"/>
              </w:rPr>
              <w:t xml:space="preserve"> accepted that adjacent properties and the retaining wall to carriageway are far enough away from the basement construction not to be affected.</w:t>
            </w:r>
          </w:p>
        </w:tc>
      </w:tr>
      <w:tr w:rsidR="00C94604" w:rsidTr="00F63852">
        <w:tc>
          <w:tcPr>
            <w:tcW w:w="1951" w:type="dxa"/>
          </w:tcPr>
          <w:p w:rsidR="00C94604" w:rsidRPr="00F3716C" w:rsidRDefault="00C94604" w:rsidP="008913A2">
            <w:pPr>
              <w:pStyle w:val="Reporttitle"/>
              <w:numPr>
                <w:ilvl w:val="0"/>
                <w:numId w:val="2"/>
              </w:numPr>
              <w:jc w:val="left"/>
              <w:rPr>
                <w:b w:val="0"/>
                <w:sz w:val="22"/>
              </w:rPr>
            </w:pPr>
          </w:p>
        </w:tc>
        <w:tc>
          <w:tcPr>
            <w:tcW w:w="2949" w:type="dxa"/>
          </w:tcPr>
          <w:p w:rsidR="00C94604" w:rsidRPr="00F3716C" w:rsidRDefault="0011286F" w:rsidP="00C94604">
            <w:pPr>
              <w:pStyle w:val="Reporttitle"/>
              <w:jc w:val="left"/>
              <w:rPr>
                <w:b w:val="0"/>
                <w:sz w:val="22"/>
              </w:rPr>
            </w:pPr>
            <w:r>
              <w:rPr>
                <w:b w:val="0"/>
                <w:sz w:val="22"/>
              </w:rPr>
              <w:t>Vehicle Movements</w:t>
            </w:r>
          </w:p>
        </w:tc>
        <w:tc>
          <w:tcPr>
            <w:tcW w:w="3092" w:type="dxa"/>
          </w:tcPr>
          <w:p w:rsidR="00C94604" w:rsidRPr="00F3716C" w:rsidRDefault="002E63CA" w:rsidP="00C94604">
            <w:pPr>
              <w:pStyle w:val="Reporttitle"/>
              <w:jc w:val="left"/>
              <w:rPr>
                <w:b w:val="0"/>
                <w:sz w:val="22"/>
              </w:rPr>
            </w:pPr>
            <w:r>
              <w:rPr>
                <w:b w:val="0"/>
                <w:sz w:val="22"/>
              </w:rPr>
              <w:t xml:space="preserve">There is contradictory </w:t>
            </w:r>
            <w:r w:rsidR="0011286F">
              <w:rPr>
                <w:b w:val="0"/>
                <w:sz w:val="22"/>
              </w:rPr>
              <w:t>informati</w:t>
            </w:r>
            <w:r>
              <w:rPr>
                <w:b w:val="0"/>
                <w:sz w:val="22"/>
              </w:rPr>
              <w:t>on on vehicle movements and thes</w:t>
            </w:r>
            <w:r w:rsidR="0011286F">
              <w:rPr>
                <w:b w:val="0"/>
                <w:sz w:val="22"/>
              </w:rPr>
              <w:t>e should be assessed cumulatively with other local sites.</w:t>
            </w:r>
          </w:p>
        </w:tc>
        <w:tc>
          <w:tcPr>
            <w:tcW w:w="3091" w:type="dxa"/>
          </w:tcPr>
          <w:p w:rsidR="00C94604" w:rsidRPr="00F3716C" w:rsidRDefault="0011286F" w:rsidP="00C94604">
            <w:pPr>
              <w:pStyle w:val="Reporttitle"/>
              <w:jc w:val="left"/>
              <w:rPr>
                <w:b w:val="0"/>
                <w:sz w:val="22"/>
              </w:rPr>
            </w:pPr>
            <w:r>
              <w:rPr>
                <w:b w:val="0"/>
                <w:sz w:val="22"/>
              </w:rPr>
              <w:t>Not considered as part of BIA audit.</w:t>
            </w:r>
          </w:p>
        </w:tc>
        <w:tc>
          <w:tcPr>
            <w:tcW w:w="3092" w:type="dxa"/>
          </w:tcPr>
          <w:p w:rsidR="00C94604" w:rsidRPr="00F3716C" w:rsidRDefault="0011286F" w:rsidP="00C94604">
            <w:pPr>
              <w:pStyle w:val="Reporttitle"/>
              <w:jc w:val="left"/>
              <w:rPr>
                <w:b w:val="0"/>
                <w:sz w:val="22"/>
              </w:rPr>
            </w:pPr>
            <w:r>
              <w:rPr>
                <w:b w:val="0"/>
                <w:sz w:val="22"/>
              </w:rPr>
              <w:t>Some further clarification has been provided but inconsistencies remain.</w:t>
            </w:r>
          </w:p>
        </w:tc>
      </w:tr>
    </w:tbl>
    <w:p w:rsidR="007162E6" w:rsidRDefault="00846B7B"/>
    <w:sectPr w:rsidR="007162E6" w:rsidSect="00C94604">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604" w:rsidRDefault="00C94604" w:rsidP="00C94604">
      <w:pPr>
        <w:spacing w:after="0"/>
      </w:pPr>
      <w:r>
        <w:separator/>
      </w:r>
    </w:p>
  </w:endnote>
  <w:endnote w:type="continuationSeparator" w:id="0">
    <w:p w:rsidR="00C94604" w:rsidRDefault="00C94604" w:rsidP="00C94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604" w:rsidRPr="00C94604" w:rsidRDefault="00C94604" w:rsidP="007858EA">
    <w:pPr>
      <w:pStyle w:val="Footer"/>
      <w:tabs>
        <w:tab w:val="clear" w:pos="4513"/>
        <w:tab w:val="clear" w:pos="9026"/>
        <w:tab w:val="right" w:pos="14034"/>
      </w:tabs>
      <w:spacing w:before="100" w:beforeAutospacing="1"/>
      <w:ind w:left="1588" w:right="-164"/>
      <w:rPr>
        <w:rFonts w:ascii="Calibri" w:eastAsia="Times New Roman" w:hAnsi="Calibri" w:cs="Times New Roman"/>
        <w:snapToGrid w:val="0"/>
        <w:sz w:val="16"/>
        <w:szCs w:val="16"/>
      </w:rPr>
    </w:pPr>
    <w:r>
      <w:rPr>
        <w:noProof/>
        <w:lang w:eastAsia="en-GB"/>
      </w:rPr>
      <w:drawing>
        <wp:anchor distT="0" distB="0" distL="114300" distR="114300" simplePos="0" relativeHeight="251659264" behindDoc="0" locked="0" layoutInCell="1" allowOverlap="1" wp14:anchorId="45825026" wp14:editId="3349A862">
          <wp:simplePos x="0" y="0"/>
          <wp:positionH relativeFrom="column">
            <wp:posOffset>116840</wp:posOffset>
          </wp:positionH>
          <wp:positionV relativeFrom="page">
            <wp:posOffset>10191115</wp:posOffset>
          </wp:positionV>
          <wp:extent cx="925200" cy="262800"/>
          <wp:effectExtent l="0" t="0" r="0" b="4445"/>
          <wp:wrapNone/>
          <wp:docPr id="1" name="Picture 1" descr="Logo Alan Bax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Alan Bax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200" cy="262800"/>
                  </a:xfrm>
                  <a:prstGeom prst="rect">
                    <a:avLst/>
                  </a:prstGeom>
                  <a:noFill/>
                </pic:spPr>
              </pic:pic>
            </a:graphicData>
          </a:graphic>
          <wp14:sizeRelH relativeFrom="page">
            <wp14:pctWidth>0</wp14:pctWidth>
          </wp14:sizeRelH>
          <wp14:sizeRelV relativeFrom="page">
            <wp14:pctHeight>0</wp14:pctHeight>
          </wp14:sizeRelV>
        </wp:anchor>
      </w:drawing>
    </w:r>
    <w:r w:rsidR="007858EA">
      <w:rPr>
        <w:rFonts w:ascii="Calibri" w:eastAsia="Times New Roman" w:hAnsi="Calibri" w:cs="Times New Roman"/>
        <w:snapToGrid w:val="0"/>
        <w:sz w:val="16"/>
        <w:szCs w:val="16"/>
      </w:rPr>
      <w:tab/>
    </w:r>
    <w:r w:rsidRPr="00C94604">
      <w:rPr>
        <w:rFonts w:ascii="Calibri" w:eastAsia="Times New Roman" w:hAnsi="Calibri" w:cs="Times New Roman"/>
        <w:snapToGrid w:val="0"/>
        <w:sz w:val="16"/>
        <w:szCs w:val="16"/>
      </w:rPr>
      <w:t xml:space="preserve">Page </w:t>
    </w:r>
    <w:r w:rsidRPr="00C94604">
      <w:rPr>
        <w:rFonts w:ascii="Calibri" w:eastAsia="Times New Roman" w:hAnsi="Calibri" w:cs="Times New Roman"/>
        <w:snapToGrid w:val="0"/>
        <w:sz w:val="16"/>
        <w:szCs w:val="16"/>
      </w:rPr>
      <w:fldChar w:fldCharType="begin"/>
    </w:r>
    <w:r w:rsidRPr="00C94604">
      <w:rPr>
        <w:rFonts w:ascii="Calibri" w:eastAsia="Times New Roman" w:hAnsi="Calibri" w:cs="Times New Roman"/>
        <w:snapToGrid w:val="0"/>
        <w:sz w:val="16"/>
        <w:szCs w:val="16"/>
      </w:rPr>
      <w:instrText xml:space="preserve"> PAGE </w:instrText>
    </w:r>
    <w:r w:rsidRPr="00C94604">
      <w:rPr>
        <w:rFonts w:ascii="Calibri" w:eastAsia="Times New Roman" w:hAnsi="Calibri" w:cs="Times New Roman"/>
        <w:snapToGrid w:val="0"/>
        <w:sz w:val="16"/>
        <w:szCs w:val="16"/>
      </w:rPr>
      <w:fldChar w:fldCharType="separate"/>
    </w:r>
    <w:r w:rsidR="00846B7B">
      <w:rPr>
        <w:rFonts w:ascii="Calibri" w:eastAsia="Times New Roman" w:hAnsi="Calibri" w:cs="Times New Roman"/>
        <w:noProof/>
        <w:snapToGrid w:val="0"/>
        <w:sz w:val="16"/>
        <w:szCs w:val="16"/>
      </w:rPr>
      <w:t>2</w:t>
    </w:r>
    <w:r w:rsidRPr="00C94604">
      <w:rPr>
        <w:rFonts w:ascii="Calibri" w:eastAsia="Times New Roman" w:hAnsi="Calibri" w:cs="Times New Roman"/>
        <w:snapToGrid w:val="0"/>
        <w:sz w:val="16"/>
        <w:szCs w:val="16"/>
      </w:rPr>
      <w:fldChar w:fldCharType="end"/>
    </w:r>
    <w:r w:rsidRPr="00C94604">
      <w:rPr>
        <w:rFonts w:ascii="Calibri" w:eastAsia="Times New Roman" w:hAnsi="Calibri" w:cs="Times New Roman"/>
        <w:snapToGrid w:val="0"/>
        <w:sz w:val="16"/>
        <w:szCs w:val="16"/>
      </w:rPr>
      <w:t xml:space="preserve"> of </w:t>
    </w:r>
    <w:r w:rsidRPr="00C94604">
      <w:rPr>
        <w:rFonts w:ascii="Calibri" w:eastAsia="Times New Roman" w:hAnsi="Calibri" w:cs="Times New Roman"/>
        <w:snapToGrid w:val="0"/>
        <w:sz w:val="16"/>
        <w:szCs w:val="16"/>
      </w:rPr>
      <w:fldChar w:fldCharType="begin"/>
    </w:r>
    <w:r w:rsidRPr="00C94604">
      <w:rPr>
        <w:rFonts w:ascii="Calibri" w:eastAsia="Times New Roman" w:hAnsi="Calibri" w:cs="Times New Roman"/>
        <w:snapToGrid w:val="0"/>
        <w:sz w:val="16"/>
        <w:szCs w:val="16"/>
      </w:rPr>
      <w:instrText xml:space="preserve"> NUMPAGES </w:instrText>
    </w:r>
    <w:r w:rsidRPr="00C94604">
      <w:rPr>
        <w:rFonts w:ascii="Calibri" w:eastAsia="Times New Roman" w:hAnsi="Calibri" w:cs="Times New Roman"/>
        <w:snapToGrid w:val="0"/>
        <w:sz w:val="16"/>
        <w:szCs w:val="16"/>
      </w:rPr>
      <w:fldChar w:fldCharType="separate"/>
    </w:r>
    <w:r w:rsidR="00846B7B">
      <w:rPr>
        <w:rFonts w:ascii="Calibri" w:eastAsia="Times New Roman" w:hAnsi="Calibri" w:cs="Times New Roman"/>
        <w:noProof/>
        <w:snapToGrid w:val="0"/>
        <w:sz w:val="16"/>
        <w:szCs w:val="16"/>
      </w:rPr>
      <w:t>6</w:t>
    </w:r>
    <w:r w:rsidRPr="00C94604">
      <w:rPr>
        <w:rFonts w:ascii="Calibri" w:eastAsia="Times New Roman" w:hAnsi="Calibri" w:cs="Times New Roman"/>
        <w:snapToGrid w:val="0"/>
        <w:sz w:val="16"/>
        <w:szCs w:val="16"/>
      </w:rPr>
      <w:fldChar w:fldCharType="end"/>
    </w:r>
  </w:p>
  <w:p w:rsidR="00C94604" w:rsidRDefault="00C94604" w:rsidP="007858EA">
    <w:pPr>
      <w:pStyle w:val="Footer"/>
      <w:tabs>
        <w:tab w:val="clear" w:pos="4513"/>
        <w:tab w:val="clear" w:pos="9026"/>
        <w:tab w:val="right" w:pos="14034"/>
      </w:tabs>
    </w:pPr>
    <w:r>
      <w:rPr>
        <w:noProof/>
        <w:lang w:eastAsia="en-GB"/>
      </w:rPr>
      <w:drawing>
        <wp:inline distT="0" distB="0" distL="0" distR="0" wp14:anchorId="04DEC696" wp14:editId="71751C0A">
          <wp:extent cx="926465" cy="262255"/>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6465" cy="262255"/>
                  </a:xfrm>
                  <a:prstGeom prst="rect">
                    <a:avLst/>
                  </a:prstGeom>
                  <a:noFill/>
                </pic:spPr>
              </pic:pic>
            </a:graphicData>
          </a:graphic>
        </wp:inline>
      </w:drawing>
    </w:r>
    <w:r w:rsidR="007858EA">
      <w:rPr>
        <w:rFonts w:ascii="Calibri" w:eastAsia="Times New Roman" w:hAnsi="Calibri" w:cs="Times New Roman"/>
        <w:snapToGrid w:val="0"/>
        <w:sz w:val="16"/>
        <w:szCs w:val="16"/>
      </w:rPr>
      <w:tab/>
    </w:r>
    <w:r w:rsidRPr="00C94604">
      <w:rPr>
        <w:rFonts w:ascii="Calibri" w:eastAsia="Times New Roman" w:hAnsi="Calibri" w:cs="Times New Roman"/>
        <w:snapToGrid w:val="0"/>
        <w:sz w:val="16"/>
        <w:szCs w:val="16"/>
      </w:rPr>
      <w:fldChar w:fldCharType="begin"/>
    </w:r>
    <w:r w:rsidRPr="00C94604">
      <w:rPr>
        <w:rFonts w:ascii="Calibri" w:eastAsia="Times New Roman" w:hAnsi="Calibri" w:cs="Times New Roman"/>
        <w:snapToGrid w:val="0"/>
        <w:sz w:val="16"/>
        <w:szCs w:val="16"/>
      </w:rPr>
      <w:instrText xml:space="preserve"> FILENAME  \p  \* MERGEFORMAT </w:instrText>
    </w:r>
    <w:r w:rsidRPr="00C94604">
      <w:rPr>
        <w:rFonts w:ascii="Calibri" w:eastAsia="Times New Roman" w:hAnsi="Calibri" w:cs="Times New Roman"/>
        <w:snapToGrid w:val="0"/>
        <w:sz w:val="16"/>
        <w:szCs w:val="16"/>
      </w:rPr>
      <w:fldChar w:fldCharType="separate"/>
    </w:r>
    <w:r w:rsidR="009A6CB6">
      <w:rPr>
        <w:rFonts w:ascii="Calibri" w:eastAsia="Times New Roman" w:hAnsi="Calibri" w:cs="Times New Roman"/>
        <w:noProof/>
        <w:snapToGrid w:val="0"/>
        <w:sz w:val="16"/>
        <w:szCs w:val="16"/>
      </w:rPr>
      <w:t>T:\1675\1675-118\10 Reports\01 ABA Reports\2019-03-29 Fitzroy Park - ABA comment summary.docx</w:t>
    </w:r>
    <w:r w:rsidRPr="00C94604">
      <w:rPr>
        <w:rFonts w:ascii="Calibri" w:eastAsia="Times New Roman" w:hAnsi="Calibri" w:cs="Times New Roman"/>
        <w:snapToGrid w:val="0"/>
        <w:sz w:val="16"/>
        <w:szCs w:val="16"/>
      </w:rPr>
      <w:fldChar w:fldCharType="end"/>
    </w:r>
  </w:p>
  <w:p w:rsidR="007858EA" w:rsidRDefault="007858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604" w:rsidRDefault="00C94604" w:rsidP="00C94604">
      <w:pPr>
        <w:spacing w:after="0"/>
      </w:pPr>
      <w:r>
        <w:separator/>
      </w:r>
    </w:p>
  </w:footnote>
  <w:footnote w:type="continuationSeparator" w:id="0">
    <w:p w:rsidR="00C94604" w:rsidRDefault="00C94604" w:rsidP="00C94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949"/>
    <w:multiLevelType w:val="hybridMultilevel"/>
    <w:tmpl w:val="232827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1DC2D4D"/>
    <w:multiLevelType w:val="hybridMultilevel"/>
    <w:tmpl w:val="44025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604"/>
    <w:rsid w:val="00071F8E"/>
    <w:rsid w:val="0011286F"/>
    <w:rsid w:val="00182D93"/>
    <w:rsid w:val="001C6810"/>
    <w:rsid w:val="002A184E"/>
    <w:rsid w:val="002C344D"/>
    <w:rsid w:val="002E63CA"/>
    <w:rsid w:val="002F07D6"/>
    <w:rsid w:val="003A025B"/>
    <w:rsid w:val="004163AE"/>
    <w:rsid w:val="004453E2"/>
    <w:rsid w:val="004824C6"/>
    <w:rsid w:val="00540BFF"/>
    <w:rsid w:val="005973A4"/>
    <w:rsid w:val="005C2295"/>
    <w:rsid w:val="005E447D"/>
    <w:rsid w:val="00734BA5"/>
    <w:rsid w:val="007858EA"/>
    <w:rsid w:val="007F76B8"/>
    <w:rsid w:val="00846B7B"/>
    <w:rsid w:val="008638A6"/>
    <w:rsid w:val="00876FDB"/>
    <w:rsid w:val="00880D25"/>
    <w:rsid w:val="008913A2"/>
    <w:rsid w:val="008B7256"/>
    <w:rsid w:val="00924851"/>
    <w:rsid w:val="009A6CB6"/>
    <w:rsid w:val="009E3E26"/>
    <w:rsid w:val="00AE2359"/>
    <w:rsid w:val="00AF4D29"/>
    <w:rsid w:val="00B0204D"/>
    <w:rsid w:val="00B571D4"/>
    <w:rsid w:val="00C87272"/>
    <w:rsid w:val="00C94604"/>
    <w:rsid w:val="00CC169C"/>
    <w:rsid w:val="00CC2C1A"/>
    <w:rsid w:val="00D07818"/>
    <w:rsid w:val="00D35C4E"/>
    <w:rsid w:val="00D632B2"/>
    <w:rsid w:val="00F3716C"/>
    <w:rsid w:val="00F63852"/>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604"/>
    <w:pPr>
      <w:spacing w:after="120"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604"/>
    <w:pPr>
      <w:tabs>
        <w:tab w:val="center" w:pos="4513"/>
        <w:tab w:val="right" w:pos="9026"/>
      </w:tabs>
      <w:spacing w:after="0"/>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C94604"/>
  </w:style>
  <w:style w:type="paragraph" w:styleId="Footer">
    <w:name w:val="footer"/>
    <w:basedOn w:val="Normal"/>
    <w:link w:val="FooterChar"/>
    <w:uiPriority w:val="99"/>
    <w:unhideWhenUsed/>
    <w:rsid w:val="00C94604"/>
    <w:pPr>
      <w:tabs>
        <w:tab w:val="center" w:pos="4513"/>
        <w:tab w:val="right" w:pos="9026"/>
      </w:tabs>
      <w:spacing w:after="0"/>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C94604"/>
  </w:style>
  <w:style w:type="paragraph" w:styleId="BalloonText">
    <w:name w:val="Balloon Text"/>
    <w:basedOn w:val="Normal"/>
    <w:link w:val="BalloonTextChar"/>
    <w:uiPriority w:val="99"/>
    <w:semiHidden/>
    <w:unhideWhenUsed/>
    <w:rsid w:val="00C94604"/>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94604"/>
    <w:rPr>
      <w:rFonts w:ascii="Tahoma" w:hAnsi="Tahoma" w:cs="Tahoma"/>
      <w:sz w:val="16"/>
      <w:szCs w:val="16"/>
    </w:rPr>
  </w:style>
  <w:style w:type="character" w:styleId="PageNumber">
    <w:name w:val="page number"/>
    <w:basedOn w:val="DefaultParagraphFont"/>
    <w:rsid w:val="00C94604"/>
  </w:style>
  <w:style w:type="paragraph" w:customStyle="1" w:styleId="Reportreference">
    <w:name w:val="Report reference"/>
    <w:basedOn w:val="Normal"/>
    <w:qFormat/>
    <w:rsid w:val="00C94604"/>
  </w:style>
  <w:style w:type="paragraph" w:customStyle="1" w:styleId="Reporttitle">
    <w:name w:val="Report title"/>
    <w:basedOn w:val="Normal"/>
    <w:qFormat/>
    <w:rsid w:val="00C94604"/>
    <w:pPr>
      <w:ind w:right="-23"/>
      <w:jc w:val="both"/>
    </w:pPr>
    <w:rPr>
      <w:b/>
      <w:sz w:val="24"/>
      <w:szCs w:val="24"/>
    </w:rPr>
  </w:style>
  <w:style w:type="table" w:styleId="TableGrid">
    <w:name w:val="Table Grid"/>
    <w:basedOn w:val="TableNormal"/>
    <w:uiPriority w:val="59"/>
    <w:rsid w:val="00C94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604"/>
    <w:pPr>
      <w:spacing w:after="120"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604"/>
    <w:pPr>
      <w:tabs>
        <w:tab w:val="center" w:pos="4513"/>
        <w:tab w:val="right" w:pos="9026"/>
      </w:tabs>
      <w:spacing w:after="0"/>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C94604"/>
  </w:style>
  <w:style w:type="paragraph" w:styleId="Footer">
    <w:name w:val="footer"/>
    <w:basedOn w:val="Normal"/>
    <w:link w:val="FooterChar"/>
    <w:uiPriority w:val="99"/>
    <w:unhideWhenUsed/>
    <w:rsid w:val="00C94604"/>
    <w:pPr>
      <w:tabs>
        <w:tab w:val="center" w:pos="4513"/>
        <w:tab w:val="right" w:pos="9026"/>
      </w:tabs>
      <w:spacing w:after="0"/>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C94604"/>
  </w:style>
  <w:style w:type="paragraph" w:styleId="BalloonText">
    <w:name w:val="Balloon Text"/>
    <w:basedOn w:val="Normal"/>
    <w:link w:val="BalloonTextChar"/>
    <w:uiPriority w:val="99"/>
    <w:semiHidden/>
    <w:unhideWhenUsed/>
    <w:rsid w:val="00C94604"/>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94604"/>
    <w:rPr>
      <w:rFonts w:ascii="Tahoma" w:hAnsi="Tahoma" w:cs="Tahoma"/>
      <w:sz w:val="16"/>
      <w:szCs w:val="16"/>
    </w:rPr>
  </w:style>
  <w:style w:type="character" w:styleId="PageNumber">
    <w:name w:val="page number"/>
    <w:basedOn w:val="DefaultParagraphFont"/>
    <w:rsid w:val="00C94604"/>
  </w:style>
  <w:style w:type="paragraph" w:customStyle="1" w:styleId="Reportreference">
    <w:name w:val="Report reference"/>
    <w:basedOn w:val="Normal"/>
    <w:qFormat/>
    <w:rsid w:val="00C94604"/>
  </w:style>
  <w:style w:type="paragraph" w:customStyle="1" w:styleId="Reporttitle">
    <w:name w:val="Report title"/>
    <w:basedOn w:val="Normal"/>
    <w:qFormat/>
    <w:rsid w:val="00C94604"/>
    <w:pPr>
      <w:ind w:right="-23"/>
      <w:jc w:val="both"/>
    </w:pPr>
    <w:rPr>
      <w:b/>
      <w:sz w:val="24"/>
      <w:szCs w:val="24"/>
    </w:rPr>
  </w:style>
  <w:style w:type="table" w:styleId="TableGrid">
    <w:name w:val="Table Grid"/>
    <w:basedOn w:val="TableNormal"/>
    <w:uiPriority w:val="59"/>
    <w:rsid w:val="00C94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6</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Alan Baxter &amp; Associates LLP</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MSk</dc:creator>
  <cp:lastModifiedBy>Besa Lahu</cp:lastModifiedBy>
  <cp:revision>36</cp:revision>
  <cp:lastPrinted>2019-04-10T11:05:00Z</cp:lastPrinted>
  <dcterms:created xsi:type="dcterms:W3CDTF">2019-03-28T16:21:00Z</dcterms:created>
  <dcterms:modified xsi:type="dcterms:W3CDTF">2019-04-10T16:09:00Z</dcterms:modified>
</cp:coreProperties>
</file>