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41C" w:rsidRDefault="00B5641C" w:rsidP="00AB6343">
      <w:pPr>
        <w:pStyle w:val="Address"/>
      </w:pPr>
      <w:r>
        <w:t>Planning</w:t>
      </w:r>
      <w:r w:rsidR="00E12249">
        <w:t xml:space="preserve"> Services</w:t>
      </w:r>
    </w:p>
    <w:p w:rsidR="00B5641C" w:rsidRDefault="00B5641C" w:rsidP="00AB6343">
      <w:pPr>
        <w:pStyle w:val="Address"/>
      </w:pPr>
      <w:r>
        <w:t xml:space="preserve">London Borough of Camden </w:t>
      </w:r>
    </w:p>
    <w:p w:rsidR="00B5641C" w:rsidRDefault="00B5641C" w:rsidP="00AB6343">
      <w:pPr>
        <w:pStyle w:val="Address"/>
      </w:pPr>
      <w:r>
        <w:t>5 Pancras Square</w:t>
      </w:r>
    </w:p>
    <w:p w:rsidR="00B5641C" w:rsidRDefault="00B5641C" w:rsidP="00AB6343">
      <w:pPr>
        <w:pStyle w:val="Address"/>
      </w:pPr>
      <w:r>
        <w:t>London</w:t>
      </w:r>
    </w:p>
    <w:p w:rsidR="00B5641C" w:rsidRDefault="00B5641C" w:rsidP="00AB6343">
      <w:pPr>
        <w:pStyle w:val="Address"/>
      </w:pPr>
      <w:r>
        <w:t>N1C 4AG</w:t>
      </w:r>
      <w:r w:rsidR="00E86304">
        <w:t xml:space="preserve">                                                                                                 By Planning Portal only </w:t>
      </w:r>
    </w:p>
    <w:p w:rsidR="00B5641C" w:rsidRDefault="00B5641C" w:rsidP="00AB6343">
      <w:pPr>
        <w:pStyle w:val="Address"/>
      </w:pPr>
    </w:p>
    <w:p w:rsidR="00D45700" w:rsidRDefault="00D45700" w:rsidP="00B5641C">
      <w:pPr>
        <w:pStyle w:val="Address"/>
      </w:pPr>
      <w:r>
        <w:t xml:space="preserve"> </w:t>
      </w:r>
    </w:p>
    <w:p w:rsidR="00D45700" w:rsidRDefault="00D45700" w:rsidP="004046E1">
      <w:r>
        <w:t xml:space="preserve">Dear </w:t>
      </w:r>
      <w:r w:rsidR="00B5641C">
        <w:t>Sir/ Madam</w:t>
      </w:r>
    </w:p>
    <w:p w:rsidR="00874C0C" w:rsidRDefault="00E12249" w:rsidP="00E12249">
      <w:pPr>
        <w:rPr>
          <w:b/>
        </w:rPr>
      </w:pPr>
      <w:r w:rsidRPr="00E12249">
        <w:rPr>
          <w:b/>
        </w:rPr>
        <w:t>WAGAMAMA, 11</w:t>
      </w:r>
      <w:r>
        <w:rPr>
          <w:b/>
        </w:rPr>
        <w:t xml:space="preserve"> </w:t>
      </w:r>
      <w:r w:rsidRPr="00E12249">
        <w:rPr>
          <w:b/>
        </w:rPr>
        <w:t>JAMESTOWN ROAD</w:t>
      </w:r>
      <w:r>
        <w:rPr>
          <w:b/>
        </w:rPr>
        <w:t>,</w:t>
      </w:r>
      <w:r w:rsidRPr="00E12249">
        <w:rPr>
          <w:b/>
        </w:rPr>
        <w:t xml:space="preserve"> CAMDEN TOWN</w:t>
      </w:r>
      <w:r>
        <w:rPr>
          <w:b/>
        </w:rPr>
        <w:t>,</w:t>
      </w:r>
      <w:r w:rsidRPr="00E12249">
        <w:rPr>
          <w:b/>
        </w:rPr>
        <w:t xml:space="preserve"> LONDON NW1 7BW</w:t>
      </w:r>
      <w:r w:rsidR="00E86304">
        <w:rPr>
          <w:b/>
        </w:rPr>
        <w:t>.</w:t>
      </w:r>
    </w:p>
    <w:p w:rsidR="00E86304" w:rsidRDefault="00E86304" w:rsidP="00E12249">
      <w:r>
        <w:t xml:space="preserve">Please find enclosed an Advertisement Consent application, submitted on behalf of our client, Wagamama, for an internally illuminated sign above </w:t>
      </w:r>
      <w:r w:rsidR="00002F04">
        <w:t>an</w:t>
      </w:r>
      <w:r>
        <w:t xml:space="preserve"> entrance to its restaurant </w:t>
      </w:r>
      <w:r w:rsidR="00002F04">
        <w:t>on</w:t>
      </w:r>
      <w:r w:rsidR="00757FCC">
        <w:t xml:space="preserve"> Jamestown </w:t>
      </w:r>
      <w:r>
        <w:t xml:space="preserve">Road, Camden Town. </w:t>
      </w:r>
    </w:p>
    <w:p w:rsidR="00A31E68" w:rsidRDefault="00757FCC" w:rsidP="00E12249">
      <w:r>
        <w:t>Our client’s restaurant is located in part of the Glass Building</w:t>
      </w:r>
      <w:r w:rsidR="001F5A7C">
        <w:t>s</w:t>
      </w:r>
      <w:r>
        <w:t xml:space="preserve"> and </w:t>
      </w:r>
      <w:r w:rsidR="001F5A7C">
        <w:t xml:space="preserve">its main </w:t>
      </w:r>
      <w:r>
        <w:t xml:space="preserve">frontage to Jamestown Road </w:t>
      </w:r>
      <w:r w:rsidR="001F5A7C">
        <w:t xml:space="preserve">with a </w:t>
      </w:r>
      <w:bookmarkStart w:id="0" w:name="_GoBack"/>
      <w:bookmarkEnd w:id="0"/>
      <w:r>
        <w:t>return frontage to Arlington Road</w:t>
      </w:r>
      <w:r w:rsidR="00176009">
        <w:t>.</w:t>
      </w:r>
      <w:r>
        <w:t xml:space="preserve"> The main entrance to the restaurant is situated on the corner of these two roads but in </w:t>
      </w:r>
      <w:r w:rsidR="003D5D7E">
        <w:t>February</w:t>
      </w:r>
      <w:r w:rsidR="00A31E68">
        <w:t xml:space="preserve"> 2019 </w:t>
      </w:r>
      <w:r w:rsidR="003D5D7E">
        <w:t>planning</w:t>
      </w:r>
      <w:r w:rsidR="00A31E68">
        <w:t xml:space="preserve"> permission was granted, under Council Ref: 2018/6129/P, for the installation of a door within the </w:t>
      </w:r>
      <w:r w:rsidR="003D5D7E">
        <w:t xml:space="preserve">building’s curved bay </w:t>
      </w:r>
      <w:r w:rsidR="00A31E68">
        <w:t>frontage to Jamestown Road.</w:t>
      </w:r>
    </w:p>
    <w:p w:rsidR="00E73E73" w:rsidRDefault="00A31E68" w:rsidP="00E12249">
      <w:r>
        <w:t>The enclosed application is for a</w:t>
      </w:r>
      <w:r w:rsidR="00E73E73">
        <w:t>n</w:t>
      </w:r>
      <w:r>
        <w:t xml:space="preserve"> internally illuminated fascia sign above this new door</w:t>
      </w:r>
      <w:r w:rsidR="003006EF">
        <w:t>,</w:t>
      </w:r>
      <w:r>
        <w:t xml:space="preserve"> </w:t>
      </w:r>
      <w:r w:rsidR="00E73E73">
        <w:t>w</w:t>
      </w:r>
      <w:r w:rsidR="003D5D7E">
        <w:t xml:space="preserve">hich </w:t>
      </w:r>
      <w:r w:rsidR="00E73E73">
        <w:t>gives acces</w:t>
      </w:r>
      <w:r w:rsidR="003D5D7E">
        <w:t>s</w:t>
      </w:r>
      <w:r w:rsidR="00E73E73">
        <w:t xml:space="preserve"> to</w:t>
      </w:r>
      <w:r>
        <w:t xml:space="preserve"> the associated internal lobby. </w:t>
      </w:r>
      <w:r w:rsidR="00E73E73">
        <w:t xml:space="preserve">The </w:t>
      </w:r>
      <w:r w:rsidR="003D5D7E">
        <w:t>sign will</w:t>
      </w:r>
      <w:r>
        <w:t xml:space="preserve"> be located </w:t>
      </w:r>
      <w:r w:rsidR="00E73E73">
        <w:t>on</w:t>
      </w:r>
      <w:r w:rsidR="003006EF">
        <w:t xml:space="preserve"> one of the curved bay sections of </w:t>
      </w:r>
      <w:r w:rsidR="00E73E73">
        <w:t>the existing fascia panel that runs along the whole length of The Glass Building and will following the distinctive curved elevation of the building.</w:t>
      </w:r>
    </w:p>
    <w:p w:rsidR="00757FCC" w:rsidRDefault="00E73E73" w:rsidP="00E12249">
      <w:r>
        <w:t xml:space="preserve">With the </w:t>
      </w:r>
      <w:r w:rsidR="00212161">
        <w:t>restaurant’s</w:t>
      </w:r>
      <w:r>
        <w:t xml:space="preserve"> long frontage to Jamestown Road</w:t>
      </w:r>
      <w:r w:rsidR="00212161">
        <w:t>,</w:t>
      </w:r>
      <w:r>
        <w:t xml:space="preserve"> the </w:t>
      </w:r>
      <w:r w:rsidR="00212161">
        <w:t>proposed</w:t>
      </w:r>
      <w:r>
        <w:t xml:space="preserve"> </w:t>
      </w:r>
      <w:r w:rsidR="00212161">
        <w:t>fascia</w:t>
      </w:r>
      <w:r>
        <w:t xml:space="preserve"> sign will help </w:t>
      </w:r>
      <w:r w:rsidR="003006EF">
        <w:t xml:space="preserve">signal and identify </w:t>
      </w:r>
      <w:r w:rsidR="004E4805">
        <w:t xml:space="preserve">the new entrance to the </w:t>
      </w:r>
      <w:r w:rsidR="003006EF">
        <w:t>restaurant,</w:t>
      </w:r>
      <w:r w:rsidR="004E4805">
        <w:t xml:space="preserve"> when approaching </w:t>
      </w:r>
      <w:r w:rsidR="00176009">
        <w:t xml:space="preserve">particularly </w:t>
      </w:r>
      <w:r w:rsidR="004E4805">
        <w:t>from Camden High Street to the north east</w:t>
      </w:r>
      <w:r w:rsidR="003006EF">
        <w:t>.</w:t>
      </w:r>
      <w:r w:rsidR="004E4805">
        <w:t xml:space="preserve"> </w:t>
      </w:r>
    </w:p>
    <w:p w:rsidR="008A1BFF" w:rsidRDefault="003006EF" w:rsidP="00D45700">
      <w:r>
        <w:t>The application is accompanied by the requisite forms, drawings and a visual image of how the sign would appear</w:t>
      </w:r>
      <w:r w:rsidR="008A1BFF">
        <w:t>.</w:t>
      </w:r>
    </w:p>
    <w:p w:rsidR="008A1BFF" w:rsidRDefault="008A1BFF" w:rsidP="00D45700">
      <w:r>
        <w:t>The application fee of £132 has been paid electronically via the Planning Portal.</w:t>
      </w:r>
    </w:p>
    <w:p w:rsidR="00D45700" w:rsidRDefault="008A1BFF" w:rsidP="00D45700">
      <w:r>
        <w:t>I trust you have all the relevant drawings etc to validate and register</w:t>
      </w:r>
      <w:r w:rsidR="003006EF">
        <w:t xml:space="preserve"> </w:t>
      </w:r>
      <w:r>
        <w:t>the application.</w:t>
      </w:r>
    </w:p>
    <w:p w:rsidR="008A1BFF" w:rsidRDefault="008A1BFF" w:rsidP="00D45700">
      <w:r>
        <w:t>Yours faithfully,</w:t>
      </w:r>
    </w:p>
    <w:p w:rsidR="008A1BFF" w:rsidRDefault="008A1BFF" w:rsidP="00D45700"/>
    <w:p w:rsidR="008A1BFF" w:rsidRDefault="008A1BFF" w:rsidP="00D45700">
      <w:proofErr w:type="spellStart"/>
      <w:r>
        <w:t>Bidwells</w:t>
      </w:r>
      <w:proofErr w:type="spellEnd"/>
      <w:r>
        <w:t xml:space="preserve"> LLP</w:t>
      </w:r>
    </w:p>
    <w:p w:rsidR="00A318F9" w:rsidRPr="00A318F9" w:rsidRDefault="00A318F9" w:rsidP="00D45700">
      <w:pPr>
        <w:rPr>
          <w:b/>
          <w:color w:val="152359" w:themeColor="text2"/>
        </w:rPr>
      </w:pPr>
      <w:r w:rsidRPr="00A318F9">
        <w:rPr>
          <w:b/>
          <w:color w:val="152359" w:themeColor="text2"/>
        </w:rPr>
        <w:t>Enclosures</w:t>
      </w:r>
      <w:r>
        <w:rPr>
          <w:b/>
          <w:color w:val="152359" w:themeColor="text2"/>
        </w:rPr>
        <w:t xml:space="preserve"> </w:t>
      </w:r>
    </w:p>
    <w:sectPr w:rsidR="00A318F9" w:rsidRPr="00A318F9" w:rsidSect="002942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304" w:bottom="1440" w:left="1304" w:header="96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41C" w:rsidRDefault="00B5641C" w:rsidP="00D45700">
      <w:pPr>
        <w:spacing w:after="0" w:line="240" w:lineRule="auto"/>
      </w:pPr>
      <w:r>
        <w:separator/>
      </w:r>
    </w:p>
  </w:endnote>
  <w:endnote w:type="continuationSeparator" w:id="0">
    <w:p w:rsidR="00B5641C" w:rsidRDefault="00B5641C" w:rsidP="00D4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48F" w:rsidRPr="006F499A" w:rsidRDefault="00E1048F" w:rsidP="006F499A">
    <w:pPr>
      <w:pStyle w:val="PageNumber1"/>
    </w:pPr>
    <w:r w:rsidRPr="006F499A">
      <w:drawing>
        <wp:anchor distT="0" distB="0" distL="114300" distR="114300" simplePos="0" relativeHeight="251655680" behindDoc="0" locked="1" layoutInCell="1" allowOverlap="1" wp14:anchorId="16F684BD" wp14:editId="0A4EF724">
          <wp:simplePos x="0" y="0"/>
          <wp:positionH relativeFrom="margin">
            <wp:posOffset>5328285</wp:posOffset>
          </wp:positionH>
          <wp:positionV relativeFrom="page">
            <wp:posOffset>360045</wp:posOffset>
          </wp:positionV>
          <wp:extent cx="1011600" cy="360000"/>
          <wp:effectExtent l="0" t="0" r="0" b="2540"/>
          <wp:wrapNone/>
          <wp:docPr id="4" name="99" descr="G:\Bidwells\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idwells\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0D3" w:rsidRPr="006F499A">
      <w:t xml:space="preserve">Page </w:t>
    </w:r>
    <w:r w:rsidR="003B10D3" w:rsidRPr="006F499A">
      <w:fldChar w:fldCharType="begin"/>
    </w:r>
    <w:r w:rsidR="003B10D3" w:rsidRPr="006F499A">
      <w:instrText xml:space="preserve"> PAGE   \* MERGEFORMAT </w:instrText>
    </w:r>
    <w:r w:rsidR="003B10D3" w:rsidRPr="006F499A">
      <w:fldChar w:fldCharType="separate"/>
    </w:r>
    <w:r w:rsidR="00BF1822">
      <w:t>2</w:t>
    </w:r>
    <w:r w:rsidR="003B10D3" w:rsidRPr="006F499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C7F" w:rsidRPr="00C72E63" w:rsidRDefault="00CE2C7F" w:rsidP="0044370E">
    <w:pPr>
      <w:pStyle w:val="Officeaddress"/>
      <w:rPr>
        <w:lang w:val="en-GB"/>
      </w:rPr>
    </w:pPr>
    <w:r>
      <w:rPr>
        <w:lang w:val="en-GB"/>
      </w:rPr>
      <w:t xml:space="preserve">Seacourt Tower, West Way, Oxford </w:t>
    </w:r>
    <w:r w:rsidRPr="0044370E">
      <w:rPr>
        <w:lang w:val="en-GB"/>
      </w:rPr>
      <w:t>OX2 0JJ</w:t>
    </w:r>
  </w:p>
  <w:p w:rsidR="00CE2C7F" w:rsidRPr="006F499A" w:rsidRDefault="00CE2C7F" w:rsidP="006F499A">
    <w:pPr>
      <w:pStyle w:val="Officeaddress"/>
    </w:pPr>
    <w:r w:rsidRPr="006F499A">
      <w:t xml:space="preserve">T: </w:t>
    </w:r>
    <w:r w:rsidRPr="0044370E">
      <w:t>01865 790116</w:t>
    </w:r>
    <w:r>
      <w:t xml:space="preserve">  </w:t>
    </w:r>
    <w:r w:rsidRPr="006F499A">
      <w:t xml:space="preserve">E: info@bidwells.co.uk  </w:t>
    </w:r>
    <w:r>
      <w:t>W</w:t>
    </w:r>
    <w:r w:rsidRPr="006F499A">
      <w:t>:</w:t>
    </w:r>
    <w:r>
      <w:t xml:space="preserve"> </w:t>
    </w:r>
    <w:r w:rsidRPr="006F499A">
      <w:t>bidwells.co.uk</w:t>
    </w:r>
  </w:p>
  <w:p w:rsidR="003362B3" w:rsidRPr="006F499A" w:rsidRDefault="003362B3" w:rsidP="00880985">
    <w:pPr>
      <w:pStyle w:val="disc"/>
    </w:pPr>
    <w:r w:rsidRPr="006F499A">
      <w:t>Bidwells is a trading name of Bidwells LLP, a limited liability partnership, registered in England and Wales with number OC344553.</w:t>
    </w:r>
  </w:p>
  <w:p w:rsidR="003362B3" w:rsidRDefault="003362B3" w:rsidP="00880985">
    <w:pPr>
      <w:pStyle w:val="disc"/>
    </w:pPr>
    <w:r w:rsidRPr="006F499A">
      <w:t>Registered office: Bidwell House Trumpington Road Cambridge CB2 9LD. A list of members is available for inspection at the above address.</w:t>
    </w:r>
  </w:p>
  <w:p w:rsidR="006F30D7" w:rsidRPr="006F499A" w:rsidRDefault="006F30D7" w:rsidP="00880985">
    <w:pPr>
      <w:pStyle w:val="disc"/>
    </w:pPr>
    <w:r w:rsidRPr="001209C8">
      <w:t>Please ensure you’re familiar with our Privacy Notice which is available here: bidwells.co.uk/privacy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41C" w:rsidRDefault="00B5641C" w:rsidP="00D45700">
      <w:pPr>
        <w:spacing w:after="0" w:line="240" w:lineRule="auto"/>
      </w:pPr>
      <w:r>
        <w:separator/>
      </w:r>
    </w:p>
  </w:footnote>
  <w:footnote w:type="continuationSeparator" w:id="0">
    <w:p w:rsidR="00B5641C" w:rsidRDefault="00B5641C" w:rsidP="00D4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9EF" w:rsidRPr="004C4C44" w:rsidRDefault="004C4C44" w:rsidP="004C4C44">
    <w:pPr>
      <w:pStyle w:val="headerreferencetext"/>
    </w:pPr>
    <w:r w:rsidRPr="004C4C44">
      <w:t xml:space="preserve">property/client name etc. if applicable. </w:t>
    </w:r>
    <w:r>
      <w:t xml:space="preserve">double-click here and </w:t>
    </w:r>
    <w:r w:rsidRPr="004C4C44">
      <w:t xml:space="preserve">delete </w:t>
    </w:r>
    <w:r>
      <w:t>if not</w:t>
    </w:r>
  </w:p>
  <w:p w:rsidR="004C4C44" w:rsidRDefault="004C4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0D3" w:rsidRDefault="003B10D3" w:rsidP="00D45700">
    <w:pPr>
      <w:pStyle w:val="Header"/>
    </w:pPr>
  </w:p>
  <w:p w:rsidR="004C4C44" w:rsidRDefault="004C4C44" w:rsidP="00D45700">
    <w:pPr>
      <w:pStyle w:val="Header"/>
    </w:pPr>
  </w:p>
  <w:p w:rsidR="004C4C44" w:rsidRDefault="004C4C44" w:rsidP="00D45700">
    <w:pPr>
      <w:pStyle w:val="Header"/>
    </w:pPr>
  </w:p>
  <w:p w:rsidR="004C4C44" w:rsidRDefault="004C4C44" w:rsidP="00D45700">
    <w:pPr>
      <w:pStyle w:val="Header"/>
    </w:pPr>
  </w:p>
  <w:tbl>
    <w:tblPr>
      <w:tblStyle w:val="TableGrid"/>
      <w:tblW w:w="4022" w:type="dxa"/>
      <w:tblInd w:w="62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851"/>
      <w:gridCol w:w="3171"/>
    </w:tblGrid>
    <w:tr w:rsidR="00A25A06" w:rsidTr="00702DFB">
      <w:tc>
        <w:tcPr>
          <w:tcW w:w="851" w:type="dxa"/>
        </w:tcPr>
        <w:p w:rsidR="00A25A06" w:rsidRPr="00702DFB" w:rsidRDefault="00773FD3" w:rsidP="00702DFB">
          <w:pPr>
            <w:pStyle w:val="letterheadreferences"/>
            <w:rPr>
              <w:color w:val="152359" w:themeColor="text2"/>
              <w:sz w:val="14"/>
            </w:rPr>
          </w:pPr>
          <w:r w:rsidRPr="00702DFB">
            <w:rPr>
              <w:color w:val="152359" w:themeColor="text2"/>
              <w:sz w:val="14"/>
            </w:rPr>
            <w:t>Your ref:</w:t>
          </w:r>
        </w:p>
      </w:tc>
      <w:tc>
        <w:tcPr>
          <w:tcW w:w="3171" w:type="dxa"/>
        </w:tcPr>
        <w:p w:rsidR="00A25A06" w:rsidRPr="00702DFB" w:rsidRDefault="00A25A06" w:rsidP="00702DFB">
          <w:pPr>
            <w:pStyle w:val="letterheadreferences"/>
            <w:rPr>
              <w:sz w:val="14"/>
            </w:rPr>
          </w:pPr>
        </w:p>
      </w:tc>
    </w:tr>
    <w:tr w:rsidR="00A25A06" w:rsidTr="00702DFB">
      <w:tc>
        <w:tcPr>
          <w:tcW w:w="851" w:type="dxa"/>
        </w:tcPr>
        <w:p w:rsidR="00A25A06" w:rsidRPr="00702DFB" w:rsidRDefault="00773FD3" w:rsidP="00702DFB">
          <w:pPr>
            <w:pStyle w:val="letterheadreferences"/>
            <w:rPr>
              <w:color w:val="152359" w:themeColor="text2"/>
              <w:sz w:val="14"/>
            </w:rPr>
          </w:pPr>
          <w:r w:rsidRPr="00702DFB">
            <w:rPr>
              <w:color w:val="152359" w:themeColor="text2"/>
              <w:sz w:val="14"/>
            </w:rPr>
            <w:t>Our ref:</w:t>
          </w:r>
        </w:p>
      </w:tc>
      <w:tc>
        <w:tcPr>
          <w:tcW w:w="3171" w:type="dxa"/>
        </w:tcPr>
        <w:p w:rsidR="00A25A06" w:rsidRPr="00702DFB" w:rsidRDefault="0068562C" w:rsidP="00702DFB">
          <w:pPr>
            <w:pStyle w:val="letterheadreferences"/>
            <w:rPr>
              <w:sz w:val="14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848" behindDoc="0" locked="1" layoutInCell="1" allowOverlap="1" wp14:anchorId="086BBF82" wp14:editId="289E95E6">
                <wp:simplePos x="0" y="0"/>
                <wp:positionH relativeFrom="page">
                  <wp:posOffset>3810</wp:posOffset>
                </wp:positionH>
                <wp:positionV relativeFrom="margin">
                  <wp:posOffset>-915035</wp:posOffset>
                </wp:positionV>
                <wp:extent cx="1799590" cy="643890"/>
                <wp:effectExtent l="0" t="0" r="0" b="3810"/>
                <wp:wrapNone/>
                <wp:docPr id="5" name="l999" descr="K:\Documents\Bidwells\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Documents\Bidwells\logo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73FD3" w:rsidTr="00702DFB">
      <w:tc>
        <w:tcPr>
          <w:tcW w:w="851" w:type="dxa"/>
        </w:tcPr>
        <w:p w:rsidR="00773FD3" w:rsidRPr="00702DFB" w:rsidRDefault="00773FD3" w:rsidP="00702DFB">
          <w:pPr>
            <w:pStyle w:val="letterheadreferences"/>
            <w:rPr>
              <w:color w:val="152359" w:themeColor="text2"/>
              <w:sz w:val="14"/>
            </w:rPr>
          </w:pPr>
          <w:r w:rsidRPr="00702DFB">
            <w:rPr>
              <w:color w:val="152359" w:themeColor="text2"/>
              <w:sz w:val="14"/>
            </w:rPr>
            <w:t>DD:</w:t>
          </w:r>
        </w:p>
      </w:tc>
      <w:tc>
        <w:tcPr>
          <w:tcW w:w="3171" w:type="dxa"/>
        </w:tcPr>
        <w:p w:rsidR="00773FD3" w:rsidRPr="00702DFB" w:rsidRDefault="00F77F13" w:rsidP="00702DFB">
          <w:pPr>
            <w:pStyle w:val="letterheadreferences"/>
            <w:rPr>
              <w:sz w:val="14"/>
            </w:rPr>
          </w:pPr>
          <w:r>
            <w:rPr>
              <w:sz w:val="14"/>
            </w:rPr>
            <w:t xml:space="preserve">01865 </w:t>
          </w:r>
          <w:r w:rsidR="00E86304">
            <w:rPr>
              <w:sz w:val="14"/>
            </w:rPr>
            <w:t>592633</w:t>
          </w:r>
        </w:p>
      </w:tc>
    </w:tr>
    <w:tr w:rsidR="00773FD3" w:rsidTr="00702DFB">
      <w:tc>
        <w:tcPr>
          <w:tcW w:w="851" w:type="dxa"/>
        </w:tcPr>
        <w:p w:rsidR="00773FD3" w:rsidRPr="00702DFB" w:rsidRDefault="00773FD3" w:rsidP="00702DFB">
          <w:pPr>
            <w:pStyle w:val="letterheadreferences"/>
            <w:rPr>
              <w:color w:val="152359" w:themeColor="text2"/>
              <w:sz w:val="14"/>
            </w:rPr>
          </w:pPr>
          <w:r w:rsidRPr="00702DFB">
            <w:rPr>
              <w:color w:val="152359" w:themeColor="text2"/>
              <w:sz w:val="14"/>
            </w:rPr>
            <w:t>E:</w:t>
          </w:r>
        </w:p>
      </w:tc>
      <w:tc>
        <w:tcPr>
          <w:tcW w:w="3171" w:type="dxa"/>
        </w:tcPr>
        <w:p w:rsidR="00773FD3" w:rsidRPr="00702DFB" w:rsidRDefault="00E86304" w:rsidP="00870262">
          <w:pPr>
            <w:pStyle w:val="letterheadreferences"/>
            <w:rPr>
              <w:sz w:val="14"/>
            </w:rPr>
          </w:pPr>
          <w:r>
            <w:rPr>
              <w:sz w:val="14"/>
            </w:rPr>
            <w:t>Paul.semple@</w:t>
          </w:r>
          <w:r w:rsidR="00702DFB" w:rsidRPr="00702DFB">
            <w:rPr>
              <w:sz w:val="14"/>
            </w:rPr>
            <w:t>bidwells.co.uk</w:t>
          </w:r>
        </w:p>
      </w:tc>
    </w:tr>
    <w:tr w:rsidR="00773FD3" w:rsidTr="00702DFB">
      <w:tc>
        <w:tcPr>
          <w:tcW w:w="851" w:type="dxa"/>
        </w:tcPr>
        <w:p w:rsidR="00773FD3" w:rsidRPr="00702DFB" w:rsidRDefault="00773FD3" w:rsidP="00702DFB">
          <w:pPr>
            <w:pStyle w:val="letterheadreferences"/>
            <w:rPr>
              <w:color w:val="152359" w:themeColor="text2"/>
              <w:sz w:val="14"/>
            </w:rPr>
          </w:pPr>
          <w:r w:rsidRPr="00702DFB">
            <w:rPr>
              <w:color w:val="152359" w:themeColor="text2"/>
              <w:sz w:val="14"/>
            </w:rPr>
            <w:t>Date:</w:t>
          </w:r>
        </w:p>
      </w:tc>
      <w:tc>
        <w:tcPr>
          <w:tcW w:w="3171" w:type="dxa"/>
        </w:tcPr>
        <w:p w:rsidR="00773FD3" w:rsidRPr="00702DFB" w:rsidRDefault="00E86304" w:rsidP="00702DFB">
          <w:pPr>
            <w:pStyle w:val="letterheadreferences"/>
            <w:rPr>
              <w:sz w:val="14"/>
            </w:rPr>
          </w:pPr>
          <w:r>
            <w:rPr>
              <w:sz w:val="14"/>
            </w:rPr>
            <w:t>19</w:t>
          </w:r>
          <w:r w:rsidR="00773FD3" w:rsidRPr="00702DFB">
            <w:rPr>
              <w:sz w:val="14"/>
            </w:rPr>
            <w:t>/</w:t>
          </w:r>
          <w:r>
            <w:rPr>
              <w:sz w:val="14"/>
            </w:rPr>
            <w:t>06</w:t>
          </w:r>
          <w:r w:rsidR="00773FD3" w:rsidRPr="00702DFB">
            <w:rPr>
              <w:sz w:val="14"/>
            </w:rPr>
            <w:t>/</w:t>
          </w:r>
          <w:r>
            <w:rPr>
              <w:sz w:val="14"/>
            </w:rPr>
            <w:t>2019</w:t>
          </w:r>
        </w:p>
      </w:tc>
    </w:tr>
  </w:tbl>
  <w:p w:rsidR="00D45700" w:rsidRDefault="00D45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4364"/>
    <w:multiLevelType w:val="multilevel"/>
    <w:tmpl w:val="28B64EE8"/>
    <w:lvl w:ilvl="0">
      <w:start w:val="1"/>
      <w:numFmt w:val="decimal"/>
      <w:pStyle w:val="Number1"/>
      <w:lvlText w:val="%1.0"/>
      <w:lvlJc w:val="right"/>
      <w:pPr>
        <w:ind w:left="680" w:hanging="680"/>
      </w:pPr>
      <w:rPr>
        <w:rFonts w:hint="default"/>
        <w:sz w:val="36"/>
      </w:rPr>
    </w:lvl>
    <w:lvl w:ilvl="1">
      <w:start w:val="1"/>
      <w:numFmt w:val="decimal"/>
      <w:pStyle w:val="Number2"/>
      <w:lvlText w:val="%1.%2"/>
      <w:lvlJc w:val="right"/>
      <w:pPr>
        <w:ind w:left="680" w:hanging="680"/>
      </w:pPr>
      <w:rPr>
        <w:rFonts w:hint="default"/>
      </w:rPr>
    </w:lvl>
    <w:lvl w:ilvl="2">
      <w:start w:val="1"/>
      <w:numFmt w:val="decimal"/>
      <w:pStyle w:val="Number3"/>
      <w:lvlText w:val="%1.%2.%3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pStyle w:val="Number4"/>
      <w:lvlText w:val="%1.%2.%3.%4"/>
      <w:lvlJc w:val="right"/>
      <w:pPr>
        <w:ind w:left="680" w:hanging="680"/>
      </w:pPr>
      <w:rPr>
        <w:rFonts w:hint="default"/>
      </w:rPr>
    </w:lvl>
    <w:lvl w:ilvl="4">
      <w:start w:val="1"/>
      <w:numFmt w:val="decimal"/>
      <w:pStyle w:val="Number5"/>
      <w:lvlText w:val="%1.%2.%3.%4.%5"/>
      <w:lvlJc w:val="right"/>
      <w:pPr>
        <w:ind w:left="680" w:hanging="680"/>
      </w:pPr>
      <w:rPr>
        <w:rFonts w:hint="default"/>
        <w:sz w:val="16"/>
      </w:rPr>
    </w:lvl>
    <w:lvl w:ilvl="5">
      <w:start w:val="1"/>
      <w:numFmt w:val="decimal"/>
      <w:lvlText w:val="%1.%2.%3.%4.%5.%6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1" w15:restartNumberingAfterBreak="0">
    <w:nsid w:val="15B73FF0"/>
    <w:multiLevelType w:val="multilevel"/>
    <w:tmpl w:val="8AC8993C"/>
    <w:lvl w:ilvl="0">
      <w:start w:val="1"/>
      <w:numFmt w:val="bullet"/>
      <w:pStyle w:val="Bullet1"/>
      <w:lvlText w:val="●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ABD8ED" w:themeColor="accent2"/>
      </w:rPr>
    </w:lvl>
    <w:lvl w:ilvl="1">
      <w:start w:val="1"/>
      <w:numFmt w:val="bullet"/>
      <w:pStyle w:val="Bullet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Bullet3"/>
      <w:lvlText w:val="●"/>
      <w:lvlJc w:val="left"/>
      <w:pPr>
        <w:tabs>
          <w:tab w:val="num" w:pos="1020"/>
        </w:tabs>
        <w:ind w:left="1020" w:hanging="340"/>
      </w:pPr>
      <w:rPr>
        <w:rFonts w:ascii="Calibri" w:hAnsi="Calibri" w:hint="default"/>
        <w:color w:val="ABD8ED" w:themeColor="accent2"/>
      </w:rPr>
    </w:lvl>
    <w:lvl w:ilvl="3">
      <w:start w:val="1"/>
      <w:numFmt w:val="bullet"/>
      <w:pStyle w:val="Bullet4"/>
      <w:lvlText w:val="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 w:themeColor="text1"/>
      </w:rPr>
    </w:lvl>
    <w:lvl w:ilvl="4">
      <w:start w:val="1"/>
      <w:numFmt w:val="bullet"/>
      <w:pStyle w:val="Bullet5"/>
      <w:lvlText w:val="●"/>
      <w:lvlJc w:val="left"/>
      <w:pPr>
        <w:tabs>
          <w:tab w:val="num" w:pos="1700"/>
        </w:tabs>
        <w:ind w:left="1700" w:hanging="340"/>
      </w:pPr>
      <w:rPr>
        <w:rFonts w:ascii="Calibri" w:hAnsi="Calibri" w:hint="default"/>
        <w:color w:val="ABD8ED" w:themeColor="accent2"/>
      </w:rPr>
    </w:lvl>
    <w:lvl w:ilvl="5">
      <w:start w:val="1"/>
      <w:numFmt w:val="bullet"/>
      <w:pStyle w:val="Bullet6"/>
      <w:lvlText w:val="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 w:themeColor="text1"/>
      </w:rPr>
    </w:lvl>
    <w:lvl w:ilvl="6">
      <w:start w:val="1"/>
      <w:numFmt w:val="bullet"/>
      <w:pStyle w:val="Bullet7"/>
      <w:lvlText w:val="●"/>
      <w:lvlJc w:val="left"/>
      <w:pPr>
        <w:tabs>
          <w:tab w:val="num" w:pos="2380"/>
        </w:tabs>
        <w:ind w:left="2380" w:hanging="340"/>
      </w:pPr>
      <w:rPr>
        <w:rFonts w:ascii="Calibri" w:hAnsi="Calibri" w:hint="default"/>
        <w:color w:val="ABD8ED" w:themeColor="accent2"/>
      </w:rPr>
    </w:lvl>
    <w:lvl w:ilvl="7">
      <w:start w:val="1"/>
      <w:numFmt w:val="bullet"/>
      <w:pStyle w:val="Bullet8"/>
      <w:lvlText w:val="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  <w:color w:val="000000" w:themeColor="text1"/>
      </w:rPr>
    </w:lvl>
    <w:lvl w:ilvl="8">
      <w:start w:val="1"/>
      <w:numFmt w:val="bullet"/>
      <w:lvlText w:val="●"/>
      <w:lvlJc w:val="left"/>
      <w:pPr>
        <w:tabs>
          <w:tab w:val="num" w:pos="3060"/>
        </w:tabs>
        <w:ind w:left="3060" w:hanging="340"/>
      </w:pPr>
      <w:rPr>
        <w:rFonts w:ascii="Calibri" w:hAnsi="Calibri" w:hint="default"/>
        <w:color w:val="ABD8ED" w:themeColor="accent2"/>
      </w:rPr>
    </w:lvl>
  </w:abstractNum>
  <w:abstractNum w:abstractNumId="2" w15:restartNumberingAfterBreak="0">
    <w:nsid w:val="65FD6B4F"/>
    <w:multiLevelType w:val="multilevel"/>
    <w:tmpl w:val="A18851C8"/>
    <w:lvl w:ilvl="0">
      <w:start w:val="1"/>
      <w:numFmt w:val="decimal"/>
      <w:pStyle w:val="LegalNumber1"/>
      <w:lvlText w:val="%1.0"/>
      <w:lvlJc w:val="righ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galNumber2"/>
      <w:lvlText w:val="%1.%2"/>
      <w:lvlJc w:val="right"/>
      <w:pPr>
        <w:ind w:left="680" w:hanging="680"/>
      </w:pPr>
      <w:rPr>
        <w:rFonts w:hint="default"/>
      </w:rPr>
    </w:lvl>
    <w:lvl w:ilvl="2">
      <w:start w:val="1"/>
      <w:numFmt w:val="decimal"/>
      <w:pStyle w:val="LegalNumber3"/>
      <w:lvlText w:val="%1.%2.%3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right"/>
      <w:pPr>
        <w:ind w:left="680" w:hanging="680"/>
      </w:pPr>
      <w:rPr>
        <w:rFonts w:hint="default"/>
      </w:rPr>
    </w:lvl>
    <w:lvl w:ilvl="4">
      <w:start w:val="1"/>
      <w:numFmt w:val="decimal"/>
      <w:pStyle w:val="LegalNumber5"/>
      <w:lvlText w:val="%1.%2.%3.%4.%5"/>
      <w:lvlJc w:val="right"/>
      <w:pPr>
        <w:ind w:left="680" w:hanging="680"/>
      </w:pPr>
      <w:rPr>
        <w:rFonts w:hint="default"/>
      </w:rPr>
    </w:lvl>
    <w:lvl w:ilvl="5">
      <w:start w:val="1"/>
      <w:numFmt w:val="decimal"/>
      <w:pStyle w:val="LegalNumber6"/>
      <w:lvlText w:val="%1.%2.%3.%4.%5.%6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ind w:left="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ize" w:val="Letter"/>
  </w:docVars>
  <w:rsids>
    <w:rsidRoot w:val="00B5641C"/>
    <w:rsid w:val="00002F04"/>
    <w:rsid w:val="00013C94"/>
    <w:rsid w:val="00024806"/>
    <w:rsid w:val="000430FA"/>
    <w:rsid w:val="00045EBF"/>
    <w:rsid w:val="00072439"/>
    <w:rsid w:val="0007272F"/>
    <w:rsid w:val="0009246A"/>
    <w:rsid w:val="000960BC"/>
    <w:rsid w:val="000A23DD"/>
    <w:rsid w:val="000D17D7"/>
    <w:rsid w:val="000D74F6"/>
    <w:rsid w:val="000E34E1"/>
    <w:rsid w:val="00100A9B"/>
    <w:rsid w:val="0011059D"/>
    <w:rsid w:val="00117FF1"/>
    <w:rsid w:val="00130716"/>
    <w:rsid w:val="00154177"/>
    <w:rsid w:val="00176009"/>
    <w:rsid w:val="00185544"/>
    <w:rsid w:val="00187C20"/>
    <w:rsid w:val="0019076E"/>
    <w:rsid w:val="001E0884"/>
    <w:rsid w:val="001F5A7C"/>
    <w:rsid w:val="001F6122"/>
    <w:rsid w:val="00212161"/>
    <w:rsid w:val="00226F35"/>
    <w:rsid w:val="0024325C"/>
    <w:rsid w:val="002451C0"/>
    <w:rsid w:val="00256195"/>
    <w:rsid w:val="00262E2F"/>
    <w:rsid w:val="00277EB3"/>
    <w:rsid w:val="0029003B"/>
    <w:rsid w:val="002942ED"/>
    <w:rsid w:val="002A541A"/>
    <w:rsid w:val="002B6227"/>
    <w:rsid w:val="002C554E"/>
    <w:rsid w:val="003006EF"/>
    <w:rsid w:val="00334B73"/>
    <w:rsid w:val="003362B3"/>
    <w:rsid w:val="00341D09"/>
    <w:rsid w:val="003A1DEC"/>
    <w:rsid w:val="003B10D3"/>
    <w:rsid w:val="003D5D7E"/>
    <w:rsid w:val="003E6CC3"/>
    <w:rsid w:val="003F3CCC"/>
    <w:rsid w:val="003F6FCE"/>
    <w:rsid w:val="004046E1"/>
    <w:rsid w:val="00444001"/>
    <w:rsid w:val="00463283"/>
    <w:rsid w:val="00466C65"/>
    <w:rsid w:val="004C4C44"/>
    <w:rsid w:val="004D1FF7"/>
    <w:rsid w:val="004E4805"/>
    <w:rsid w:val="00524BB8"/>
    <w:rsid w:val="00562848"/>
    <w:rsid w:val="00571EFE"/>
    <w:rsid w:val="005D5164"/>
    <w:rsid w:val="005D7689"/>
    <w:rsid w:val="005E1529"/>
    <w:rsid w:val="005F3CFF"/>
    <w:rsid w:val="005F4399"/>
    <w:rsid w:val="0062131B"/>
    <w:rsid w:val="00643C7F"/>
    <w:rsid w:val="00666387"/>
    <w:rsid w:val="00667100"/>
    <w:rsid w:val="0068562C"/>
    <w:rsid w:val="006F30D7"/>
    <w:rsid w:val="006F499A"/>
    <w:rsid w:val="00702DFB"/>
    <w:rsid w:val="00757FCC"/>
    <w:rsid w:val="00773FD3"/>
    <w:rsid w:val="007804C0"/>
    <w:rsid w:val="007C4D9C"/>
    <w:rsid w:val="007C6A86"/>
    <w:rsid w:val="007D0557"/>
    <w:rsid w:val="007D76D9"/>
    <w:rsid w:val="0082245C"/>
    <w:rsid w:val="00870262"/>
    <w:rsid w:val="00874C0C"/>
    <w:rsid w:val="00880985"/>
    <w:rsid w:val="008A1BFF"/>
    <w:rsid w:val="008D1794"/>
    <w:rsid w:val="0090128E"/>
    <w:rsid w:val="00914F3A"/>
    <w:rsid w:val="00924FA2"/>
    <w:rsid w:val="00943411"/>
    <w:rsid w:val="00950C99"/>
    <w:rsid w:val="009624C6"/>
    <w:rsid w:val="009642BE"/>
    <w:rsid w:val="0097289F"/>
    <w:rsid w:val="00985C47"/>
    <w:rsid w:val="00990554"/>
    <w:rsid w:val="009D6038"/>
    <w:rsid w:val="00A15187"/>
    <w:rsid w:val="00A25A06"/>
    <w:rsid w:val="00A318F9"/>
    <w:rsid w:val="00A31E68"/>
    <w:rsid w:val="00A53865"/>
    <w:rsid w:val="00A81444"/>
    <w:rsid w:val="00AB6343"/>
    <w:rsid w:val="00AE35F9"/>
    <w:rsid w:val="00AF5BE2"/>
    <w:rsid w:val="00B4592C"/>
    <w:rsid w:val="00B5641C"/>
    <w:rsid w:val="00B64961"/>
    <w:rsid w:val="00B82646"/>
    <w:rsid w:val="00B976F9"/>
    <w:rsid w:val="00BA446C"/>
    <w:rsid w:val="00BB0DF2"/>
    <w:rsid w:val="00BE2EA0"/>
    <w:rsid w:val="00BE2ED2"/>
    <w:rsid w:val="00BF1822"/>
    <w:rsid w:val="00C25827"/>
    <w:rsid w:val="00C321DD"/>
    <w:rsid w:val="00C639EF"/>
    <w:rsid w:val="00C6485B"/>
    <w:rsid w:val="00C6541C"/>
    <w:rsid w:val="00C72E63"/>
    <w:rsid w:val="00C7621E"/>
    <w:rsid w:val="00C84106"/>
    <w:rsid w:val="00CE2C7F"/>
    <w:rsid w:val="00D004B8"/>
    <w:rsid w:val="00D13362"/>
    <w:rsid w:val="00D30538"/>
    <w:rsid w:val="00D33961"/>
    <w:rsid w:val="00D45700"/>
    <w:rsid w:val="00D541A2"/>
    <w:rsid w:val="00D65C1E"/>
    <w:rsid w:val="00D76ED3"/>
    <w:rsid w:val="00D82E9B"/>
    <w:rsid w:val="00D867FC"/>
    <w:rsid w:val="00D93D54"/>
    <w:rsid w:val="00DA3818"/>
    <w:rsid w:val="00DB08A0"/>
    <w:rsid w:val="00DB6429"/>
    <w:rsid w:val="00DF5B93"/>
    <w:rsid w:val="00E1048F"/>
    <w:rsid w:val="00E12249"/>
    <w:rsid w:val="00E14D85"/>
    <w:rsid w:val="00E249D0"/>
    <w:rsid w:val="00E25531"/>
    <w:rsid w:val="00E25599"/>
    <w:rsid w:val="00E47293"/>
    <w:rsid w:val="00E603FC"/>
    <w:rsid w:val="00E73E73"/>
    <w:rsid w:val="00E86304"/>
    <w:rsid w:val="00EB525E"/>
    <w:rsid w:val="00EC4D16"/>
    <w:rsid w:val="00EC6E86"/>
    <w:rsid w:val="00EE12D3"/>
    <w:rsid w:val="00EE3919"/>
    <w:rsid w:val="00F102F0"/>
    <w:rsid w:val="00F11FF6"/>
    <w:rsid w:val="00F1268B"/>
    <w:rsid w:val="00F6532F"/>
    <w:rsid w:val="00F66B5E"/>
    <w:rsid w:val="00F77F13"/>
    <w:rsid w:val="00FA0AD1"/>
    <w:rsid w:val="00FB3A8C"/>
    <w:rsid w:val="00FB548F"/>
    <w:rsid w:val="00F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BBE0B"/>
  <w15:docId w15:val="{E1110120-597C-4FBA-BBBC-BD3F3D20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106"/>
    <w:pPr>
      <w:spacing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1A4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235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235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0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235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00A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112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102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112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2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112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45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6E1"/>
  </w:style>
  <w:style w:type="paragraph" w:styleId="Footer">
    <w:name w:val="footer"/>
    <w:basedOn w:val="Normal"/>
    <w:link w:val="FooterChar"/>
    <w:uiPriority w:val="99"/>
    <w:semiHidden/>
    <w:rsid w:val="006F499A"/>
    <w:pPr>
      <w:keepNext/>
      <w:keepLines/>
      <w:tabs>
        <w:tab w:val="right" w:pos="10490"/>
      </w:tabs>
      <w:spacing w:before="240" w:after="0" w:line="240" w:lineRule="auto"/>
      <w:contextualSpacing/>
    </w:pPr>
    <w:rPr>
      <w:color w:val="000000" w:themeColor="text1"/>
      <w:sz w:val="11"/>
      <w:szCs w:val="1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2848"/>
    <w:rPr>
      <w:color w:val="000000" w:themeColor="text1"/>
      <w:sz w:val="11"/>
      <w:szCs w:val="11"/>
    </w:rPr>
  </w:style>
  <w:style w:type="character" w:customStyle="1" w:styleId="Heading1Char">
    <w:name w:val="Heading 1 Char"/>
    <w:basedOn w:val="DefaultParagraphFont"/>
    <w:link w:val="Heading1"/>
    <w:uiPriority w:val="9"/>
    <w:rsid w:val="004046E1"/>
    <w:rPr>
      <w:rFonts w:asciiTheme="majorHAnsi" w:eastAsiaTheme="majorEastAsia" w:hAnsiTheme="majorHAnsi" w:cstheme="majorBidi"/>
      <w:b/>
      <w:bCs/>
      <w:color w:val="0F1A4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46E1"/>
    <w:rPr>
      <w:rFonts w:asciiTheme="majorHAnsi" w:eastAsiaTheme="majorEastAsia" w:hAnsiTheme="majorHAnsi" w:cstheme="majorBidi"/>
      <w:b/>
      <w:bCs/>
      <w:color w:val="152359" w:themeColor="accent1"/>
      <w:sz w:val="26"/>
      <w:szCs w:val="26"/>
    </w:rPr>
  </w:style>
  <w:style w:type="paragraph" w:styleId="NoSpacing">
    <w:name w:val="No Spacing"/>
    <w:uiPriority w:val="1"/>
    <w:semiHidden/>
    <w:qFormat/>
    <w:rsid w:val="004046E1"/>
    <w:pPr>
      <w:spacing w:after="0" w:line="240" w:lineRule="auto"/>
    </w:pPr>
  </w:style>
  <w:style w:type="paragraph" w:customStyle="1" w:styleId="letterheadreferences">
    <w:name w:val="letterhead references"/>
    <w:basedOn w:val="Normal"/>
    <w:semiHidden/>
    <w:qFormat/>
    <w:rsid w:val="00013C94"/>
    <w:pPr>
      <w:spacing w:after="0" w:line="283" w:lineRule="auto"/>
    </w:pPr>
    <w:rPr>
      <w:color w:val="000000" w:themeColor="text1"/>
      <w:sz w:val="16"/>
    </w:rPr>
  </w:style>
  <w:style w:type="character" w:styleId="Strong">
    <w:name w:val="Strong"/>
    <w:basedOn w:val="DefaultParagraphFont"/>
    <w:uiPriority w:val="22"/>
    <w:semiHidden/>
    <w:qFormat/>
    <w:rsid w:val="00100A9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00A9B"/>
    <w:rPr>
      <w:rFonts w:asciiTheme="majorHAnsi" w:eastAsiaTheme="majorEastAsia" w:hAnsiTheme="majorHAnsi" w:cstheme="majorBidi"/>
      <w:b/>
      <w:bCs/>
      <w:color w:val="15235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00A9B"/>
    <w:rPr>
      <w:rFonts w:asciiTheme="majorHAnsi" w:eastAsiaTheme="majorEastAsia" w:hAnsiTheme="majorHAnsi" w:cstheme="majorBidi"/>
      <w:b/>
      <w:bCs/>
      <w:i/>
      <w:iCs/>
      <w:color w:val="152359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00A9B"/>
    <w:rPr>
      <w:rFonts w:asciiTheme="majorHAnsi" w:eastAsiaTheme="majorEastAsia" w:hAnsiTheme="majorHAnsi" w:cstheme="majorBidi"/>
      <w:color w:val="0A112C" w:themeColor="accent1" w:themeShade="7F"/>
    </w:rPr>
  </w:style>
  <w:style w:type="table" w:styleId="LightList-Accent4">
    <w:name w:val="Light List Accent 4"/>
    <w:basedOn w:val="TableNormal"/>
    <w:uiPriority w:val="61"/>
    <w:rsid w:val="007D0557"/>
    <w:pPr>
      <w:spacing w:before="60" w:after="6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1361" w:type="dxa"/>
      <w:tblBorders>
        <w:insideH w:val="single" w:sz="2" w:space="0" w:color="E3F3FB" w:themeColor="accent3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jc w:val="left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BFB5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single" w:sz="2" w:space="0" w:color="E3F3FB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2" w:space="0" w:color="E3F3FB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D8ED" w:themeFill="accent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1">
    <w:name w:val="Bullet 1"/>
    <w:basedOn w:val="Normal"/>
    <w:uiPriority w:val="11"/>
    <w:qFormat/>
    <w:rsid w:val="005F3CFF"/>
    <w:pPr>
      <w:numPr>
        <w:numId w:val="8"/>
      </w:numPr>
      <w:spacing w:after="120"/>
    </w:pPr>
    <w:rPr>
      <w:color w:val="000000" w:themeColor="text1"/>
      <w:szCs w:val="20"/>
    </w:rPr>
  </w:style>
  <w:style w:type="paragraph" w:customStyle="1" w:styleId="Bullet2">
    <w:name w:val="Bullet 2"/>
    <w:basedOn w:val="Bullet1"/>
    <w:uiPriority w:val="11"/>
    <w:qFormat/>
    <w:rsid w:val="00117FF1"/>
    <w:pPr>
      <w:numPr>
        <w:ilvl w:val="1"/>
      </w:numPr>
    </w:pPr>
  </w:style>
  <w:style w:type="paragraph" w:customStyle="1" w:styleId="Bullet3">
    <w:name w:val="Bullet 3"/>
    <w:basedOn w:val="Bullet2"/>
    <w:uiPriority w:val="11"/>
    <w:unhideWhenUsed/>
    <w:rsid w:val="00117FF1"/>
    <w:pPr>
      <w:numPr>
        <w:ilvl w:val="2"/>
      </w:numPr>
    </w:pPr>
  </w:style>
  <w:style w:type="paragraph" w:customStyle="1" w:styleId="Bullet4">
    <w:name w:val="Bullet 4"/>
    <w:basedOn w:val="Bullet3"/>
    <w:uiPriority w:val="11"/>
    <w:unhideWhenUsed/>
    <w:rsid w:val="00117FF1"/>
    <w:pPr>
      <w:numPr>
        <w:ilvl w:val="3"/>
      </w:numPr>
    </w:pPr>
  </w:style>
  <w:style w:type="paragraph" w:customStyle="1" w:styleId="Bullet5">
    <w:name w:val="Bullet 5"/>
    <w:basedOn w:val="Bullet4"/>
    <w:uiPriority w:val="11"/>
    <w:unhideWhenUsed/>
    <w:rsid w:val="00117FF1"/>
    <w:pPr>
      <w:numPr>
        <w:ilvl w:val="4"/>
      </w:numPr>
    </w:pPr>
  </w:style>
  <w:style w:type="paragraph" w:customStyle="1" w:styleId="Bullet6">
    <w:name w:val="Bullet 6"/>
    <w:basedOn w:val="Bullet5"/>
    <w:uiPriority w:val="11"/>
    <w:unhideWhenUsed/>
    <w:rsid w:val="00117FF1"/>
    <w:pPr>
      <w:numPr>
        <w:ilvl w:val="5"/>
      </w:numPr>
    </w:pPr>
  </w:style>
  <w:style w:type="paragraph" w:customStyle="1" w:styleId="Bullet7">
    <w:name w:val="Bullet 7"/>
    <w:basedOn w:val="Bullet6"/>
    <w:uiPriority w:val="11"/>
    <w:unhideWhenUsed/>
    <w:rsid w:val="00117FF1"/>
    <w:pPr>
      <w:numPr>
        <w:ilvl w:val="6"/>
      </w:numPr>
    </w:pPr>
  </w:style>
  <w:style w:type="paragraph" w:customStyle="1" w:styleId="Bullet8">
    <w:name w:val="Bullet 8"/>
    <w:basedOn w:val="Bullet7"/>
    <w:uiPriority w:val="11"/>
    <w:unhideWhenUsed/>
    <w:rsid w:val="00117FF1"/>
    <w:pPr>
      <w:numPr>
        <w:ilvl w:val="7"/>
      </w:numPr>
    </w:pPr>
  </w:style>
  <w:style w:type="paragraph" w:customStyle="1" w:styleId="letterheadreferencessmall">
    <w:name w:val="letterhead references small"/>
    <w:basedOn w:val="BalloonText"/>
    <w:semiHidden/>
    <w:rsid w:val="008D1794"/>
    <w:pPr>
      <w:spacing w:after="100"/>
    </w:pPr>
    <w:rPr>
      <w:rFonts w:asciiTheme="minorHAnsi" w:hAnsiTheme="minorHAnsi" w:cstheme="minorHAnsi"/>
      <w:sz w:val="10"/>
    </w:rPr>
  </w:style>
  <w:style w:type="table" w:styleId="TableGrid">
    <w:name w:val="Table Grid"/>
    <w:basedOn w:val="TableNormal"/>
    <w:uiPriority w:val="59"/>
    <w:rsid w:val="00A2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Blue">
    <w:name w:val="Bold Blue"/>
    <w:basedOn w:val="Normal"/>
    <w:next w:val="Normal"/>
    <w:uiPriority w:val="14"/>
    <w:semiHidden/>
    <w:qFormat/>
    <w:rsid w:val="00F6532F"/>
    <w:rPr>
      <w:b/>
      <w:iCs/>
      <w:color w:val="152359" w:themeColor="accent1"/>
    </w:rPr>
  </w:style>
  <w:style w:type="paragraph" w:customStyle="1" w:styleId="Officeaddress">
    <w:name w:val="Office address"/>
    <w:basedOn w:val="BoldBlue"/>
    <w:next w:val="Normal"/>
    <w:semiHidden/>
    <w:qFormat/>
    <w:rsid w:val="00154177"/>
    <w:pPr>
      <w:spacing w:before="840" w:after="0"/>
      <w:contextualSpacing/>
    </w:pPr>
    <w:rPr>
      <w:b w:val="0"/>
      <w:color w:val="152359"/>
      <w:sz w:val="16"/>
      <w:lang w:val="de-DE"/>
    </w:rPr>
  </w:style>
  <w:style w:type="paragraph" w:customStyle="1" w:styleId="PageNumber1">
    <w:name w:val="Page Number1"/>
    <w:basedOn w:val="Footer"/>
    <w:semiHidden/>
    <w:qFormat/>
    <w:rsid w:val="006F499A"/>
    <w:pPr>
      <w:jc w:val="right"/>
    </w:pPr>
    <w:rPr>
      <w:b/>
      <w:noProof/>
      <w:color w:val="152359" w:themeColor="text2"/>
      <w:sz w:val="16"/>
      <w:szCs w:val="16"/>
      <w:lang w:eastAsia="en-GB"/>
    </w:rPr>
  </w:style>
  <w:style w:type="paragraph" w:customStyle="1" w:styleId="disc">
    <w:name w:val="disc"/>
    <w:basedOn w:val="Footer"/>
    <w:semiHidden/>
    <w:rsid w:val="00880985"/>
    <w:rPr>
      <w:color w:val="000000"/>
    </w:rPr>
  </w:style>
  <w:style w:type="paragraph" w:customStyle="1" w:styleId="headerreferencetext">
    <w:name w:val="header reference text"/>
    <w:basedOn w:val="Header"/>
    <w:semiHidden/>
    <w:qFormat/>
    <w:rsid w:val="004C4C44"/>
    <w:pPr>
      <w:spacing w:after="360"/>
      <w:contextualSpacing/>
    </w:pPr>
    <w:rPr>
      <w:b/>
      <w:color w:val="152359" w:themeColor="text2"/>
      <w:sz w:val="16"/>
    </w:rPr>
  </w:style>
  <w:style w:type="paragraph" w:customStyle="1" w:styleId="Subjectline">
    <w:name w:val="Subject line"/>
    <w:basedOn w:val="Normal"/>
    <w:qFormat/>
    <w:rsid w:val="0009246A"/>
    <w:rPr>
      <w:b/>
      <w:caps/>
    </w:rPr>
  </w:style>
  <w:style w:type="paragraph" w:customStyle="1" w:styleId="Address">
    <w:name w:val="Address"/>
    <w:basedOn w:val="Normal"/>
    <w:qFormat/>
    <w:rsid w:val="00AB6343"/>
    <w:pPr>
      <w:spacing w:after="0"/>
    </w:pPr>
  </w:style>
  <w:style w:type="table" w:customStyle="1" w:styleId="Bidwellsindented">
    <w:name w:val="Bidwells indented"/>
    <w:basedOn w:val="Bidwells"/>
    <w:uiPriority w:val="99"/>
    <w:rsid w:val="00C6541C"/>
    <w:tblPr>
      <w:tblInd w:w="680" w:type="dxa"/>
    </w:tblPr>
    <w:tblStylePr w:type="firstRow">
      <w:pPr>
        <w:jc w:val="left"/>
      </w:pPr>
      <w:rPr>
        <w:b/>
        <w:caps/>
        <w:smallCaps w:val="0"/>
        <w:strike w:val="0"/>
        <w:dstrike w:val="0"/>
        <w:vanish w:val="0"/>
        <w:color w:val="ABD8ED" w:themeColor="accent2"/>
        <w:vertAlign w:val="baseline"/>
      </w:rPr>
      <w:tblPr/>
      <w:tcPr>
        <w:shd w:val="clear" w:color="auto" w:fill="152359" w:themeFill="text2"/>
        <w:vAlign w:val="bottom"/>
      </w:tcPr>
    </w:tblStylePr>
    <w:tblStylePr w:type="lastRow">
      <w:rPr>
        <w:b/>
        <w:caps/>
        <w:smallCaps w:val="0"/>
        <w:strike w:val="0"/>
        <w:dstrike w:val="0"/>
        <w:vanish w:val="0"/>
        <w:color w:val="152359" w:themeColor="text2"/>
        <w:vertAlign w:val="baseline"/>
      </w:rPr>
      <w:tblPr/>
      <w:tcPr>
        <w:shd w:val="clear" w:color="auto" w:fill="ABD8ED" w:themeFill="accent2"/>
      </w:tcPr>
    </w:tblStylePr>
    <w:tblStylePr w:type="firstCol">
      <w:rPr>
        <w:b/>
      </w:rPr>
    </w:tblStylePr>
    <w:tblStylePr w:type="band1Horz">
      <w:tblPr/>
      <w:tcPr>
        <w:shd w:val="clear" w:color="auto" w:fill="EEECE1" w:themeFill="background2"/>
      </w:tcPr>
    </w:tblStylePr>
  </w:style>
  <w:style w:type="table" w:styleId="TableGridLight">
    <w:name w:val="Grid Table Light"/>
    <w:basedOn w:val="TableNormal"/>
    <w:uiPriority w:val="40"/>
    <w:rsid w:val="00EC4D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C4D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C4D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C4D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EC4D16"/>
    <w:pPr>
      <w:spacing w:after="0" w:line="240" w:lineRule="auto"/>
    </w:pPr>
    <w:tblPr>
      <w:tblStyleRowBandSize w:val="1"/>
      <w:tblStyleColBandSize w:val="1"/>
      <w:tblBorders>
        <w:top w:val="single" w:sz="4" w:space="0" w:color="7D91E0" w:themeColor="accent1" w:themeTint="66"/>
        <w:left w:val="single" w:sz="4" w:space="0" w:color="7D91E0" w:themeColor="accent1" w:themeTint="66"/>
        <w:bottom w:val="single" w:sz="4" w:space="0" w:color="7D91E0" w:themeColor="accent1" w:themeTint="66"/>
        <w:right w:val="single" w:sz="4" w:space="0" w:color="7D91E0" w:themeColor="accent1" w:themeTint="66"/>
        <w:insideH w:val="single" w:sz="4" w:space="0" w:color="7D91E0" w:themeColor="accent1" w:themeTint="66"/>
        <w:insideV w:val="single" w:sz="4" w:space="0" w:color="7D91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5B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5B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idwells">
    <w:name w:val="Bidwells"/>
    <w:basedOn w:val="TableNormal"/>
    <w:uiPriority w:val="99"/>
    <w:rsid w:val="00C6541C"/>
    <w:pPr>
      <w:spacing w:before="60" w:after="60"/>
    </w:pPr>
    <w:rPr>
      <w:color w:val="000000" w:themeColor="text1"/>
      <w:sz w:val="20"/>
      <w:szCs w:val="20"/>
    </w:rPr>
    <w:tblPr>
      <w:tblStyleRowBandSize w:val="1"/>
      <w:tblBorders>
        <w:left w:val="single" w:sz="2" w:space="0" w:color="152359" w:themeColor="text2"/>
        <w:bottom w:val="single" w:sz="4" w:space="0" w:color="152359" w:themeColor="text2"/>
        <w:right w:val="single" w:sz="2" w:space="0" w:color="152359" w:themeColor="text2"/>
        <w:insideH w:val="single" w:sz="2" w:space="0" w:color="152359" w:themeColor="text2"/>
        <w:insideV w:val="single" w:sz="2" w:space="0" w:color="152359" w:themeColor="text2"/>
      </w:tblBorders>
    </w:tblPr>
    <w:tblStylePr w:type="firstRow">
      <w:pPr>
        <w:jc w:val="left"/>
      </w:pPr>
      <w:rPr>
        <w:b/>
        <w:caps/>
        <w:smallCaps w:val="0"/>
        <w:strike w:val="0"/>
        <w:dstrike w:val="0"/>
        <w:vanish w:val="0"/>
        <w:color w:val="ABD8ED" w:themeColor="accent2"/>
        <w:vertAlign w:val="baseline"/>
      </w:rPr>
      <w:tblPr/>
      <w:tcPr>
        <w:shd w:val="clear" w:color="auto" w:fill="152359" w:themeFill="text2"/>
        <w:vAlign w:val="bottom"/>
      </w:tcPr>
    </w:tblStylePr>
    <w:tblStylePr w:type="lastRow">
      <w:rPr>
        <w:b/>
        <w:caps/>
        <w:smallCaps w:val="0"/>
        <w:strike w:val="0"/>
        <w:dstrike w:val="0"/>
        <w:vanish w:val="0"/>
        <w:color w:val="152359" w:themeColor="text2"/>
        <w:vertAlign w:val="baseline"/>
      </w:rPr>
      <w:tblPr/>
      <w:tcPr>
        <w:shd w:val="clear" w:color="auto" w:fill="ABD8ED" w:themeFill="accent2"/>
      </w:tcPr>
    </w:tblStylePr>
    <w:tblStylePr w:type="firstCol">
      <w:rPr>
        <w:b/>
      </w:rPr>
    </w:tblStylePr>
    <w:tblStylePr w:type="band1Horz">
      <w:tblPr/>
      <w:tcPr>
        <w:shd w:val="clear" w:color="auto" w:fill="EEECE1" w:themeFill="background2"/>
      </w:tcPr>
    </w:tblStylePr>
  </w:style>
  <w:style w:type="paragraph" w:customStyle="1" w:styleId="LegalNumber1">
    <w:name w:val="Legal Number 1"/>
    <w:basedOn w:val="NormalIndent"/>
    <w:uiPriority w:val="13"/>
    <w:qFormat/>
    <w:rsid w:val="00C84106"/>
    <w:pPr>
      <w:numPr>
        <w:numId w:val="15"/>
      </w:numPr>
      <w:spacing w:before="360" w:after="120"/>
    </w:pPr>
    <w:rPr>
      <w:color w:val="000000" w:themeColor="text1"/>
      <w:szCs w:val="20"/>
    </w:rPr>
  </w:style>
  <w:style w:type="paragraph" w:styleId="NormalIndent">
    <w:name w:val="Normal Indent"/>
    <w:basedOn w:val="Normal"/>
    <w:uiPriority w:val="99"/>
    <w:semiHidden/>
    <w:unhideWhenUsed/>
    <w:rsid w:val="00C84106"/>
    <w:pPr>
      <w:ind w:left="720"/>
    </w:pPr>
  </w:style>
  <w:style w:type="paragraph" w:customStyle="1" w:styleId="LegalNumber2">
    <w:name w:val="Legal Number 2"/>
    <w:basedOn w:val="LegalNumber1"/>
    <w:uiPriority w:val="13"/>
    <w:qFormat/>
    <w:rsid w:val="00C84106"/>
    <w:pPr>
      <w:numPr>
        <w:ilvl w:val="1"/>
      </w:numPr>
    </w:pPr>
  </w:style>
  <w:style w:type="paragraph" w:customStyle="1" w:styleId="LegalNumber3">
    <w:name w:val="Legal Number 3"/>
    <w:basedOn w:val="LegalNumber2"/>
    <w:uiPriority w:val="13"/>
    <w:qFormat/>
    <w:rsid w:val="00C84106"/>
    <w:pPr>
      <w:numPr>
        <w:ilvl w:val="2"/>
      </w:numPr>
    </w:pPr>
  </w:style>
  <w:style w:type="paragraph" w:customStyle="1" w:styleId="LegalNumber4">
    <w:name w:val="Legal Number 4"/>
    <w:basedOn w:val="LegalNumber3"/>
    <w:uiPriority w:val="13"/>
    <w:unhideWhenUsed/>
    <w:qFormat/>
    <w:rsid w:val="00C84106"/>
    <w:pPr>
      <w:numPr>
        <w:ilvl w:val="3"/>
      </w:numPr>
    </w:pPr>
  </w:style>
  <w:style w:type="paragraph" w:customStyle="1" w:styleId="LegalNumber5">
    <w:name w:val="Legal Number 5"/>
    <w:basedOn w:val="LegalNumber4"/>
    <w:uiPriority w:val="13"/>
    <w:unhideWhenUsed/>
    <w:qFormat/>
    <w:rsid w:val="00C84106"/>
    <w:pPr>
      <w:numPr>
        <w:ilvl w:val="4"/>
      </w:numPr>
    </w:pPr>
  </w:style>
  <w:style w:type="paragraph" w:customStyle="1" w:styleId="LegalNumber6">
    <w:name w:val="Legal Number 6"/>
    <w:basedOn w:val="LegalNumber5"/>
    <w:uiPriority w:val="13"/>
    <w:unhideWhenUsed/>
    <w:qFormat/>
    <w:rsid w:val="00C84106"/>
    <w:pPr>
      <w:numPr>
        <w:ilvl w:val="5"/>
      </w:numPr>
    </w:pPr>
  </w:style>
  <w:style w:type="paragraph" w:customStyle="1" w:styleId="Options">
    <w:name w:val="Options"/>
    <w:basedOn w:val="Normal"/>
    <w:qFormat/>
    <w:rsid w:val="002A541A"/>
    <w:pPr>
      <w:spacing w:after="0"/>
    </w:pPr>
    <w:rPr>
      <w:color w:val="152359" w:themeColor="text2"/>
    </w:rPr>
  </w:style>
  <w:style w:type="paragraph" w:customStyle="1" w:styleId="Number1">
    <w:name w:val="Number 1"/>
    <w:basedOn w:val="Heading3"/>
    <w:next w:val="Normal"/>
    <w:uiPriority w:val="1"/>
    <w:qFormat/>
    <w:rsid w:val="00F102F0"/>
    <w:pPr>
      <w:keepLines w:val="0"/>
      <w:numPr>
        <w:numId w:val="20"/>
      </w:numPr>
      <w:tabs>
        <w:tab w:val="left" w:pos="1361"/>
      </w:tabs>
      <w:spacing w:before="480" w:after="120" w:line="240" w:lineRule="auto"/>
    </w:pPr>
    <w:rPr>
      <w:rFonts w:eastAsiaTheme="minorHAnsi"/>
      <w:sz w:val="36"/>
      <w:szCs w:val="26"/>
    </w:rPr>
  </w:style>
  <w:style w:type="paragraph" w:customStyle="1" w:styleId="Number2">
    <w:name w:val="Number 2"/>
    <w:basedOn w:val="Heading4"/>
    <w:next w:val="NormalIndent"/>
    <w:uiPriority w:val="1"/>
    <w:qFormat/>
    <w:rsid w:val="00F102F0"/>
    <w:pPr>
      <w:keepLines w:val="0"/>
      <w:numPr>
        <w:ilvl w:val="1"/>
        <w:numId w:val="20"/>
      </w:numPr>
      <w:tabs>
        <w:tab w:val="left" w:pos="680"/>
        <w:tab w:val="left" w:pos="1361"/>
      </w:tabs>
    </w:pPr>
    <w:rPr>
      <w:bCs w:val="0"/>
      <w:i w:val="0"/>
      <w:color w:val="000000" w:themeColor="text1"/>
      <w:szCs w:val="26"/>
    </w:rPr>
  </w:style>
  <w:style w:type="paragraph" w:customStyle="1" w:styleId="Number3">
    <w:name w:val="Number 3"/>
    <w:basedOn w:val="Heading5"/>
    <w:uiPriority w:val="1"/>
    <w:unhideWhenUsed/>
    <w:qFormat/>
    <w:rsid w:val="00F102F0"/>
    <w:pPr>
      <w:keepNext w:val="0"/>
      <w:keepLines w:val="0"/>
      <w:numPr>
        <w:ilvl w:val="2"/>
        <w:numId w:val="20"/>
      </w:numPr>
      <w:tabs>
        <w:tab w:val="left" w:pos="680"/>
        <w:tab w:val="left" w:pos="1361"/>
      </w:tabs>
      <w:spacing w:before="120"/>
    </w:pPr>
    <w:rPr>
      <w:b/>
      <w:iCs/>
      <w:color w:val="000000" w:themeColor="text1"/>
      <w:szCs w:val="26"/>
    </w:rPr>
  </w:style>
  <w:style w:type="paragraph" w:customStyle="1" w:styleId="Number4">
    <w:name w:val="Number 4"/>
    <w:basedOn w:val="Heading6"/>
    <w:uiPriority w:val="1"/>
    <w:unhideWhenUsed/>
    <w:qFormat/>
    <w:rsid w:val="00F102F0"/>
    <w:pPr>
      <w:keepNext w:val="0"/>
      <w:keepLines w:val="0"/>
      <w:numPr>
        <w:ilvl w:val="3"/>
        <w:numId w:val="20"/>
      </w:numPr>
      <w:tabs>
        <w:tab w:val="left" w:pos="680"/>
        <w:tab w:val="left" w:pos="1361"/>
      </w:tabs>
      <w:spacing w:before="120"/>
    </w:pPr>
    <w:rPr>
      <w:b/>
      <w:color w:val="000000" w:themeColor="text1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2F0"/>
    <w:rPr>
      <w:rFonts w:asciiTheme="majorHAnsi" w:eastAsiaTheme="majorEastAsia" w:hAnsiTheme="majorHAnsi" w:cstheme="majorBidi"/>
      <w:color w:val="0A112C" w:themeColor="accent1" w:themeShade="7F"/>
      <w:sz w:val="20"/>
    </w:rPr>
  </w:style>
  <w:style w:type="paragraph" w:customStyle="1" w:styleId="Number5">
    <w:name w:val="Number 5"/>
    <w:basedOn w:val="Heading7"/>
    <w:uiPriority w:val="1"/>
    <w:unhideWhenUsed/>
    <w:qFormat/>
    <w:rsid w:val="00F102F0"/>
    <w:pPr>
      <w:keepNext w:val="0"/>
      <w:keepLines w:val="0"/>
      <w:numPr>
        <w:ilvl w:val="4"/>
        <w:numId w:val="20"/>
      </w:numPr>
      <w:tabs>
        <w:tab w:val="left" w:pos="680"/>
        <w:tab w:val="left" w:pos="1361"/>
      </w:tabs>
      <w:spacing w:before="120"/>
    </w:pPr>
    <w:rPr>
      <w:b/>
      <w:i w:val="0"/>
      <w:color w:val="000000" w:themeColor="text1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2F0"/>
    <w:rPr>
      <w:rFonts w:asciiTheme="majorHAnsi" w:eastAsiaTheme="majorEastAsia" w:hAnsiTheme="majorHAnsi" w:cstheme="majorBidi"/>
      <w:i/>
      <w:iCs/>
      <w:color w:val="0A112C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Templates\Letter%20Oxford.dotx" TargetMode="External"/></Relationships>
</file>

<file path=word/theme/theme1.xml><?xml version="1.0" encoding="utf-8"?>
<a:theme xmlns:a="http://schemas.openxmlformats.org/drawingml/2006/main" name="Bidwells new">
  <a:themeElements>
    <a:clrScheme name="Bidwells">
      <a:dk1>
        <a:sysClr val="windowText" lastClr="000000"/>
      </a:dk1>
      <a:lt1>
        <a:sysClr val="window" lastClr="FFFFFF"/>
      </a:lt1>
      <a:dk2>
        <a:srgbClr val="152359"/>
      </a:dk2>
      <a:lt2>
        <a:srgbClr val="EEECE1"/>
      </a:lt2>
      <a:accent1>
        <a:srgbClr val="152359"/>
      </a:accent1>
      <a:accent2>
        <a:srgbClr val="ABD8ED"/>
      </a:accent2>
      <a:accent3>
        <a:srgbClr val="E3F3FB"/>
      </a:accent3>
      <a:accent4>
        <a:srgbClr val="63BFB5"/>
      </a:accent4>
      <a:accent5>
        <a:srgbClr val="E8CCA2"/>
      </a:accent5>
      <a:accent6>
        <a:srgbClr val="E83C4E"/>
      </a:accent6>
      <a:hlink>
        <a:srgbClr val="037674"/>
      </a:hlink>
      <a:folHlink>
        <a:srgbClr val="962029"/>
      </a:folHlink>
    </a:clrScheme>
    <a:fontScheme name="Bidwel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Oxford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Semple</dc:creator>
  <cp:lastModifiedBy>Paul Semple</cp:lastModifiedBy>
  <cp:revision>2</cp:revision>
  <cp:lastPrinted>2016-08-08T13:27:00Z</cp:lastPrinted>
  <dcterms:created xsi:type="dcterms:W3CDTF">2019-06-19T15:51:00Z</dcterms:created>
  <dcterms:modified xsi:type="dcterms:W3CDTF">2019-06-19T15:51:00Z</dcterms:modified>
</cp:coreProperties>
</file>