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B0" w:rsidRDefault="008B2EB0" w:rsidP="008B2EB0">
      <w:pPr>
        <w:pStyle w:val="Default"/>
      </w:pPr>
    </w:p>
    <w:p w:rsidR="008B2EB0" w:rsidRDefault="008B2EB0" w:rsidP="008B2EB0">
      <w:pPr>
        <w:pStyle w:val="Default"/>
        <w:jc w:val="center"/>
        <w:rPr>
          <w:b/>
          <w:bCs/>
          <w:sz w:val="22"/>
          <w:szCs w:val="22"/>
        </w:rPr>
      </w:pPr>
      <w:r>
        <w:rPr>
          <w:b/>
          <w:bCs/>
          <w:sz w:val="22"/>
          <w:szCs w:val="22"/>
        </w:rPr>
        <w:t>Job Profile Information: Business Advisor Adult Social Care and Adult &amp; Children’s Commissioning</w:t>
      </w:r>
    </w:p>
    <w:p w:rsidR="008B2EB0" w:rsidRDefault="008B2EB0" w:rsidP="008B2EB0">
      <w:pPr>
        <w:pStyle w:val="Default"/>
        <w:jc w:val="center"/>
        <w:rPr>
          <w:sz w:val="22"/>
          <w:szCs w:val="22"/>
        </w:rPr>
      </w:pPr>
    </w:p>
    <w:p w:rsidR="008B2EB0" w:rsidRDefault="008B2EB0" w:rsidP="008B2EB0">
      <w:pPr>
        <w:pStyle w:val="Default"/>
        <w:rPr>
          <w:b/>
          <w:bCs/>
          <w:sz w:val="22"/>
          <w:szCs w:val="22"/>
        </w:rPr>
      </w:pPr>
    </w:p>
    <w:p w:rsidR="008B2EB0" w:rsidRDefault="008B2EB0" w:rsidP="008B2EB0">
      <w:pPr>
        <w:pStyle w:val="Default"/>
        <w:rPr>
          <w:b/>
          <w:bCs/>
          <w:sz w:val="22"/>
          <w:szCs w:val="22"/>
        </w:rPr>
      </w:pPr>
      <w:r w:rsidRPr="008B2EB0">
        <w:rPr>
          <w:b/>
          <w:bCs/>
          <w:sz w:val="22"/>
          <w:szCs w:val="22"/>
        </w:rPr>
        <w:t xml:space="preserve">This supplementary information for the </w:t>
      </w:r>
      <w:r>
        <w:rPr>
          <w:b/>
          <w:bCs/>
          <w:sz w:val="22"/>
          <w:szCs w:val="22"/>
        </w:rPr>
        <w:t>Business Advisor Adult Social Care and Adult &amp; Children’s Commissioning</w:t>
      </w:r>
      <w:r w:rsidRPr="008B2EB0">
        <w:rPr>
          <w:b/>
          <w:bCs/>
          <w:sz w:val="22"/>
          <w:szCs w:val="22"/>
        </w:rPr>
        <w:t xml:space="preserve"> is for guidance and must be used in conjunction with the Job Capsule for Level </w:t>
      </w:r>
      <w:r>
        <w:rPr>
          <w:b/>
          <w:bCs/>
          <w:sz w:val="22"/>
          <w:szCs w:val="22"/>
        </w:rPr>
        <w:t>5</w:t>
      </w:r>
      <w:r w:rsidRPr="008B2EB0">
        <w:rPr>
          <w:b/>
          <w:bCs/>
          <w:sz w:val="22"/>
          <w:szCs w:val="22"/>
        </w:rPr>
        <w:t xml:space="preserve">, Zone </w:t>
      </w:r>
      <w:r>
        <w:rPr>
          <w:b/>
          <w:bCs/>
          <w:sz w:val="22"/>
          <w:szCs w:val="22"/>
        </w:rPr>
        <w:t>2, Camden Way Category 4</w:t>
      </w:r>
    </w:p>
    <w:p w:rsidR="008B2EB0" w:rsidRDefault="008B2EB0" w:rsidP="008B2EB0">
      <w:pPr>
        <w:pStyle w:val="Default"/>
        <w:rPr>
          <w:b/>
          <w:bCs/>
          <w:sz w:val="22"/>
          <w:szCs w:val="22"/>
        </w:rPr>
      </w:pPr>
    </w:p>
    <w:p w:rsidR="008B2EB0" w:rsidRPr="008B2EB0" w:rsidRDefault="008B2EB0" w:rsidP="008B2EB0">
      <w:pPr>
        <w:pStyle w:val="Default"/>
        <w:rPr>
          <w:b/>
          <w:bCs/>
          <w:color w:val="FF0000"/>
          <w:sz w:val="22"/>
          <w:szCs w:val="22"/>
        </w:rPr>
      </w:pPr>
      <w:r w:rsidRPr="008B2EB0">
        <w:rPr>
          <w:b/>
          <w:bCs/>
          <w:color w:val="FF0000"/>
          <w:sz w:val="22"/>
          <w:szCs w:val="22"/>
        </w:rPr>
        <w:t>It is for use during recruitment, setting objectives as part of the performance management process and other people management purposes.  It does not form part of an employee’s contract of employment.</w:t>
      </w:r>
    </w:p>
    <w:p w:rsidR="008B2EB0" w:rsidRDefault="008B2EB0" w:rsidP="008B2EB0">
      <w:pPr>
        <w:pStyle w:val="Default"/>
        <w:rPr>
          <w:b/>
          <w:bCs/>
          <w:sz w:val="22"/>
          <w:szCs w:val="22"/>
        </w:rPr>
      </w:pPr>
    </w:p>
    <w:p w:rsidR="008B2EB0" w:rsidRDefault="008B2EB0" w:rsidP="008B2EB0">
      <w:pPr>
        <w:pStyle w:val="Default"/>
        <w:rPr>
          <w:b/>
          <w:bCs/>
          <w:sz w:val="22"/>
          <w:szCs w:val="22"/>
        </w:rPr>
      </w:pPr>
      <w:r>
        <w:rPr>
          <w:b/>
          <w:bCs/>
          <w:sz w:val="22"/>
          <w:szCs w:val="22"/>
        </w:rPr>
        <w:t xml:space="preserve">Role Purpose: </w:t>
      </w:r>
    </w:p>
    <w:p w:rsidR="008B2EB0" w:rsidRDefault="008B2EB0" w:rsidP="008B2EB0">
      <w:pPr>
        <w:pStyle w:val="Default"/>
        <w:rPr>
          <w:sz w:val="22"/>
          <w:szCs w:val="22"/>
        </w:rPr>
      </w:pPr>
    </w:p>
    <w:p w:rsidR="008B2EB0" w:rsidRDefault="008B2EB0" w:rsidP="008B2EB0">
      <w:pPr>
        <w:pStyle w:val="Default"/>
        <w:numPr>
          <w:ilvl w:val="0"/>
          <w:numId w:val="7"/>
        </w:numPr>
        <w:spacing w:after="30"/>
        <w:rPr>
          <w:sz w:val="22"/>
          <w:szCs w:val="22"/>
        </w:rPr>
      </w:pPr>
      <w:r>
        <w:rPr>
          <w:sz w:val="22"/>
          <w:szCs w:val="22"/>
        </w:rPr>
        <w:t xml:space="preserve">To lead the team that provides financial advice for public health, </w:t>
      </w:r>
      <w:proofErr w:type="gramStart"/>
      <w:r>
        <w:rPr>
          <w:sz w:val="22"/>
          <w:szCs w:val="22"/>
        </w:rPr>
        <w:t>adults</w:t>
      </w:r>
      <w:proofErr w:type="gramEnd"/>
      <w:r>
        <w:rPr>
          <w:sz w:val="22"/>
          <w:szCs w:val="22"/>
        </w:rPr>
        <w:t xml:space="preserve"> social care and adults and children’s commissioning functions. </w:t>
      </w:r>
    </w:p>
    <w:p w:rsidR="008B2EB0" w:rsidRDefault="008B2EB0" w:rsidP="008B2EB0">
      <w:pPr>
        <w:pStyle w:val="Default"/>
        <w:numPr>
          <w:ilvl w:val="0"/>
          <w:numId w:val="7"/>
        </w:numPr>
        <w:spacing w:after="30"/>
        <w:rPr>
          <w:sz w:val="22"/>
          <w:szCs w:val="22"/>
        </w:rPr>
      </w:pPr>
      <w:r>
        <w:rPr>
          <w:sz w:val="22"/>
          <w:szCs w:val="22"/>
        </w:rPr>
        <w:t xml:space="preserve">To ensure that the financial impact of all service changes are fully considered. </w:t>
      </w:r>
    </w:p>
    <w:p w:rsidR="008B2EB0" w:rsidRDefault="008B2EB0" w:rsidP="008B2EB0">
      <w:pPr>
        <w:pStyle w:val="Default"/>
        <w:numPr>
          <w:ilvl w:val="0"/>
          <w:numId w:val="7"/>
        </w:numPr>
        <w:spacing w:after="30"/>
        <w:rPr>
          <w:sz w:val="22"/>
          <w:szCs w:val="22"/>
        </w:rPr>
      </w:pPr>
      <w:r>
        <w:rPr>
          <w:sz w:val="22"/>
          <w:szCs w:val="22"/>
        </w:rPr>
        <w:t xml:space="preserve">To actively seek out external financial best practice and use this to support service improvement. </w:t>
      </w:r>
    </w:p>
    <w:p w:rsidR="008B2EB0" w:rsidRDefault="008B2EB0" w:rsidP="008B2EB0">
      <w:pPr>
        <w:pStyle w:val="Default"/>
        <w:numPr>
          <w:ilvl w:val="0"/>
          <w:numId w:val="7"/>
        </w:numPr>
        <w:rPr>
          <w:sz w:val="22"/>
          <w:szCs w:val="22"/>
        </w:rPr>
      </w:pPr>
      <w:r>
        <w:rPr>
          <w:sz w:val="22"/>
          <w:szCs w:val="22"/>
        </w:rPr>
        <w:t xml:space="preserve">To lead on all financial issues, including funding changes, impacting on adults and public health financial plans. </w:t>
      </w:r>
    </w:p>
    <w:p w:rsidR="008B2EB0" w:rsidRDefault="008B2EB0" w:rsidP="008B2EB0">
      <w:pPr>
        <w:pStyle w:val="Default"/>
        <w:rPr>
          <w:sz w:val="22"/>
          <w:szCs w:val="22"/>
        </w:rPr>
      </w:pPr>
    </w:p>
    <w:p w:rsidR="008B2EB0" w:rsidRDefault="008B2EB0" w:rsidP="008B2EB0">
      <w:pPr>
        <w:pStyle w:val="Default"/>
        <w:rPr>
          <w:b/>
          <w:bCs/>
          <w:sz w:val="22"/>
          <w:szCs w:val="22"/>
        </w:rPr>
      </w:pPr>
      <w:r>
        <w:rPr>
          <w:b/>
          <w:bCs/>
          <w:sz w:val="22"/>
          <w:szCs w:val="22"/>
        </w:rPr>
        <w:t xml:space="preserve">Example outcomes or objectives that this role will deliver: </w:t>
      </w:r>
    </w:p>
    <w:p w:rsidR="008B2EB0" w:rsidRDefault="008B2EB0" w:rsidP="008B2EB0">
      <w:pPr>
        <w:pStyle w:val="Default"/>
        <w:rPr>
          <w:sz w:val="22"/>
          <w:szCs w:val="22"/>
        </w:rPr>
      </w:pPr>
    </w:p>
    <w:p w:rsidR="008B2EB0" w:rsidRDefault="008B2EB0" w:rsidP="008B2EB0">
      <w:pPr>
        <w:pStyle w:val="Default"/>
        <w:numPr>
          <w:ilvl w:val="0"/>
          <w:numId w:val="5"/>
        </w:numPr>
        <w:spacing w:after="25"/>
        <w:rPr>
          <w:sz w:val="22"/>
          <w:szCs w:val="22"/>
        </w:rPr>
      </w:pPr>
      <w:r>
        <w:rPr>
          <w:sz w:val="22"/>
          <w:szCs w:val="22"/>
        </w:rPr>
        <w:t xml:space="preserve">Medium term financial strategy for adult social care </w:t>
      </w:r>
    </w:p>
    <w:p w:rsidR="008B2EB0" w:rsidRDefault="008B2EB0" w:rsidP="008B2EB0">
      <w:pPr>
        <w:pStyle w:val="Default"/>
        <w:numPr>
          <w:ilvl w:val="0"/>
          <w:numId w:val="6"/>
        </w:numPr>
        <w:spacing w:after="25"/>
        <w:rPr>
          <w:sz w:val="22"/>
          <w:szCs w:val="22"/>
        </w:rPr>
      </w:pPr>
      <w:r>
        <w:rPr>
          <w:sz w:val="22"/>
          <w:szCs w:val="22"/>
        </w:rPr>
        <w:t xml:space="preserve">Effective financial strategies which help meet key strategic objectives of social care, health integration and public health, taking account of resource constraints </w:t>
      </w:r>
    </w:p>
    <w:p w:rsidR="008B2EB0" w:rsidRDefault="008B2EB0" w:rsidP="008B2EB0">
      <w:pPr>
        <w:pStyle w:val="Default"/>
        <w:numPr>
          <w:ilvl w:val="0"/>
          <w:numId w:val="6"/>
        </w:numPr>
        <w:spacing w:after="25"/>
        <w:rPr>
          <w:sz w:val="22"/>
          <w:szCs w:val="22"/>
        </w:rPr>
      </w:pPr>
      <w:r>
        <w:rPr>
          <w:sz w:val="22"/>
          <w:szCs w:val="22"/>
        </w:rPr>
        <w:t xml:space="preserve">Responses to consultations impacting social care </w:t>
      </w:r>
    </w:p>
    <w:p w:rsidR="008B2EB0" w:rsidRDefault="008B2EB0" w:rsidP="008B2EB0">
      <w:pPr>
        <w:pStyle w:val="Default"/>
        <w:numPr>
          <w:ilvl w:val="0"/>
          <w:numId w:val="6"/>
        </w:numPr>
        <w:spacing w:after="25"/>
        <w:rPr>
          <w:sz w:val="22"/>
          <w:szCs w:val="22"/>
        </w:rPr>
      </w:pPr>
      <w:r>
        <w:rPr>
          <w:sz w:val="22"/>
          <w:szCs w:val="22"/>
        </w:rPr>
        <w:t xml:space="preserve">Lead of all financial issues on the interface between health and social care </w:t>
      </w:r>
    </w:p>
    <w:p w:rsidR="008B2EB0" w:rsidRDefault="008B2EB0" w:rsidP="008B2EB0">
      <w:pPr>
        <w:pStyle w:val="Default"/>
        <w:numPr>
          <w:ilvl w:val="0"/>
          <w:numId w:val="6"/>
        </w:numPr>
        <w:spacing w:after="25"/>
        <w:rPr>
          <w:sz w:val="22"/>
          <w:szCs w:val="22"/>
        </w:rPr>
      </w:pPr>
      <w:r>
        <w:rPr>
          <w:sz w:val="22"/>
          <w:szCs w:val="22"/>
        </w:rPr>
        <w:t xml:space="preserve">Briefings for senior officers on financial issues impacting health and care </w:t>
      </w:r>
    </w:p>
    <w:p w:rsidR="008B2EB0" w:rsidRDefault="008B2EB0" w:rsidP="008B2EB0">
      <w:pPr>
        <w:pStyle w:val="Default"/>
        <w:numPr>
          <w:ilvl w:val="0"/>
          <w:numId w:val="6"/>
        </w:numPr>
        <w:spacing w:after="25"/>
        <w:rPr>
          <w:sz w:val="22"/>
          <w:szCs w:val="22"/>
        </w:rPr>
      </w:pPr>
      <w:r>
        <w:rPr>
          <w:sz w:val="22"/>
          <w:szCs w:val="22"/>
        </w:rPr>
        <w:t xml:space="preserve">Financial Support for major change and recommissioning projects and service redesigns </w:t>
      </w:r>
    </w:p>
    <w:p w:rsidR="008B2EB0" w:rsidRDefault="008B2EB0" w:rsidP="008B2EB0">
      <w:pPr>
        <w:pStyle w:val="Default"/>
        <w:numPr>
          <w:ilvl w:val="0"/>
          <w:numId w:val="6"/>
        </w:numPr>
        <w:spacing w:after="25"/>
        <w:rPr>
          <w:sz w:val="22"/>
          <w:szCs w:val="22"/>
        </w:rPr>
      </w:pPr>
      <w:r>
        <w:rPr>
          <w:sz w:val="22"/>
          <w:szCs w:val="22"/>
        </w:rPr>
        <w:t xml:space="preserve">Management of the financial reporting aspects of the Better Care Fund and other health funded services </w:t>
      </w:r>
    </w:p>
    <w:p w:rsidR="008B2EB0" w:rsidRDefault="008B2EB0" w:rsidP="008B2EB0">
      <w:pPr>
        <w:pStyle w:val="Default"/>
        <w:numPr>
          <w:ilvl w:val="0"/>
          <w:numId w:val="6"/>
        </w:numPr>
        <w:rPr>
          <w:sz w:val="22"/>
          <w:szCs w:val="22"/>
        </w:rPr>
      </w:pPr>
      <w:r>
        <w:rPr>
          <w:sz w:val="22"/>
          <w:szCs w:val="22"/>
        </w:rPr>
        <w:t xml:space="preserve">Linked finance and performance information that supports service planning </w:t>
      </w:r>
    </w:p>
    <w:p w:rsidR="008B2EB0" w:rsidRDefault="008B2EB0" w:rsidP="008B2EB0">
      <w:pPr>
        <w:pStyle w:val="Default"/>
        <w:rPr>
          <w:sz w:val="22"/>
          <w:szCs w:val="22"/>
        </w:rPr>
      </w:pPr>
    </w:p>
    <w:p w:rsidR="008B2EB0" w:rsidRDefault="008B2EB0" w:rsidP="008B2EB0">
      <w:pPr>
        <w:pStyle w:val="Default"/>
        <w:rPr>
          <w:b/>
          <w:bCs/>
          <w:sz w:val="22"/>
          <w:szCs w:val="22"/>
        </w:rPr>
      </w:pPr>
      <w:r>
        <w:rPr>
          <w:b/>
          <w:bCs/>
          <w:sz w:val="22"/>
          <w:szCs w:val="22"/>
        </w:rPr>
        <w:t xml:space="preserve">People Management Responsibilities: </w:t>
      </w:r>
    </w:p>
    <w:p w:rsidR="008B2EB0" w:rsidRDefault="008B2EB0" w:rsidP="008B2EB0">
      <w:pPr>
        <w:pStyle w:val="Default"/>
        <w:rPr>
          <w:sz w:val="22"/>
          <w:szCs w:val="22"/>
        </w:rPr>
      </w:pPr>
    </w:p>
    <w:p w:rsidR="008B2EB0" w:rsidRDefault="008B2EB0" w:rsidP="008B2EB0">
      <w:pPr>
        <w:pStyle w:val="Default"/>
        <w:rPr>
          <w:sz w:val="22"/>
          <w:szCs w:val="22"/>
        </w:rPr>
      </w:pPr>
      <w:r>
        <w:rPr>
          <w:sz w:val="22"/>
          <w:szCs w:val="22"/>
        </w:rPr>
        <w:t xml:space="preserve">Direct Line management responsibility for 2 Business Advisors </w:t>
      </w:r>
    </w:p>
    <w:p w:rsidR="003E43D8" w:rsidRPr="008B2EB0" w:rsidRDefault="008B2EB0" w:rsidP="008B2EB0">
      <w:pPr>
        <w:rPr>
          <w:rFonts w:ascii="Arial" w:hAnsi="Arial" w:cs="Arial"/>
          <w:color w:val="000000"/>
        </w:rPr>
      </w:pPr>
      <w:r w:rsidRPr="008B2EB0">
        <w:rPr>
          <w:rFonts w:ascii="Arial" w:hAnsi="Arial" w:cs="Arial"/>
          <w:color w:val="000000"/>
        </w:rPr>
        <w:t>Team management responsibility for 6 FTE (including 2 direct reports)</w:t>
      </w:r>
    </w:p>
    <w:p w:rsidR="008B2EB0" w:rsidRDefault="008B2EB0" w:rsidP="008B2EB0"/>
    <w:p w:rsidR="008B2EB0" w:rsidRDefault="008B2EB0" w:rsidP="008B2EB0">
      <w:pPr>
        <w:pStyle w:val="Default"/>
        <w:rPr>
          <w:b/>
          <w:bCs/>
          <w:sz w:val="22"/>
          <w:szCs w:val="22"/>
        </w:rPr>
      </w:pPr>
      <w:r>
        <w:rPr>
          <w:b/>
          <w:bCs/>
          <w:sz w:val="22"/>
          <w:szCs w:val="22"/>
        </w:rPr>
        <w:t xml:space="preserve">Relationships: </w:t>
      </w:r>
    </w:p>
    <w:p w:rsidR="008B2EB0" w:rsidRDefault="008B2EB0" w:rsidP="008B2EB0">
      <w:pPr>
        <w:pStyle w:val="Default"/>
        <w:rPr>
          <w:sz w:val="22"/>
          <w:szCs w:val="22"/>
        </w:rPr>
      </w:pPr>
    </w:p>
    <w:p w:rsidR="008B2EB0" w:rsidRDefault="008B2EB0" w:rsidP="008B2EB0">
      <w:pPr>
        <w:pStyle w:val="Default"/>
        <w:rPr>
          <w:sz w:val="22"/>
          <w:szCs w:val="22"/>
        </w:rPr>
      </w:pPr>
      <w:r>
        <w:rPr>
          <w:sz w:val="22"/>
          <w:szCs w:val="22"/>
        </w:rPr>
        <w:t>The post holder will report to the Head of Finance (Supporting People</w:t>
      </w:r>
      <w:proofErr w:type="gramStart"/>
      <w:r>
        <w:rPr>
          <w:sz w:val="22"/>
          <w:szCs w:val="22"/>
        </w:rPr>
        <w:t>) .</w:t>
      </w:r>
      <w:proofErr w:type="gramEnd"/>
      <w:r>
        <w:rPr>
          <w:sz w:val="22"/>
          <w:szCs w:val="22"/>
        </w:rPr>
        <w:t xml:space="preserve"> Other key relationships for the post holder will be: </w:t>
      </w:r>
    </w:p>
    <w:p w:rsidR="008B2EB0" w:rsidRDefault="008B2EB0" w:rsidP="008B2EB0">
      <w:pPr>
        <w:pStyle w:val="Default"/>
        <w:rPr>
          <w:sz w:val="22"/>
          <w:szCs w:val="22"/>
        </w:rPr>
      </w:pPr>
    </w:p>
    <w:p w:rsidR="008B2EB0" w:rsidRDefault="008B2EB0" w:rsidP="008B2EB0">
      <w:pPr>
        <w:pStyle w:val="Default"/>
        <w:numPr>
          <w:ilvl w:val="0"/>
          <w:numId w:val="8"/>
        </w:numPr>
        <w:spacing w:after="30"/>
        <w:rPr>
          <w:sz w:val="22"/>
          <w:szCs w:val="22"/>
        </w:rPr>
      </w:pPr>
      <w:r>
        <w:rPr>
          <w:sz w:val="22"/>
          <w:szCs w:val="22"/>
        </w:rPr>
        <w:t xml:space="preserve">The relevant Executive Director and other senior managers within the Council </w:t>
      </w:r>
    </w:p>
    <w:p w:rsidR="008B2EB0" w:rsidRDefault="008B2EB0" w:rsidP="008B2EB0">
      <w:pPr>
        <w:pStyle w:val="Default"/>
        <w:numPr>
          <w:ilvl w:val="0"/>
          <w:numId w:val="8"/>
        </w:numPr>
        <w:spacing w:after="30"/>
        <w:rPr>
          <w:sz w:val="22"/>
          <w:szCs w:val="22"/>
        </w:rPr>
      </w:pPr>
      <w:r>
        <w:rPr>
          <w:sz w:val="22"/>
          <w:szCs w:val="22"/>
        </w:rPr>
        <w:t xml:space="preserve">Relevant Cabinet Members/Scrutiny Committees </w:t>
      </w:r>
    </w:p>
    <w:p w:rsidR="008B2EB0" w:rsidRDefault="008B2EB0" w:rsidP="008B2EB0">
      <w:pPr>
        <w:pStyle w:val="Default"/>
        <w:numPr>
          <w:ilvl w:val="0"/>
          <w:numId w:val="8"/>
        </w:numPr>
        <w:spacing w:after="30"/>
        <w:rPr>
          <w:sz w:val="22"/>
          <w:szCs w:val="22"/>
        </w:rPr>
      </w:pPr>
      <w:r>
        <w:rPr>
          <w:sz w:val="22"/>
          <w:szCs w:val="22"/>
        </w:rPr>
        <w:t xml:space="preserve">Partners such as Camden Clinical Commissioning Group </w:t>
      </w:r>
    </w:p>
    <w:p w:rsidR="008B2EB0" w:rsidRDefault="008B2EB0" w:rsidP="008B2EB0">
      <w:pPr>
        <w:pStyle w:val="Default"/>
        <w:numPr>
          <w:ilvl w:val="0"/>
          <w:numId w:val="8"/>
        </w:numPr>
        <w:spacing w:after="30"/>
        <w:rPr>
          <w:sz w:val="22"/>
          <w:szCs w:val="22"/>
        </w:rPr>
      </w:pPr>
      <w:r>
        <w:rPr>
          <w:sz w:val="22"/>
          <w:szCs w:val="22"/>
        </w:rPr>
        <w:t xml:space="preserve">Other Local Authorities </w:t>
      </w:r>
    </w:p>
    <w:p w:rsidR="008B2EB0" w:rsidRDefault="008B2EB0" w:rsidP="008B2EB0">
      <w:pPr>
        <w:pStyle w:val="Default"/>
        <w:numPr>
          <w:ilvl w:val="0"/>
          <w:numId w:val="8"/>
        </w:numPr>
        <w:rPr>
          <w:sz w:val="22"/>
          <w:szCs w:val="22"/>
        </w:rPr>
      </w:pPr>
      <w:r>
        <w:rPr>
          <w:sz w:val="22"/>
          <w:szCs w:val="22"/>
        </w:rPr>
        <w:t xml:space="preserve">Relevant staff within Strategy and Organisational Development </w:t>
      </w:r>
    </w:p>
    <w:p w:rsidR="008B2EB0" w:rsidRDefault="008B2EB0" w:rsidP="008B2EB0">
      <w:pPr>
        <w:pStyle w:val="Default"/>
        <w:rPr>
          <w:sz w:val="22"/>
          <w:szCs w:val="22"/>
        </w:rPr>
      </w:pPr>
    </w:p>
    <w:p w:rsidR="008B2EB0" w:rsidRDefault="008B2EB0" w:rsidP="008B2EB0">
      <w:pPr>
        <w:pStyle w:val="Default"/>
        <w:rPr>
          <w:b/>
          <w:bCs/>
          <w:sz w:val="22"/>
          <w:szCs w:val="22"/>
        </w:rPr>
      </w:pPr>
      <w:r>
        <w:rPr>
          <w:b/>
          <w:bCs/>
          <w:sz w:val="22"/>
          <w:szCs w:val="22"/>
        </w:rPr>
        <w:t xml:space="preserve">Work Environment: </w:t>
      </w:r>
    </w:p>
    <w:p w:rsidR="008B2EB0" w:rsidRDefault="008B2EB0" w:rsidP="008B2EB0">
      <w:pPr>
        <w:pStyle w:val="Default"/>
        <w:rPr>
          <w:sz w:val="22"/>
          <w:szCs w:val="22"/>
        </w:rPr>
      </w:pPr>
    </w:p>
    <w:p w:rsidR="008B2EB0" w:rsidRDefault="008B2EB0" w:rsidP="008B2EB0">
      <w:pPr>
        <w:pStyle w:val="Default"/>
        <w:rPr>
          <w:i/>
          <w:iCs/>
          <w:sz w:val="22"/>
          <w:szCs w:val="22"/>
        </w:rPr>
      </w:pPr>
      <w:r>
        <w:rPr>
          <w:sz w:val="22"/>
          <w:szCs w:val="22"/>
        </w:rPr>
        <w:t>The role is office based and the post holder will be expected to work in an agile way in line with Camden’s flexible and paperless office environment</w:t>
      </w:r>
      <w:r>
        <w:rPr>
          <w:i/>
          <w:iCs/>
          <w:sz w:val="22"/>
          <w:szCs w:val="22"/>
        </w:rPr>
        <w:t xml:space="preserve">. </w:t>
      </w:r>
    </w:p>
    <w:p w:rsidR="008B2EB0" w:rsidRDefault="008B2EB0" w:rsidP="008B2EB0">
      <w:pPr>
        <w:pStyle w:val="Default"/>
        <w:rPr>
          <w:b/>
          <w:bCs/>
          <w:sz w:val="22"/>
          <w:szCs w:val="22"/>
        </w:rPr>
      </w:pPr>
    </w:p>
    <w:p w:rsidR="008B2EB0" w:rsidRDefault="008B2EB0" w:rsidP="008B2EB0">
      <w:pPr>
        <w:pStyle w:val="Default"/>
        <w:rPr>
          <w:b/>
          <w:bCs/>
          <w:sz w:val="22"/>
          <w:szCs w:val="22"/>
        </w:rPr>
      </w:pPr>
      <w:r>
        <w:rPr>
          <w:b/>
          <w:bCs/>
          <w:sz w:val="22"/>
          <w:szCs w:val="22"/>
        </w:rPr>
        <w:t xml:space="preserve">Technical Knowledge and Experience: </w:t>
      </w:r>
    </w:p>
    <w:p w:rsidR="008B2EB0" w:rsidRDefault="008B2EB0" w:rsidP="008B2EB0">
      <w:pPr>
        <w:pStyle w:val="Default"/>
        <w:rPr>
          <w:sz w:val="22"/>
          <w:szCs w:val="22"/>
        </w:rPr>
      </w:pPr>
    </w:p>
    <w:p w:rsidR="008B2EB0" w:rsidRDefault="008B2EB0" w:rsidP="008B2EB0">
      <w:pPr>
        <w:pStyle w:val="Default"/>
        <w:rPr>
          <w:b/>
          <w:bCs/>
          <w:sz w:val="22"/>
          <w:szCs w:val="22"/>
        </w:rPr>
      </w:pPr>
      <w:r>
        <w:rPr>
          <w:b/>
          <w:bCs/>
          <w:sz w:val="22"/>
          <w:szCs w:val="22"/>
        </w:rPr>
        <w:t xml:space="preserve">Essential </w:t>
      </w:r>
    </w:p>
    <w:p w:rsidR="008B2EB0" w:rsidRDefault="008B2EB0" w:rsidP="008B2EB0">
      <w:pPr>
        <w:pStyle w:val="Default"/>
        <w:rPr>
          <w:sz w:val="22"/>
          <w:szCs w:val="22"/>
        </w:rPr>
      </w:pPr>
    </w:p>
    <w:p w:rsidR="008B2EB0" w:rsidRDefault="008B2EB0" w:rsidP="008B2EB0">
      <w:pPr>
        <w:pStyle w:val="Default"/>
        <w:numPr>
          <w:ilvl w:val="0"/>
          <w:numId w:val="9"/>
        </w:numPr>
        <w:spacing w:after="30"/>
        <w:rPr>
          <w:sz w:val="22"/>
          <w:szCs w:val="22"/>
        </w:rPr>
      </w:pPr>
      <w:r>
        <w:rPr>
          <w:sz w:val="22"/>
          <w:szCs w:val="22"/>
        </w:rPr>
        <w:t xml:space="preserve">CCAB qualified accountant </w:t>
      </w:r>
    </w:p>
    <w:p w:rsidR="008B2EB0" w:rsidRDefault="008B2EB0" w:rsidP="008B2EB0">
      <w:pPr>
        <w:pStyle w:val="Default"/>
        <w:numPr>
          <w:ilvl w:val="0"/>
          <w:numId w:val="9"/>
        </w:numPr>
        <w:spacing w:after="30"/>
        <w:rPr>
          <w:sz w:val="22"/>
          <w:szCs w:val="22"/>
        </w:rPr>
      </w:pPr>
      <w:r>
        <w:rPr>
          <w:sz w:val="22"/>
          <w:szCs w:val="22"/>
        </w:rPr>
        <w:t xml:space="preserve">Detailed understanding of local government finance and financial techniques </w:t>
      </w:r>
    </w:p>
    <w:p w:rsidR="008B2EB0" w:rsidRDefault="008B2EB0" w:rsidP="008B2EB0">
      <w:pPr>
        <w:pStyle w:val="Default"/>
        <w:numPr>
          <w:ilvl w:val="0"/>
          <w:numId w:val="9"/>
        </w:numPr>
        <w:spacing w:after="30"/>
        <w:rPr>
          <w:sz w:val="22"/>
          <w:szCs w:val="22"/>
        </w:rPr>
      </w:pPr>
      <w:r>
        <w:rPr>
          <w:sz w:val="22"/>
          <w:szCs w:val="22"/>
        </w:rPr>
        <w:t xml:space="preserve">Excellent influencing skills </w:t>
      </w:r>
    </w:p>
    <w:p w:rsidR="008B2EB0" w:rsidRDefault="008B2EB0" w:rsidP="008B2EB0">
      <w:pPr>
        <w:pStyle w:val="Default"/>
        <w:numPr>
          <w:ilvl w:val="0"/>
          <w:numId w:val="9"/>
        </w:numPr>
        <w:spacing w:after="30"/>
        <w:rPr>
          <w:sz w:val="22"/>
          <w:szCs w:val="22"/>
        </w:rPr>
      </w:pPr>
      <w:r>
        <w:rPr>
          <w:sz w:val="22"/>
          <w:szCs w:val="22"/>
        </w:rPr>
        <w:t xml:space="preserve">Ability to communicate complex financial issues to differing levels within the organisation </w:t>
      </w:r>
    </w:p>
    <w:p w:rsidR="008B2EB0" w:rsidRPr="008B2EB0" w:rsidRDefault="008B2EB0" w:rsidP="006178CC">
      <w:pPr>
        <w:pStyle w:val="Default"/>
        <w:numPr>
          <w:ilvl w:val="0"/>
          <w:numId w:val="9"/>
        </w:numPr>
        <w:rPr>
          <w:b/>
          <w:bCs/>
          <w:sz w:val="22"/>
          <w:szCs w:val="22"/>
        </w:rPr>
      </w:pPr>
      <w:r w:rsidRPr="008B2EB0">
        <w:rPr>
          <w:sz w:val="22"/>
          <w:szCs w:val="22"/>
        </w:rPr>
        <w:t xml:space="preserve">Ability to deal confidently with elected members </w:t>
      </w:r>
    </w:p>
    <w:p w:rsidR="008B2EB0" w:rsidRDefault="008B2EB0" w:rsidP="008B2EB0">
      <w:pPr>
        <w:pStyle w:val="Default"/>
        <w:rPr>
          <w:b/>
          <w:bCs/>
          <w:sz w:val="22"/>
          <w:szCs w:val="22"/>
        </w:rPr>
      </w:pPr>
    </w:p>
    <w:p w:rsidR="008B2EB0" w:rsidRDefault="008B2EB0" w:rsidP="008B2EB0">
      <w:pPr>
        <w:pStyle w:val="Default"/>
        <w:rPr>
          <w:b/>
          <w:bCs/>
          <w:sz w:val="22"/>
          <w:szCs w:val="22"/>
        </w:rPr>
      </w:pPr>
      <w:bookmarkStart w:id="0" w:name="_GoBack"/>
      <w:bookmarkEnd w:id="0"/>
    </w:p>
    <w:p w:rsidR="008B2EB0" w:rsidRDefault="008B2EB0" w:rsidP="008B2EB0">
      <w:pPr>
        <w:pStyle w:val="Default"/>
        <w:rPr>
          <w:b/>
          <w:bCs/>
          <w:sz w:val="22"/>
          <w:szCs w:val="22"/>
        </w:rPr>
      </w:pPr>
    </w:p>
    <w:p w:rsidR="008B2EB0" w:rsidRDefault="008B2EB0" w:rsidP="008B2EB0">
      <w:pPr>
        <w:pStyle w:val="Default"/>
        <w:rPr>
          <w:sz w:val="22"/>
          <w:szCs w:val="22"/>
        </w:rPr>
      </w:pPr>
      <w:r>
        <w:rPr>
          <w:b/>
          <w:bCs/>
          <w:sz w:val="22"/>
          <w:szCs w:val="22"/>
        </w:rPr>
        <w:t xml:space="preserve">Desirable </w:t>
      </w:r>
    </w:p>
    <w:p w:rsidR="008B2EB0" w:rsidRPr="008B2EB0" w:rsidRDefault="008B2EB0" w:rsidP="008B2EB0">
      <w:pPr>
        <w:pStyle w:val="Default"/>
        <w:numPr>
          <w:ilvl w:val="0"/>
          <w:numId w:val="10"/>
        </w:numPr>
        <w:rPr>
          <w:sz w:val="22"/>
          <w:szCs w:val="22"/>
        </w:rPr>
      </w:pPr>
      <w:r w:rsidRPr="008B2EB0">
        <w:rPr>
          <w:sz w:val="22"/>
          <w:szCs w:val="22"/>
        </w:rPr>
        <w:t>Direct experience managing health or social care financial issues</w:t>
      </w:r>
    </w:p>
    <w:p w:rsidR="008B2EB0" w:rsidRDefault="008B2EB0" w:rsidP="008B2EB0">
      <w:pPr>
        <w:pStyle w:val="Default"/>
        <w:rPr>
          <w:b/>
          <w:bCs/>
          <w:sz w:val="22"/>
          <w:szCs w:val="22"/>
        </w:rPr>
      </w:pPr>
    </w:p>
    <w:p w:rsidR="008B2EB0" w:rsidRDefault="008B2EB0" w:rsidP="008B2EB0">
      <w:pPr>
        <w:pStyle w:val="Default"/>
        <w:rPr>
          <w:b/>
          <w:bCs/>
          <w:sz w:val="22"/>
          <w:szCs w:val="22"/>
        </w:rPr>
      </w:pPr>
    </w:p>
    <w:p w:rsidR="008B2EB0" w:rsidRDefault="008B2EB0" w:rsidP="008B2EB0">
      <w:pPr>
        <w:pStyle w:val="Default"/>
        <w:rPr>
          <w:b/>
          <w:bCs/>
          <w:sz w:val="22"/>
          <w:szCs w:val="22"/>
        </w:rPr>
      </w:pPr>
    </w:p>
    <w:p w:rsidR="008B2EB0" w:rsidRDefault="008B2EB0" w:rsidP="008B2EB0">
      <w:pPr>
        <w:pStyle w:val="Default"/>
        <w:rPr>
          <w:b/>
          <w:bCs/>
          <w:sz w:val="22"/>
          <w:szCs w:val="22"/>
        </w:rPr>
      </w:pPr>
    </w:p>
    <w:p w:rsidR="008B2EB0" w:rsidRDefault="008B2EB0" w:rsidP="008B2EB0">
      <w:pPr>
        <w:pStyle w:val="Default"/>
        <w:rPr>
          <w:b/>
          <w:bCs/>
          <w:sz w:val="22"/>
          <w:szCs w:val="22"/>
        </w:rPr>
      </w:pPr>
    </w:p>
    <w:p w:rsidR="008B2EB0" w:rsidRDefault="008B2EB0" w:rsidP="008B2EB0">
      <w:pPr>
        <w:pStyle w:val="Default"/>
        <w:rPr>
          <w:sz w:val="22"/>
          <w:szCs w:val="22"/>
        </w:rPr>
      </w:pPr>
    </w:p>
    <w:p w:rsidR="008B2EB0" w:rsidRPr="008B2EB0" w:rsidRDefault="008B2EB0" w:rsidP="008B2EB0">
      <w:pPr>
        <w:rPr>
          <w:rFonts w:ascii="Arial" w:hAnsi="Arial" w:cs="Arial"/>
          <w:b/>
          <w:color w:val="000000"/>
        </w:rPr>
      </w:pPr>
      <w:r w:rsidRPr="008B2EB0">
        <w:rPr>
          <w:rFonts w:ascii="Arial" w:hAnsi="Arial" w:cs="Arial"/>
          <w:b/>
          <w:color w:val="000000"/>
        </w:rPr>
        <w:t>Camden Way Five Ways of Working</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The Camden Way illustrates the approach that should underpin everything we do through five ways of working: </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•Deliver for the people of Camden</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•Work as one team</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•Take pride in getting it right</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•Find better ways</w:t>
      </w:r>
    </w:p>
    <w:p w:rsidR="008B2EB0" w:rsidRPr="008B2EB0" w:rsidRDefault="008B2EB0" w:rsidP="008B2EB0">
      <w:pPr>
        <w:spacing w:before="100" w:beforeAutospacing="1" w:after="100" w:afterAutospacing="1" w:line="300" w:lineRule="atLeast"/>
        <w:rPr>
          <w:rFonts w:ascii="Arial" w:hAnsi="Arial" w:cs="Arial"/>
          <w:color w:val="000000"/>
        </w:rPr>
      </w:pPr>
      <w:r w:rsidRPr="008B2EB0">
        <w:rPr>
          <w:rFonts w:ascii="Arial" w:hAnsi="Arial" w:cs="Arial"/>
          <w:color w:val="000000"/>
        </w:rPr>
        <w:t xml:space="preserve">•Take personal responsibility </w:t>
      </w:r>
    </w:p>
    <w:p w:rsidR="008B2EB0" w:rsidRPr="008B2EB0" w:rsidRDefault="008B2EB0" w:rsidP="008B2EB0">
      <w:pPr>
        <w:rPr>
          <w:rFonts w:ascii="Arial" w:hAnsi="Arial" w:cs="Arial"/>
          <w:color w:val="000000"/>
        </w:rPr>
      </w:pPr>
      <w:r w:rsidRPr="008B2EB0">
        <w:rPr>
          <w:rFonts w:ascii="Arial" w:hAnsi="Arial" w:cs="Arial"/>
          <w:color w:val="000000"/>
        </w:rPr>
        <w:t>For further information on the Camden Way please visit:</w:t>
      </w:r>
    </w:p>
    <w:p w:rsidR="008B2EB0" w:rsidRPr="0032713D" w:rsidRDefault="008B2EB0" w:rsidP="008B2EB0">
      <w:pPr>
        <w:rPr>
          <w:rFonts w:cs="Arial"/>
        </w:rPr>
      </w:pPr>
      <w:hyperlink r:id="rId5" w:history="1">
        <w:r w:rsidRPr="0032713D">
          <w:rPr>
            <w:rStyle w:val="Hyperlink"/>
            <w:rFonts w:cs="Arial"/>
          </w:rPr>
          <w:t>https://camdengov.referrals.selectminds.com/togetherwearecamden/info/page1</w:t>
        </w:r>
      </w:hyperlink>
      <w:r w:rsidRPr="0032713D">
        <w:rPr>
          <w:rFonts w:cs="Arial"/>
        </w:rPr>
        <w:t xml:space="preserve"> </w:t>
      </w:r>
    </w:p>
    <w:p w:rsidR="008B2EB0" w:rsidRDefault="008B2EB0" w:rsidP="008B2EB0">
      <w:pPr>
        <w:pStyle w:val="Default"/>
        <w:rPr>
          <w:sz w:val="22"/>
          <w:szCs w:val="22"/>
        </w:rPr>
      </w:pPr>
    </w:p>
    <w:p w:rsidR="008B2EB0" w:rsidRDefault="008B2EB0" w:rsidP="008B2EB0">
      <w:pPr>
        <w:pStyle w:val="Default"/>
        <w:rPr>
          <w:sz w:val="22"/>
          <w:szCs w:val="22"/>
        </w:rPr>
      </w:pPr>
    </w:p>
    <w:sectPr w:rsidR="008B2EB0" w:rsidSect="008B2E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A5E"/>
    <w:multiLevelType w:val="hybridMultilevel"/>
    <w:tmpl w:val="782A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709"/>
    <w:multiLevelType w:val="hybridMultilevel"/>
    <w:tmpl w:val="F252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6A04"/>
    <w:multiLevelType w:val="hybridMultilevel"/>
    <w:tmpl w:val="C27E1890"/>
    <w:lvl w:ilvl="0" w:tplc="2A42A9F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3C0F92"/>
    <w:multiLevelType w:val="hybridMultilevel"/>
    <w:tmpl w:val="F926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D1984"/>
    <w:multiLevelType w:val="hybridMultilevel"/>
    <w:tmpl w:val="41B2A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FB3BA5"/>
    <w:multiLevelType w:val="hybridMultilevel"/>
    <w:tmpl w:val="D7DA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F31B5"/>
    <w:multiLevelType w:val="hybridMultilevel"/>
    <w:tmpl w:val="3198F4DE"/>
    <w:lvl w:ilvl="0" w:tplc="2A42A9F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EE6A9C"/>
    <w:multiLevelType w:val="hybridMultilevel"/>
    <w:tmpl w:val="44DC0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011328"/>
    <w:multiLevelType w:val="hybridMultilevel"/>
    <w:tmpl w:val="1958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B429A"/>
    <w:multiLevelType w:val="hybridMultilevel"/>
    <w:tmpl w:val="31EC90F8"/>
    <w:lvl w:ilvl="0" w:tplc="2A42A9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7"/>
  </w:num>
  <w:num w:numId="6">
    <w:abstractNumId w:val="4"/>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B0"/>
    <w:rsid w:val="003E43D8"/>
    <w:rsid w:val="008B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D42D"/>
  <w15:chartTrackingRefBased/>
  <w15:docId w15:val="{D1EFACDF-44A7-4CF5-A99A-742A6BBC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EB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8B2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Gemma</dc:creator>
  <cp:keywords/>
  <dc:description/>
  <cp:lastModifiedBy>McAdams, Gemma</cp:lastModifiedBy>
  <cp:revision>1</cp:revision>
  <dcterms:created xsi:type="dcterms:W3CDTF">2019-03-27T11:20:00Z</dcterms:created>
  <dcterms:modified xsi:type="dcterms:W3CDTF">2019-03-27T11:39:00Z</dcterms:modified>
</cp:coreProperties>
</file>