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AB" w:rsidRDefault="000036AB" w:rsidP="000036AB">
      <w:pPr>
        <w:pStyle w:val="Caption"/>
      </w:pPr>
      <w:r>
        <w:rPr>
          <w:noProof/>
        </w:rPr>
        <w:drawing>
          <wp:anchor distT="0" distB="0" distL="114300" distR="114300" simplePos="0" relativeHeight="251659264" behindDoc="1" locked="0" layoutInCell="1" allowOverlap="1" wp14:anchorId="59A4522B" wp14:editId="0FF12D11">
            <wp:simplePos x="0" y="0"/>
            <wp:positionH relativeFrom="column">
              <wp:posOffset>2571115</wp:posOffset>
            </wp:positionH>
            <wp:positionV relativeFrom="paragraph">
              <wp:posOffset>-529590</wp:posOffset>
            </wp:positionV>
            <wp:extent cx="5212715" cy="1002030"/>
            <wp:effectExtent l="0" t="0" r="6985" b="7620"/>
            <wp:wrapThrough wrapText="bothSides">
              <wp:wrapPolygon edited="0">
                <wp:start x="0" y="0"/>
                <wp:lineTo x="0" y="21354"/>
                <wp:lineTo x="21550" y="21354"/>
                <wp:lineTo x="21550" y="0"/>
                <wp:lineTo x="0" y="0"/>
              </wp:wrapPolygon>
            </wp:wrapThrough>
            <wp:docPr id="1" name="Picture 1" descr="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715" cy="1002030"/>
                    </a:xfrm>
                    <a:prstGeom prst="rect">
                      <a:avLst/>
                    </a:prstGeom>
                    <a:noFill/>
                  </pic:spPr>
                </pic:pic>
              </a:graphicData>
            </a:graphic>
            <wp14:sizeRelH relativeFrom="page">
              <wp14:pctWidth>0</wp14:pctWidth>
            </wp14:sizeRelH>
            <wp14:sizeRelV relativeFrom="page">
              <wp14:pctHeight>0</wp14:pctHeight>
            </wp14:sizeRelV>
          </wp:anchor>
        </w:drawing>
      </w:r>
    </w:p>
    <w:p w:rsidR="000036AB" w:rsidRDefault="000036AB" w:rsidP="000036AB"/>
    <w:p w:rsidR="000036AB" w:rsidRDefault="000036AB" w:rsidP="000036AB"/>
    <w:p w:rsidR="000036AB" w:rsidRDefault="000036AB" w:rsidP="000036AB"/>
    <w:p w:rsidR="000036AB" w:rsidRDefault="000036AB" w:rsidP="000036AB"/>
    <w:p w:rsidR="000036AB" w:rsidRDefault="000036AB" w:rsidP="000036AB">
      <w:pPr>
        <w:spacing w:after="0" w:line="240" w:lineRule="auto"/>
        <w:rPr>
          <w:b/>
        </w:rPr>
      </w:pPr>
    </w:p>
    <w:p w:rsidR="000036AB" w:rsidRPr="00A76EA8" w:rsidRDefault="00A76EA8" w:rsidP="008B1B1A">
      <w:pPr>
        <w:rPr>
          <w:rStyle w:val="Reportcovertitle"/>
          <w:b w:val="0"/>
          <w:bCs w:val="0"/>
          <w:sz w:val="40"/>
          <w:szCs w:val="40"/>
        </w:rPr>
      </w:pPr>
      <w:r w:rsidRPr="00A76EA8">
        <w:rPr>
          <w:rStyle w:val="Reportcovertitle"/>
          <w:b w:val="0"/>
          <w:bCs w:val="0"/>
          <w:sz w:val="40"/>
          <w:szCs w:val="40"/>
        </w:rPr>
        <w:t xml:space="preserve">Planning Application Reference </w:t>
      </w:r>
      <w:r w:rsidR="005D5936" w:rsidRPr="005D5936">
        <w:rPr>
          <w:rStyle w:val="Reportcovertitle"/>
          <w:b w:val="0"/>
          <w:bCs w:val="0"/>
          <w:sz w:val="40"/>
          <w:szCs w:val="40"/>
        </w:rPr>
        <w:t>2018/3951/P</w:t>
      </w:r>
      <w:r w:rsidRPr="00A76EA8">
        <w:rPr>
          <w:rStyle w:val="Reportcovertitle"/>
          <w:b w:val="0"/>
          <w:bCs w:val="0"/>
          <w:sz w:val="40"/>
          <w:szCs w:val="40"/>
        </w:rPr>
        <w:t xml:space="preserve">: </w:t>
      </w:r>
      <w:r w:rsidR="00186446" w:rsidRPr="00186446">
        <w:rPr>
          <w:rStyle w:val="Reportcovertitle"/>
          <w:b w:val="0"/>
          <w:bCs w:val="0"/>
          <w:sz w:val="40"/>
          <w:szCs w:val="40"/>
        </w:rPr>
        <w:t>Change of use from restaurant (Planning use class A3) to hot food takeaway (Planning use class A5) at 35 Pratt Street London NW1 0BG</w:t>
      </w:r>
      <w:r w:rsidR="005F5317">
        <w:rPr>
          <w:rStyle w:val="Reportcovertitle"/>
          <w:sz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75pt;margin-top:358.65pt;width:694.5pt;height:105.2pt;z-index:251660288;mso-position-horizontal-relative:text;mso-position-vertical:absolute;mso-position-vertical-relative:page">
            <v:imagedata r:id="rId9" o:title=""/>
            <w10:wrap anchory="page"/>
            <w10:anchorlock/>
          </v:shape>
          <o:OLEObject Type="Embed" ProgID="MSPhotoEd.3" ShapeID="_x0000_s1026" DrawAspect="Content" ObjectID="_1611752723" r:id="rId10"/>
        </w:object>
      </w:r>
    </w:p>
    <w:p w:rsidR="000036AB" w:rsidRDefault="00AA1A4E" w:rsidP="000036AB">
      <w:pPr>
        <w:rPr>
          <w:sz w:val="42"/>
        </w:rPr>
      </w:pPr>
      <w:r>
        <w:rPr>
          <w:sz w:val="42"/>
        </w:rPr>
        <w:t xml:space="preserve">Addendum to the </w:t>
      </w:r>
      <w:r w:rsidR="00A76EA8">
        <w:rPr>
          <w:sz w:val="42"/>
        </w:rPr>
        <w:t>Rapid Health Impact Assessment</w:t>
      </w:r>
    </w:p>
    <w:p w:rsidR="008B1B1A" w:rsidRDefault="008B1B1A" w:rsidP="000036AB">
      <w:pPr>
        <w:rPr>
          <w:sz w:val="42"/>
        </w:rPr>
      </w:pPr>
    </w:p>
    <w:p w:rsidR="000036AB" w:rsidRDefault="000036AB" w:rsidP="000036AB">
      <w:pPr>
        <w:rPr>
          <w:sz w:val="42"/>
        </w:rPr>
      </w:pPr>
    </w:p>
    <w:p w:rsidR="000036AB" w:rsidRDefault="000036AB" w:rsidP="000036AB">
      <w:pPr>
        <w:rPr>
          <w:bCs/>
          <w:color w:val="007229"/>
          <w:sz w:val="60"/>
        </w:rPr>
      </w:pPr>
    </w:p>
    <w:p w:rsidR="000036AB" w:rsidRPr="00A76EA8" w:rsidRDefault="000036AB" w:rsidP="000036AB">
      <w:pPr>
        <w:pStyle w:val="ReportCoversubtitle"/>
        <w:rPr>
          <w:sz w:val="40"/>
          <w:szCs w:val="40"/>
        </w:rPr>
      </w:pPr>
      <w:r w:rsidRPr="00A76EA8">
        <w:rPr>
          <w:sz w:val="40"/>
          <w:szCs w:val="40"/>
        </w:rPr>
        <w:t>Camden and Islington Public Health</w:t>
      </w:r>
    </w:p>
    <w:p w:rsidR="000036AB" w:rsidRPr="00C11BBC" w:rsidRDefault="00AA1A4E" w:rsidP="000036AB">
      <w:pPr>
        <w:rPr>
          <w:b/>
          <w:sz w:val="28"/>
        </w:rPr>
      </w:pPr>
      <w:r>
        <w:rPr>
          <w:b/>
          <w:sz w:val="28"/>
        </w:rPr>
        <w:t>February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880"/>
        <w:gridCol w:w="3071"/>
      </w:tblGrid>
      <w:tr w:rsidR="000036AB" w:rsidTr="00651F08">
        <w:tc>
          <w:tcPr>
            <w:tcW w:w="3080" w:type="dxa"/>
          </w:tcPr>
          <w:p w:rsidR="000036AB" w:rsidRDefault="000036AB" w:rsidP="00651F08">
            <w:pPr>
              <w:spacing w:after="0"/>
              <w:rPr>
                <w:szCs w:val="24"/>
              </w:rPr>
            </w:pPr>
          </w:p>
          <w:p w:rsidR="000036AB" w:rsidRPr="002B5699" w:rsidRDefault="000036AB" w:rsidP="00651F08">
            <w:pPr>
              <w:rPr>
                <w:szCs w:val="24"/>
              </w:rPr>
            </w:pPr>
            <w:r w:rsidRPr="002B5699">
              <w:rPr>
                <w:szCs w:val="24"/>
              </w:rPr>
              <w:t>Ian Sandford</w:t>
            </w:r>
          </w:p>
          <w:p w:rsidR="000036AB" w:rsidRPr="002B5699" w:rsidRDefault="000036AB" w:rsidP="00651F08">
            <w:pPr>
              <w:rPr>
                <w:szCs w:val="24"/>
              </w:rPr>
            </w:pPr>
            <w:r w:rsidRPr="002B5699">
              <w:rPr>
                <w:szCs w:val="24"/>
              </w:rPr>
              <w:t>Public Health Strategist</w:t>
            </w:r>
          </w:p>
          <w:p w:rsidR="000036AB" w:rsidRPr="002B5699" w:rsidRDefault="000036AB" w:rsidP="00651F08">
            <w:pPr>
              <w:rPr>
                <w:szCs w:val="24"/>
              </w:rPr>
            </w:pPr>
            <w:r w:rsidRPr="002B5699">
              <w:rPr>
                <w:szCs w:val="24"/>
              </w:rPr>
              <w:t>020 7527 1238</w:t>
            </w:r>
          </w:p>
          <w:p w:rsidR="000036AB" w:rsidRDefault="005F5317" w:rsidP="00651F08">
            <w:pPr>
              <w:rPr>
                <w:szCs w:val="24"/>
              </w:rPr>
            </w:pPr>
            <w:hyperlink r:id="rId11" w:history="1">
              <w:r w:rsidR="000036AB" w:rsidRPr="002B5699">
                <w:rPr>
                  <w:rStyle w:val="Hyperlink"/>
                  <w:rFonts w:cs="Arial"/>
                  <w:szCs w:val="24"/>
                </w:rPr>
                <w:t>Ian.sandford@islington.gov.uk</w:t>
              </w:r>
            </w:hyperlink>
          </w:p>
          <w:p w:rsidR="000036AB" w:rsidRDefault="000036AB" w:rsidP="00651F08">
            <w:pPr>
              <w:rPr>
                <w:szCs w:val="24"/>
              </w:rPr>
            </w:pPr>
          </w:p>
        </w:tc>
        <w:tc>
          <w:tcPr>
            <w:tcW w:w="2982" w:type="dxa"/>
          </w:tcPr>
          <w:p w:rsidR="000036AB" w:rsidRDefault="000036AB" w:rsidP="00651F08">
            <w:pPr>
              <w:spacing w:after="0"/>
              <w:rPr>
                <w:szCs w:val="24"/>
              </w:rPr>
            </w:pPr>
          </w:p>
        </w:tc>
        <w:tc>
          <w:tcPr>
            <w:tcW w:w="3180" w:type="dxa"/>
          </w:tcPr>
          <w:p w:rsidR="000036AB" w:rsidRDefault="000036AB" w:rsidP="00651F08">
            <w:pPr>
              <w:rPr>
                <w:szCs w:val="24"/>
              </w:rPr>
            </w:pPr>
          </w:p>
        </w:tc>
      </w:tr>
    </w:tbl>
    <w:p w:rsidR="000036AB" w:rsidRDefault="000036AB" w:rsidP="008D6927">
      <w:pPr>
        <w:autoSpaceDE w:val="0"/>
        <w:autoSpaceDN w:val="0"/>
        <w:adjustRightInd w:val="0"/>
        <w:snapToGrid w:val="0"/>
        <w:spacing w:after="0" w:line="240" w:lineRule="auto"/>
        <w:rPr>
          <w:rFonts w:ascii="Arial" w:hAnsi="Arial" w:cs="Arial"/>
          <w:b/>
        </w:rPr>
      </w:pPr>
    </w:p>
    <w:p w:rsidR="00A76EA8" w:rsidRDefault="002242FC" w:rsidP="00501635">
      <w:pPr>
        <w:spacing w:line="260" w:lineRule="exact"/>
        <w:ind w:left="5"/>
        <w:rPr>
          <w:rFonts w:ascii="Arial" w:hAnsi="Arial"/>
          <w:b/>
        </w:rPr>
      </w:pPr>
      <w:r>
        <w:br w:type="page"/>
      </w:r>
      <w:r w:rsidR="00A76EA8" w:rsidRPr="00000ED6">
        <w:rPr>
          <w:rFonts w:ascii="Arial" w:hAnsi="Arial"/>
          <w:b/>
        </w:rPr>
        <w:lastRenderedPageBreak/>
        <w:t xml:space="preserve">Planning Application Reference </w:t>
      </w:r>
      <w:r w:rsidR="00501635" w:rsidRPr="00501635">
        <w:rPr>
          <w:rFonts w:ascii="Arial" w:hAnsi="Arial"/>
          <w:b/>
        </w:rPr>
        <w:t>2018/3951/P</w:t>
      </w:r>
      <w:r w:rsidR="00AA1A4E">
        <w:rPr>
          <w:rFonts w:ascii="Arial" w:hAnsi="Arial"/>
          <w:b/>
        </w:rPr>
        <w:t>– Addendum to the rapid health impact assessment submitted in October 2018</w:t>
      </w:r>
    </w:p>
    <w:p w:rsidR="00AA1A4E" w:rsidRDefault="00AA1A4E" w:rsidP="00501635">
      <w:pPr>
        <w:spacing w:line="260" w:lineRule="exact"/>
        <w:ind w:left="5"/>
      </w:pPr>
      <w:r>
        <w:t>This addendum to the rapid health impact assessment relating to the change of use of premises at 35 Pratt Street, NW1 0BG, from a restaurant to a fast food takeaway reanalyses the same data to describe the potential impact on three schools that are within 400m of the premises. No new data has been included.</w:t>
      </w:r>
    </w:p>
    <w:p w:rsidR="005F5317" w:rsidRDefault="005F5317" w:rsidP="005F5317">
      <w:pPr>
        <w:spacing w:line="260" w:lineRule="exact"/>
        <w:ind w:left="5"/>
      </w:pPr>
      <w:r>
        <w:t xml:space="preserve">The map highlights three schools that are within 400m of 35 Pratt Street: </w:t>
      </w:r>
    </w:p>
    <w:p w:rsidR="005F5317" w:rsidRDefault="005F5317" w:rsidP="005F5317">
      <w:pPr>
        <w:spacing w:line="260" w:lineRule="exact"/>
        <w:ind w:left="5"/>
      </w:pPr>
      <w:r>
        <w:t>1. St Michael's, NW1 0JA</w:t>
      </w:r>
    </w:p>
    <w:p w:rsidR="005F5317" w:rsidRDefault="005F5317" w:rsidP="005F5317">
      <w:pPr>
        <w:spacing w:line="260" w:lineRule="exact"/>
        <w:ind w:left="5"/>
      </w:pPr>
      <w:r>
        <w:t>2. Our Lady's, NW1 0DN</w:t>
      </w:r>
    </w:p>
    <w:p w:rsidR="005F5317" w:rsidRDefault="005F5317" w:rsidP="005F5317">
      <w:pPr>
        <w:spacing w:line="260" w:lineRule="exact"/>
        <w:ind w:left="5"/>
      </w:pPr>
      <w:r>
        <w:t>3. Richard Cobden, NW1 0LL</w:t>
      </w:r>
    </w:p>
    <w:p w:rsidR="00AA1A4E" w:rsidRDefault="00AA1A4E" w:rsidP="00501635">
      <w:pPr>
        <w:spacing w:line="260" w:lineRule="exact"/>
        <w:ind w:left="5"/>
      </w:pPr>
      <w:r>
        <w:t>The yellow boundary shown on the map indicates a 400 metre boundary around the schools, i.e. the yellow boundary is 400 metres from at least one of the schools. 400 metres is commonly used because it represents a five to ten minute walk.</w:t>
      </w:r>
    </w:p>
    <w:p w:rsidR="00931F1E" w:rsidRDefault="00AA1A4E" w:rsidP="00501635">
      <w:pPr>
        <w:spacing w:line="260" w:lineRule="exact"/>
        <w:ind w:left="5"/>
      </w:pPr>
      <w:r>
        <w:t>The map</w:t>
      </w:r>
      <w:r w:rsidR="00931F1E">
        <w:t xml:space="preserve"> </w:t>
      </w:r>
      <w:r w:rsidR="005F5317">
        <w:t>shows that, excluding 35 Pratt Street, there are 16 fast food takeaways within 400m of at least one of the three schools, including a cluster of five fast food stalls at Inverness Street market. Individually, St Michaels school has 13 existing fast food outlets within 400m, Richard Cobden has 10 existing fast food outlets within 400m, and Our Lady’s has eight existing fast food outlets within 400m. This demonstrates that the addition of a fast food takeaway at 35 Pratt Street will add to existing high exposure to fast food for pupils at each school and their families.</w:t>
      </w:r>
      <w:bookmarkStart w:id="0" w:name="_GoBack"/>
      <w:bookmarkEnd w:id="0"/>
    </w:p>
    <w:p w:rsidR="00931F1E" w:rsidRDefault="005F5317" w:rsidP="00501635">
      <w:pPr>
        <w:spacing w:line="260" w:lineRule="exact"/>
        <w:ind w:left="5"/>
      </w:pPr>
      <w:r>
        <w:rPr>
          <w:rFonts w:ascii="Arial" w:hAnsi="Arial"/>
          <w:b/>
          <w:noProof/>
          <w:lang w:eastAsia="en-GB"/>
        </w:rPr>
        <w:drawing>
          <wp:anchor distT="0" distB="0" distL="114300" distR="114300" simplePos="0" relativeHeight="251661312" behindDoc="0" locked="0" layoutInCell="1" allowOverlap="1" wp14:anchorId="428CA5F2" wp14:editId="28C70FE1">
            <wp:simplePos x="0" y="0"/>
            <wp:positionH relativeFrom="margin">
              <wp:posOffset>30480</wp:posOffset>
            </wp:positionH>
            <wp:positionV relativeFrom="paragraph">
              <wp:posOffset>96520</wp:posOffset>
            </wp:positionV>
            <wp:extent cx="4941570" cy="474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den Yr6EW for report addend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1570" cy="4747260"/>
                    </a:xfrm>
                    <a:prstGeom prst="rect">
                      <a:avLst/>
                    </a:prstGeom>
                  </pic:spPr>
                </pic:pic>
              </a:graphicData>
            </a:graphic>
            <wp14:sizeRelH relativeFrom="page">
              <wp14:pctWidth>0</wp14:pctWidth>
            </wp14:sizeRelH>
            <wp14:sizeRelV relativeFrom="page">
              <wp14:pctHeight>0</wp14:pctHeight>
            </wp14:sizeRelV>
          </wp:anchor>
        </w:drawing>
      </w:r>
    </w:p>
    <w:p w:rsidR="00AA1A4E" w:rsidRPr="00501635" w:rsidRDefault="00AA1A4E" w:rsidP="00501635">
      <w:pPr>
        <w:spacing w:line="260" w:lineRule="exact"/>
        <w:ind w:left="5"/>
        <w:rPr>
          <w:rFonts w:ascii="Arial" w:hAnsi="Arial"/>
          <w:b/>
        </w:rPr>
      </w:pPr>
    </w:p>
    <w:sectPr w:rsidR="00AA1A4E" w:rsidRPr="00501635" w:rsidSect="008B1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C8" w:rsidRDefault="005E0CC8" w:rsidP="00D142FC">
      <w:pPr>
        <w:spacing w:before="0" w:after="0" w:line="240" w:lineRule="auto"/>
      </w:pPr>
      <w:r>
        <w:separator/>
      </w:r>
    </w:p>
  </w:endnote>
  <w:endnote w:type="continuationSeparator" w:id="0">
    <w:p w:rsidR="005E0CC8" w:rsidRDefault="005E0CC8" w:rsidP="00D142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C8" w:rsidRDefault="005E0CC8" w:rsidP="00D142FC">
      <w:pPr>
        <w:spacing w:before="0" w:after="0" w:line="240" w:lineRule="auto"/>
      </w:pPr>
      <w:r>
        <w:separator/>
      </w:r>
    </w:p>
  </w:footnote>
  <w:footnote w:type="continuationSeparator" w:id="0">
    <w:p w:rsidR="005E0CC8" w:rsidRDefault="005E0CC8" w:rsidP="00D142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EB1"/>
    <w:multiLevelType w:val="hybridMultilevel"/>
    <w:tmpl w:val="BE26658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 w15:restartNumberingAfterBreak="0">
    <w:nsid w:val="2438381F"/>
    <w:multiLevelType w:val="hybridMultilevel"/>
    <w:tmpl w:val="8D5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13330"/>
    <w:multiLevelType w:val="hybridMultilevel"/>
    <w:tmpl w:val="DB6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376C9"/>
    <w:multiLevelType w:val="hybridMultilevel"/>
    <w:tmpl w:val="5F5A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4235C"/>
    <w:multiLevelType w:val="hybridMultilevel"/>
    <w:tmpl w:val="72E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D235C"/>
    <w:multiLevelType w:val="hybridMultilevel"/>
    <w:tmpl w:val="529238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96118B"/>
    <w:multiLevelType w:val="hybridMultilevel"/>
    <w:tmpl w:val="78FA7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27"/>
    <w:rsid w:val="000036AB"/>
    <w:rsid w:val="000619CA"/>
    <w:rsid w:val="000645C8"/>
    <w:rsid w:val="00071C20"/>
    <w:rsid w:val="001840B4"/>
    <w:rsid w:val="00186446"/>
    <w:rsid w:val="001B19D8"/>
    <w:rsid w:val="00223E76"/>
    <w:rsid w:val="002242FC"/>
    <w:rsid w:val="002A597D"/>
    <w:rsid w:val="00301EC6"/>
    <w:rsid w:val="0035605F"/>
    <w:rsid w:val="003E7CEA"/>
    <w:rsid w:val="004161CF"/>
    <w:rsid w:val="00426185"/>
    <w:rsid w:val="00501635"/>
    <w:rsid w:val="005958A8"/>
    <w:rsid w:val="005D262B"/>
    <w:rsid w:val="005D5936"/>
    <w:rsid w:val="005E0CC8"/>
    <w:rsid w:val="005F5317"/>
    <w:rsid w:val="0064662A"/>
    <w:rsid w:val="006B01C2"/>
    <w:rsid w:val="006D4729"/>
    <w:rsid w:val="00706572"/>
    <w:rsid w:val="00733374"/>
    <w:rsid w:val="0077594F"/>
    <w:rsid w:val="007D0BFF"/>
    <w:rsid w:val="008A13BB"/>
    <w:rsid w:val="008B1B1A"/>
    <w:rsid w:val="008D6927"/>
    <w:rsid w:val="00926004"/>
    <w:rsid w:val="00926AD5"/>
    <w:rsid w:val="00931F1E"/>
    <w:rsid w:val="00940F84"/>
    <w:rsid w:val="009647F9"/>
    <w:rsid w:val="009A7D8C"/>
    <w:rsid w:val="00A011DC"/>
    <w:rsid w:val="00A12316"/>
    <w:rsid w:val="00A20C24"/>
    <w:rsid w:val="00A4379D"/>
    <w:rsid w:val="00A76EA8"/>
    <w:rsid w:val="00AA1A4E"/>
    <w:rsid w:val="00B46B02"/>
    <w:rsid w:val="00B64602"/>
    <w:rsid w:val="00BA5C62"/>
    <w:rsid w:val="00BC6F47"/>
    <w:rsid w:val="00BD246F"/>
    <w:rsid w:val="00C6137B"/>
    <w:rsid w:val="00CA7857"/>
    <w:rsid w:val="00CB6CD6"/>
    <w:rsid w:val="00CC2955"/>
    <w:rsid w:val="00CE3DA1"/>
    <w:rsid w:val="00CF08CD"/>
    <w:rsid w:val="00D142FC"/>
    <w:rsid w:val="00D30409"/>
    <w:rsid w:val="00D4053A"/>
    <w:rsid w:val="00D47F6C"/>
    <w:rsid w:val="00D82B04"/>
    <w:rsid w:val="00D86B98"/>
    <w:rsid w:val="00DB0956"/>
    <w:rsid w:val="00DE6968"/>
    <w:rsid w:val="00E219AC"/>
    <w:rsid w:val="00E22580"/>
    <w:rsid w:val="00E6091B"/>
    <w:rsid w:val="00E9325F"/>
    <w:rsid w:val="00EC1646"/>
    <w:rsid w:val="00EE245B"/>
    <w:rsid w:val="00EF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7945E"/>
  <w15:docId w15:val="{7B9E7CC3-79DE-4880-A6AF-F656A049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27"/>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927"/>
    <w:pPr>
      <w:spacing w:before="0" w:after="200"/>
      <w:ind w:left="720"/>
      <w:contextualSpacing/>
    </w:pPr>
  </w:style>
  <w:style w:type="paragraph" w:styleId="FootnoteText">
    <w:name w:val="footnote text"/>
    <w:basedOn w:val="Normal"/>
    <w:link w:val="FootnoteTextChar"/>
    <w:uiPriority w:val="99"/>
    <w:semiHidden/>
    <w:unhideWhenUsed/>
    <w:rsid w:val="00D142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142FC"/>
    <w:rPr>
      <w:sz w:val="20"/>
      <w:szCs w:val="20"/>
    </w:rPr>
  </w:style>
  <w:style w:type="character" w:styleId="FootnoteReference">
    <w:name w:val="footnote reference"/>
    <w:basedOn w:val="DefaultParagraphFont"/>
    <w:uiPriority w:val="99"/>
    <w:unhideWhenUsed/>
    <w:rsid w:val="00D142FC"/>
    <w:rPr>
      <w:vertAlign w:val="superscript"/>
    </w:rPr>
  </w:style>
  <w:style w:type="character" w:styleId="Hyperlink">
    <w:name w:val="Hyperlink"/>
    <w:basedOn w:val="DefaultParagraphFont"/>
    <w:uiPriority w:val="99"/>
    <w:unhideWhenUsed/>
    <w:rsid w:val="00B46B02"/>
    <w:rPr>
      <w:color w:val="0000FF" w:themeColor="hyperlink"/>
      <w:u w:val="single"/>
    </w:rPr>
  </w:style>
  <w:style w:type="paragraph" w:styleId="Header">
    <w:name w:val="header"/>
    <w:basedOn w:val="Normal"/>
    <w:link w:val="HeaderChar"/>
    <w:uiPriority w:val="99"/>
    <w:unhideWhenUsed/>
    <w:rsid w:val="002A59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597D"/>
  </w:style>
  <w:style w:type="paragraph" w:styleId="Footer">
    <w:name w:val="footer"/>
    <w:basedOn w:val="Normal"/>
    <w:link w:val="FooterChar"/>
    <w:uiPriority w:val="99"/>
    <w:unhideWhenUsed/>
    <w:rsid w:val="002A59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597D"/>
  </w:style>
  <w:style w:type="paragraph" w:styleId="Caption">
    <w:name w:val="caption"/>
    <w:basedOn w:val="Normal"/>
    <w:next w:val="Normal"/>
    <w:unhideWhenUsed/>
    <w:qFormat/>
    <w:rsid w:val="000036AB"/>
    <w:pPr>
      <w:spacing w:before="0" w:after="200" w:line="240" w:lineRule="auto"/>
      <w:jc w:val="both"/>
    </w:pPr>
    <w:rPr>
      <w:rFonts w:ascii="Arial" w:eastAsia="Times New Roman" w:hAnsi="Arial" w:cs="Arial"/>
      <w:b/>
      <w:bCs/>
      <w:color w:val="4F81BD" w:themeColor="accent1"/>
      <w:sz w:val="18"/>
      <w:szCs w:val="18"/>
      <w:lang w:eastAsia="en-GB"/>
    </w:rPr>
  </w:style>
  <w:style w:type="table" w:styleId="TableGrid">
    <w:name w:val="Table Grid"/>
    <w:basedOn w:val="TableNormal"/>
    <w:uiPriority w:val="59"/>
    <w:rsid w:val="0000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ortcovertitle">
    <w:name w:val="Report cover title"/>
    <w:basedOn w:val="DefaultParagraphFont"/>
    <w:rsid w:val="000036AB"/>
    <w:rPr>
      <w:b/>
      <w:bCs/>
      <w:color w:val="007229"/>
      <w:sz w:val="60"/>
    </w:rPr>
  </w:style>
  <w:style w:type="paragraph" w:customStyle="1" w:styleId="ReportCoversubtitle">
    <w:name w:val="Report Cover subtitle"/>
    <w:basedOn w:val="Normal"/>
    <w:rsid w:val="000036AB"/>
    <w:pPr>
      <w:spacing w:before="0" w:after="240"/>
    </w:pPr>
    <w:rPr>
      <w:rFonts w:ascii="Arial" w:eastAsia="Times New Roman" w:hAnsi="Arial" w:cs="Times New Roman"/>
      <w:color w:val="007229"/>
      <w:sz w:val="60"/>
      <w:szCs w:val="20"/>
      <w:lang w:eastAsia="en-GB"/>
    </w:rPr>
  </w:style>
  <w:style w:type="paragraph" w:styleId="BalloonText">
    <w:name w:val="Balloon Text"/>
    <w:basedOn w:val="Normal"/>
    <w:link w:val="BalloonTextChar"/>
    <w:uiPriority w:val="99"/>
    <w:semiHidden/>
    <w:unhideWhenUsed/>
    <w:rsid w:val="00EF3D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44"/>
    <w:rPr>
      <w:rFonts w:ascii="Tahoma" w:hAnsi="Tahoma" w:cs="Tahoma"/>
      <w:sz w:val="16"/>
      <w:szCs w:val="16"/>
    </w:rPr>
  </w:style>
  <w:style w:type="character" w:customStyle="1" w:styleId="lrzxr">
    <w:name w:val="lrzxr"/>
    <w:basedOn w:val="DefaultParagraphFont"/>
    <w:rsid w:val="0050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743">
      <w:bodyDiv w:val="1"/>
      <w:marLeft w:val="0"/>
      <w:marRight w:val="0"/>
      <w:marTop w:val="0"/>
      <w:marBottom w:val="0"/>
      <w:divBdr>
        <w:top w:val="none" w:sz="0" w:space="0" w:color="auto"/>
        <w:left w:val="none" w:sz="0" w:space="0" w:color="auto"/>
        <w:bottom w:val="none" w:sz="0" w:space="0" w:color="auto"/>
        <w:right w:val="none" w:sz="0" w:space="0" w:color="auto"/>
      </w:divBdr>
      <w:divsChild>
        <w:div w:id="1025666860">
          <w:marLeft w:val="0"/>
          <w:marRight w:val="0"/>
          <w:marTop w:val="0"/>
          <w:marBottom w:val="0"/>
          <w:divBdr>
            <w:top w:val="none" w:sz="0" w:space="0" w:color="auto"/>
            <w:left w:val="none" w:sz="0" w:space="0" w:color="auto"/>
            <w:bottom w:val="none" w:sz="0" w:space="0" w:color="auto"/>
            <w:right w:val="none" w:sz="0" w:space="0" w:color="auto"/>
          </w:divBdr>
          <w:divsChild>
            <w:div w:id="448548728">
              <w:marLeft w:val="0"/>
              <w:marRight w:val="0"/>
              <w:marTop w:val="0"/>
              <w:marBottom w:val="0"/>
              <w:divBdr>
                <w:top w:val="none" w:sz="0" w:space="0" w:color="auto"/>
                <w:left w:val="none" w:sz="0" w:space="0" w:color="auto"/>
                <w:bottom w:val="none" w:sz="0" w:space="0" w:color="auto"/>
                <w:right w:val="none" w:sz="0" w:space="0" w:color="auto"/>
              </w:divBdr>
              <w:divsChild>
                <w:div w:id="1832793506">
                  <w:marLeft w:val="0"/>
                  <w:marRight w:val="0"/>
                  <w:marTop w:val="0"/>
                  <w:marBottom w:val="0"/>
                  <w:divBdr>
                    <w:top w:val="none" w:sz="0" w:space="0" w:color="auto"/>
                    <w:left w:val="none" w:sz="0" w:space="0" w:color="auto"/>
                    <w:bottom w:val="none" w:sz="0" w:space="0" w:color="auto"/>
                    <w:right w:val="none" w:sz="0" w:space="0" w:color="auto"/>
                  </w:divBdr>
                  <w:divsChild>
                    <w:div w:id="1547135206">
                      <w:marLeft w:val="0"/>
                      <w:marRight w:val="0"/>
                      <w:marTop w:val="0"/>
                      <w:marBottom w:val="0"/>
                      <w:divBdr>
                        <w:top w:val="none" w:sz="0" w:space="0" w:color="auto"/>
                        <w:left w:val="none" w:sz="0" w:space="0" w:color="auto"/>
                        <w:bottom w:val="none" w:sz="0" w:space="0" w:color="auto"/>
                        <w:right w:val="none" w:sz="0" w:space="0" w:color="auto"/>
                      </w:divBdr>
                      <w:divsChild>
                        <w:div w:id="478500095">
                          <w:marLeft w:val="0"/>
                          <w:marRight w:val="0"/>
                          <w:marTop w:val="0"/>
                          <w:marBottom w:val="0"/>
                          <w:divBdr>
                            <w:top w:val="none" w:sz="0" w:space="0" w:color="auto"/>
                            <w:left w:val="none" w:sz="0" w:space="0" w:color="auto"/>
                            <w:bottom w:val="none" w:sz="0" w:space="0" w:color="auto"/>
                            <w:right w:val="none" w:sz="0" w:space="0" w:color="auto"/>
                          </w:divBdr>
                          <w:divsChild>
                            <w:div w:id="828978587">
                              <w:marLeft w:val="0"/>
                              <w:marRight w:val="0"/>
                              <w:marTop w:val="0"/>
                              <w:marBottom w:val="0"/>
                              <w:divBdr>
                                <w:top w:val="none" w:sz="0" w:space="0" w:color="auto"/>
                                <w:left w:val="none" w:sz="0" w:space="0" w:color="auto"/>
                                <w:bottom w:val="none" w:sz="0" w:space="0" w:color="auto"/>
                                <w:right w:val="none" w:sz="0" w:space="0" w:color="auto"/>
                              </w:divBdr>
                              <w:divsChild>
                                <w:div w:id="415133018">
                                  <w:marLeft w:val="0"/>
                                  <w:marRight w:val="0"/>
                                  <w:marTop w:val="0"/>
                                  <w:marBottom w:val="0"/>
                                  <w:divBdr>
                                    <w:top w:val="none" w:sz="0" w:space="0" w:color="auto"/>
                                    <w:left w:val="none" w:sz="0" w:space="0" w:color="auto"/>
                                    <w:bottom w:val="none" w:sz="0" w:space="0" w:color="auto"/>
                                    <w:right w:val="none" w:sz="0" w:space="0" w:color="auto"/>
                                  </w:divBdr>
                                  <w:divsChild>
                                    <w:div w:id="512956238">
                                      <w:marLeft w:val="0"/>
                                      <w:marRight w:val="0"/>
                                      <w:marTop w:val="0"/>
                                      <w:marBottom w:val="0"/>
                                      <w:divBdr>
                                        <w:top w:val="none" w:sz="0" w:space="0" w:color="auto"/>
                                        <w:left w:val="none" w:sz="0" w:space="0" w:color="auto"/>
                                        <w:bottom w:val="none" w:sz="0" w:space="0" w:color="auto"/>
                                        <w:right w:val="none" w:sz="0" w:space="0" w:color="auto"/>
                                      </w:divBdr>
                                      <w:divsChild>
                                        <w:div w:id="1778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98948">
      <w:bodyDiv w:val="1"/>
      <w:marLeft w:val="0"/>
      <w:marRight w:val="0"/>
      <w:marTop w:val="0"/>
      <w:marBottom w:val="0"/>
      <w:divBdr>
        <w:top w:val="none" w:sz="0" w:space="0" w:color="auto"/>
        <w:left w:val="none" w:sz="0" w:space="0" w:color="auto"/>
        <w:bottom w:val="none" w:sz="0" w:space="0" w:color="auto"/>
        <w:right w:val="none" w:sz="0" w:space="0" w:color="auto"/>
      </w:divBdr>
    </w:div>
    <w:div w:id="808477921">
      <w:bodyDiv w:val="1"/>
      <w:marLeft w:val="0"/>
      <w:marRight w:val="0"/>
      <w:marTop w:val="0"/>
      <w:marBottom w:val="0"/>
      <w:divBdr>
        <w:top w:val="none" w:sz="0" w:space="0" w:color="auto"/>
        <w:left w:val="none" w:sz="0" w:space="0" w:color="auto"/>
        <w:bottom w:val="none" w:sz="0" w:space="0" w:color="auto"/>
        <w:right w:val="none" w:sz="0" w:space="0" w:color="auto"/>
      </w:divBdr>
      <w:divsChild>
        <w:div w:id="1189954993">
          <w:marLeft w:val="0"/>
          <w:marRight w:val="0"/>
          <w:marTop w:val="0"/>
          <w:marBottom w:val="0"/>
          <w:divBdr>
            <w:top w:val="none" w:sz="0" w:space="0" w:color="auto"/>
            <w:left w:val="none" w:sz="0" w:space="0" w:color="auto"/>
            <w:bottom w:val="none" w:sz="0" w:space="0" w:color="auto"/>
            <w:right w:val="none" w:sz="0" w:space="0" w:color="auto"/>
          </w:divBdr>
          <w:divsChild>
            <w:div w:id="511261238">
              <w:marLeft w:val="0"/>
              <w:marRight w:val="0"/>
              <w:marTop w:val="0"/>
              <w:marBottom w:val="0"/>
              <w:divBdr>
                <w:top w:val="none" w:sz="0" w:space="0" w:color="auto"/>
                <w:left w:val="none" w:sz="0" w:space="0" w:color="auto"/>
                <w:bottom w:val="none" w:sz="0" w:space="0" w:color="auto"/>
                <w:right w:val="none" w:sz="0" w:space="0" w:color="auto"/>
              </w:divBdr>
              <w:divsChild>
                <w:div w:id="1630550775">
                  <w:marLeft w:val="0"/>
                  <w:marRight w:val="0"/>
                  <w:marTop w:val="0"/>
                  <w:marBottom w:val="0"/>
                  <w:divBdr>
                    <w:top w:val="none" w:sz="0" w:space="0" w:color="auto"/>
                    <w:left w:val="none" w:sz="0" w:space="0" w:color="auto"/>
                    <w:bottom w:val="none" w:sz="0" w:space="0" w:color="auto"/>
                    <w:right w:val="none" w:sz="0" w:space="0" w:color="auto"/>
                  </w:divBdr>
                  <w:divsChild>
                    <w:div w:id="173031177">
                      <w:marLeft w:val="0"/>
                      <w:marRight w:val="0"/>
                      <w:marTop w:val="0"/>
                      <w:marBottom w:val="0"/>
                      <w:divBdr>
                        <w:top w:val="none" w:sz="0" w:space="0" w:color="auto"/>
                        <w:left w:val="none" w:sz="0" w:space="0" w:color="auto"/>
                        <w:bottom w:val="none" w:sz="0" w:space="0" w:color="auto"/>
                        <w:right w:val="none" w:sz="0" w:space="0" w:color="auto"/>
                      </w:divBdr>
                      <w:divsChild>
                        <w:div w:id="171265346">
                          <w:marLeft w:val="0"/>
                          <w:marRight w:val="0"/>
                          <w:marTop w:val="0"/>
                          <w:marBottom w:val="0"/>
                          <w:divBdr>
                            <w:top w:val="none" w:sz="0" w:space="0" w:color="auto"/>
                            <w:left w:val="none" w:sz="0" w:space="0" w:color="auto"/>
                            <w:bottom w:val="none" w:sz="0" w:space="0" w:color="auto"/>
                            <w:right w:val="none" w:sz="0" w:space="0" w:color="auto"/>
                          </w:divBdr>
                          <w:divsChild>
                            <w:div w:id="709233335">
                              <w:marLeft w:val="0"/>
                              <w:marRight w:val="0"/>
                              <w:marTop w:val="0"/>
                              <w:marBottom w:val="0"/>
                              <w:divBdr>
                                <w:top w:val="none" w:sz="0" w:space="0" w:color="auto"/>
                                <w:left w:val="none" w:sz="0" w:space="0" w:color="auto"/>
                                <w:bottom w:val="none" w:sz="0" w:space="0" w:color="auto"/>
                                <w:right w:val="none" w:sz="0" w:space="0" w:color="auto"/>
                              </w:divBdr>
                              <w:divsChild>
                                <w:div w:id="2094276231">
                                  <w:marLeft w:val="0"/>
                                  <w:marRight w:val="0"/>
                                  <w:marTop w:val="0"/>
                                  <w:marBottom w:val="0"/>
                                  <w:divBdr>
                                    <w:top w:val="none" w:sz="0" w:space="0" w:color="auto"/>
                                    <w:left w:val="none" w:sz="0" w:space="0" w:color="auto"/>
                                    <w:bottom w:val="none" w:sz="0" w:space="0" w:color="auto"/>
                                    <w:right w:val="none" w:sz="0" w:space="0" w:color="auto"/>
                                  </w:divBdr>
                                  <w:divsChild>
                                    <w:div w:id="78403657">
                                      <w:marLeft w:val="0"/>
                                      <w:marRight w:val="0"/>
                                      <w:marTop w:val="0"/>
                                      <w:marBottom w:val="0"/>
                                      <w:divBdr>
                                        <w:top w:val="none" w:sz="0" w:space="0" w:color="auto"/>
                                        <w:left w:val="none" w:sz="0" w:space="0" w:color="auto"/>
                                        <w:bottom w:val="none" w:sz="0" w:space="0" w:color="auto"/>
                                        <w:right w:val="none" w:sz="0" w:space="0" w:color="auto"/>
                                      </w:divBdr>
                                      <w:divsChild>
                                        <w:div w:id="14358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864848">
      <w:bodyDiv w:val="1"/>
      <w:marLeft w:val="0"/>
      <w:marRight w:val="0"/>
      <w:marTop w:val="0"/>
      <w:marBottom w:val="0"/>
      <w:divBdr>
        <w:top w:val="none" w:sz="0" w:space="0" w:color="auto"/>
        <w:left w:val="none" w:sz="0" w:space="0" w:color="auto"/>
        <w:bottom w:val="none" w:sz="0" w:space="0" w:color="auto"/>
        <w:right w:val="none" w:sz="0" w:space="0" w:color="auto"/>
      </w:divBdr>
    </w:div>
    <w:div w:id="1027830372">
      <w:bodyDiv w:val="1"/>
      <w:marLeft w:val="0"/>
      <w:marRight w:val="0"/>
      <w:marTop w:val="0"/>
      <w:marBottom w:val="0"/>
      <w:divBdr>
        <w:top w:val="none" w:sz="0" w:space="0" w:color="auto"/>
        <w:left w:val="none" w:sz="0" w:space="0" w:color="auto"/>
        <w:bottom w:val="none" w:sz="0" w:space="0" w:color="auto"/>
        <w:right w:val="none" w:sz="0" w:space="0" w:color="auto"/>
      </w:divBdr>
    </w:div>
    <w:div w:id="1265191775">
      <w:bodyDiv w:val="1"/>
      <w:marLeft w:val="0"/>
      <w:marRight w:val="0"/>
      <w:marTop w:val="0"/>
      <w:marBottom w:val="0"/>
      <w:divBdr>
        <w:top w:val="none" w:sz="0" w:space="0" w:color="auto"/>
        <w:left w:val="none" w:sz="0" w:space="0" w:color="auto"/>
        <w:bottom w:val="none" w:sz="0" w:space="0" w:color="auto"/>
        <w:right w:val="none" w:sz="0" w:space="0" w:color="auto"/>
      </w:divBdr>
    </w:div>
    <w:div w:id="1293442823">
      <w:bodyDiv w:val="1"/>
      <w:marLeft w:val="0"/>
      <w:marRight w:val="0"/>
      <w:marTop w:val="0"/>
      <w:marBottom w:val="0"/>
      <w:divBdr>
        <w:top w:val="none" w:sz="0" w:space="0" w:color="auto"/>
        <w:left w:val="none" w:sz="0" w:space="0" w:color="auto"/>
        <w:bottom w:val="none" w:sz="0" w:space="0" w:color="auto"/>
        <w:right w:val="none" w:sz="0" w:space="0" w:color="auto"/>
      </w:divBdr>
    </w:div>
    <w:div w:id="1415591816">
      <w:bodyDiv w:val="1"/>
      <w:marLeft w:val="0"/>
      <w:marRight w:val="0"/>
      <w:marTop w:val="0"/>
      <w:marBottom w:val="0"/>
      <w:divBdr>
        <w:top w:val="none" w:sz="0" w:space="0" w:color="auto"/>
        <w:left w:val="none" w:sz="0" w:space="0" w:color="auto"/>
        <w:bottom w:val="none" w:sz="0" w:space="0" w:color="auto"/>
        <w:right w:val="none" w:sz="0" w:space="0" w:color="auto"/>
      </w:divBdr>
    </w:div>
    <w:div w:id="15045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sandford@islington.gov.uk"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5580-71FD-43F7-9F43-918A791E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Sandford, Ian</dc:creator>
  <cp:lastModifiedBy>Sandford, Ian</cp:lastModifiedBy>
  <cp:revision>3</cp:revision>
  <cp:lastPrinted>2018-10-29T09:55:00Z</cp:lastPrinted>
  <dcterms:created xsi:type="dcterms:W3CDTF">2019-02-15T16:08:00Z</dcterms:created>
  <dcterms:modified xsi:type="dcterms:W3CDTF">2019-02-15T16:19:00Z</dcterms:modified>
</cp:coreProperties>
</file>