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235" w:rsidRPr="00B3207F" w:rsidRDefault="008B2235" w:rsidP="002C0A96">
      <w:pPr>
        <w:rPr>
          <w:rFonts w:ascii="Times New Roman" w:hAnsi="Times New Roman"/>
          <w:u w:val="single"/>
        </w:rPr>
      </w:pPr>
      <w:r w:rsidRPr="00B3207F">
        <w:rPr>
          <w:rFonts w:ascii="Times New Roman" w:hAnsi="Times New Roman"/>
          <w:u w:val="single"/>
        </w:rPr>
        <w:t xml:space="preserve">In the matter of an appeal by Polar Bren Limited and </w:t>
      </w:r>
      <w:proofErr w:type="spellStart"/>
      <w:r w:rsidRPr="00B3207F">
        <w:rPr>
          <w:rFonts w:ascii="Times New Roman" w:hAnsi="Times New Roman"/>
          <w:u w:val="single"/>
        </w:rPr>
        <w:t>Jita</w:t>
      </w:r>
      <w:proofErr w:type="spellEnd"/>
      <w:r w:rsidRPr="00B3207F">
        <w:rPr>
          <w:rFonts w:ascii="Times New Roman" w:hAnsi="Times New Roman"/>
          <w:u w:val="single"/>
        </w:rPr>
        <w:t xml:space="preserve"> </w:t>
      </w:r>
      <w:proofErr w:type="spellStart"/>
      <w:r w:rsidRPr="00B3207F">
        <w:rPr>
          <w:rFonts w:ascii="Times New Roman" w:hAnsi="Times New Roman"/>
          <w:u w:val="single"/>
        </w:rPr>
        <w:t>Lukka</w:t>
      </w:r>
      <w:proofErr w:type="spellEnd"/>
      <w:r w:rsidRPr="00B3207F">
        <w:rPr>
          <w:rFonts w:ascii="Times New Roman" w:hAnsi="Times New Roman"/>
          <w:u w:val="single"/>
        </w:rPr>
        <w:t xml:space="preserve"> against an Enforcement Notice (EN17/1284) issued by the London Borough of Camden in respect of land at the South Fairground, Vale of Health, London, NW3 1AU</w:t>
      </w:r>
    </w:p>
    <w:p w:rsidR="008B2235" w:rsidRPr="00B3207F" w:rsidRDefault="008B2235" w:rsidP="002C0A96">
      <w:pPr>
        <w:rPr>
          <w:rFonts w:ascii="Times New Roman" w:hAnsi="Times New Roman"/>
          <w:u w:val="single"/>
        </w:rPr>
      </w:pPr>
    </w:p>
    <w:p w:rsidR="008B2235" w:rsidRPr="00B3207F" w:rsidRDefault="008B2235" w:rsidP="002C0A96">
      <w:pPr>
        <w:rPr>
          <w:rFonts w:ascii="Times New Roman" w:hAnsi="Times New Roman"/>
          <w:u w:val="single"/>
        </w:rPr>
      </w:pPr>
      <w:bookmarkStart w:id="0" w:name="_Hlk519776338"/>
      <w:r w:rsidRPr="00B3207F">
        <w:rPr>
          <w:rFonts w:ascii="Times New Roman" w:hAnsi="Times New Roman"/>
          <w:u w:val="single"/>
        </w:rPr>
        <w:t>Appeal Reference: APP/X5210/C/18/3193167</w:t>
      </w:r>
      <w:bookmarkEnd w:id="0"/>
    </w:p>
    <w:p w:rsidR="008B2235" w:rsidRPr="00B3207F" w:rsidRDefault="008B2235" w:rsidP="002C0A96">
      <w:pPr>
        <w:spacing w:line="360" w:lineRule="auto"/>
        <w:rPr>
          <w:rFonts w:ascii="Times New Roman" w:hAnsi="Times New Roman"/>
          <w:u w:val="single"/>
        </w:rPr>
      </w:pPr>
    </w:p>
    <w:tbl>
      <w:tblPr>
        <w:tblW w:w="9610" w:type="dxa"/>
        <w:jc w:val="center"/>
        <w:tblLook w:val="00A0" w:firstRow="1" w:lastRow="0" w:firstColumn="1" w:lastColumn="0" w:noHBand="0" w:noVBand="0"/>
      </w:tblPr>
      <w:tblGrid>
        <w:gridCol w:w="2376"/>
        <w:gridCol w:w="4395"/>
        <w:gridCol w:w="2839"/>
      </w:tblGrid>
      <w:tr w:rsidR="008B2235" w:rsidRPr="00B3207F" w:rsidTr="008B2235">
        <w:trPr>
          <w:trHeight w:val="100"/>
          <w:jc w:val="center"/>
        </w:trPr>
        <w:tc>
          <w:tcPr>
            <w:tcW w:w="2376" w:type="dxa"/>
          </w:tcPr>
          <w:p w:rsidR="008B2235" w:rsidRPr="00B3207F" w:rsidRDefault="008B2235" w:rsidP="002C0A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bCs/>
              </w:rPr>
            </w:pPr>
          </w:p>
        </w:tc>
        <w:tc>
          <w:tcPr>
            <w:tcW w:w="4395" w:type="dxa"/>
            <w:tcBorders>
              <w:bottom w:val="single" w:sz="4" w:space="0" w:color="auto"/>
            </w:tcBorders>
          </w:tcPr>
          <w:p w:rsidR="008B2235" w:rsidRPr="00B3207F" w:rsidRDefault="008B2235" w:rsidP="002C0A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bCs/>
              </w:rPr>
            </w:pPr>
          </w:p>
          <w:p w:rsidR="008B2235" w:rsidRPr="00B3207F" w:rsidRDefault="008B2235" w:rsidP="002C0A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bCs/>
              </w:rPr>
            </w:pPr>
          </w:p>
          <w:p w:rsidR="008B2235" w:rsidRPr="00B3207F" w:rsidRDefault="008B2235" w:rsidP="002C0A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bCs/>
              </w:rPr>
            </w:pPr>
          </w:p>
        </w:tc>
        <w:tc>
          <w:tcPr>
            <w:tcW w:w="2839" w:type="dxa"/>
          </w:tcPr>
          <w:p w:rsidR="008B2235" w:rsidRPr="00B3207F" w:rsidRDefault="008B2235" w:rsidP="002C0A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bCs/>
                <w:u w:val="single"/>
              </w:rPr>
            </w:pPr>
          </w:p>
        </w:tc>
      </w:tr>
      <w:tr w:rsidR="008B2235" w:rsidRPr="00B3207F" w:rsidTr="008B2235">
        <w:trPr>
          <w:trHeight w:val="1223"/>
          <w:jc w:val="center"/>
        </w:trPr>
        <w:tc>
          <w:tcPr>
            <w:tcW w:w="2376" w:type="dxa"/>
          </w:tcPr>
          <w:p w:rsidR="008B2235" w:rsidRPr="00B3207F" w:rsidRDefault="008B2235" w:rsidP="002C0A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bCs/>
              </w:rPr>
            </w:pPr>
          </w:p>
        </w:tc>
        <w:tc>
          <w:tcPr>
            <w:tcW w:w="4395" w:type="dxa"/>
            <w:tcBorders>
              <w:top w:val="single" w:sz="4" w:space="0" w:color="auto"/>
              <w:bottom w:val="single" w:sz="4" w:space="0" w:color="auto"/>
            </w:tcBorders>
            <w:vAlign w:val="center"/>
          </w:tcPr>
          <w:p w:rsidR="008B2235" w:rsidRPr="00B3207F" w:rsidRDefault="008B2235" w:rsidP="002C0A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rPr>
            </w:pPr>
            <w:bookmarkStart w:id="1" w:name="_Hlk519776316"/>
            <w:r w:rsidRPr="00B3207F">
              <w:rPr>
                <w:rFonts w:ascii="Times New Roman" w:hAnsi="Times New Roman"/>
              </w:rPr>
              <w:t>Submissions on behalf of the City of London Corporation</w:t>
            </w:r>
            <w:bookmarkEnd w:id="1"/>
          </w:p>
        </w:tc>
        <w:tc>
          <w:tcPr>
            <w:tcW w:w="2839" w:type="dxa"/>
          </w:tcPr>
          <w:p w:rsidR="008B2235" w:rsidRPr="00B3207F" w:rsidRDefault="008B2235" w:rsidP="002C0A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bCs/>
                <w:u w:val="single"/>
              </w:rPr>
            </w:pPr>
          </w:p>
        </w:tc>
      </w:tr>
    </w:tbl>
    <w:p w:rsidR="008B2235" w:rsidRPr="00B3207F" w:rsidRDefault="008B2235" w:rsidP="002C0A96">
      <w:pPr>
        <w:spacing w:line="360" w:lineRule="auto"/>
        <w:rPr>
          <w:rFonts w:ascii="Times New Roman" w:hAnsi="Times New Roman"/>
          <w:u w:val="single"/>
        </w:rPr>
      </w:pPr>
    </w:p>
    <w:p w:rsidR="008B2235" w:rsidRPr="00B3207F" w:rsidRDefault="008B2235" w:rsidP="002C0A96">
      <w:pPr>
        <w:spacing w:line="360" w:lineRule="auto"/>
        <w:rPr>
          <w:rFonts w:ascii="Times New Roman" w:hAnsi="Times New Roman"/>
          <w:b/>
          <w:u w:val="single"/>
        </w:rPr>
      </w:pPr>
      <w:r w:rsidRPr="00B3207F">
        <w:rPr>
          <w:rFonts w:ascii="Times New Roman" w:hAnsi="Times New Roman"/>
          <w:b/>
          <w:u w:val="single"/>
        </w:rPr>
        <w:t>Introduction</w:t>
      </w:r>
    </w:p>
    <w:p w:rsidR="008B2235" w:rsidRPr="00B3207F" w:rsidRDefault="008B2235" w:rsidP="002C0A96">
      <w:pPr>
        <w:spacing w:line="360" w:lineRule="auto"/>
        <w:rPr>
          <w:rFonts w:ascii="Times New Roman" w:hAnsi="Times New Roman"/>
          <w:u w:val="single"/>
        </w:rPr>
      </w:pPr>
    </w:p>
    <w:p w:rsidR="00D04C50" w:rsidRPr="00B3207F" w:rsidRDefault="008B2235" w:rsidP="002C0A96">
      <w:pPr>
        <w:pStyle w:val="ListParagraph"/>
        <w:numPr>
          <w:ilvl w:val="0"/>
          <w:numId w:val="1"/>
        </w:numPr>
        <w:spacing w:line="360" w:lineRule="auto"/>
        <w:rPr>
          <w:rFonts w:ascii="Times New Roman" w:hAnsi="Times New Roman"/>
        </w:rPr>
      </w:pPr>
      <w:r w:rsidRPr="00B3207F">
        <w:rPr>
          <w:rFonts w:ascii="Times New Roman" w:hAnsi="Times New Roman"/>
        </w:rPr>
        <w:t xml:space="preserve">These are the submissions of </w:t>
      </w:r>
      <w:r w:rsidR="004E2F48" w:rsidRPr="00B3207F">
        <w:rPr>
          <w:rFonts w:ascii="Times New Roman" w:hAnsi="Times New Roman"/>
        </w:rPr>
        <w:t xml:space="preserve">the Superintendent of Hampstead Heath </w:t>
      </w:r>
      <w:r w:rsidR="00B26832">
        <w:rPr>
          <w:rFonts w:ascii="Times New Roman" w:hAnsi="Times New Roman"/>
        </w:rPr>
        <w:t>for</w:t>
      </w:r>
      <w:r w:rsidR="00B26832" w:rsidRPr="00B3207F">
        <w:rPr>
          <w:rFonts w:ascii="Times New Roman" w:hAnsi="Times New Roman"/>
        </w:rPr>
        <w:t xml:space="preserve"> </w:t>
      </w:r>
      <w:r w:rsidRPr="00B3207F">
        <w:rPr>
          <w:rFonts w:ascii="Times New Roman" w:hAnsi="Times New Roman"/>
        </w:rPr>
        <w:t>the City of London Corporation (“the City”)</w:t>
      </w:r>
      <w:r w:rsidR="00EA5EA7" w:rsidRPr="00B3207F">
        <w:rPr>
          <w:rFonts w:ascii="Times New Roman" w:hAnsi="Times New Roman"/>
        </w:rPr>
        <w:t xml:space="preserve"> </w:t>
      </w:r>
      <w:r w:rsidRPr="00B3207F">
        <w:rPr>
          <w:rFonts w:ascii="Times New Roman" w:hAnsi="Times New Roman"/>
        </w:rPr>
        <w:t xml:space="preserve">in support of the enforcement notice that was issued by the London Borough of Camden (“the Council”) on 20 December 2017 and </w:t>
      </w:r>
      <w:r w:rsidR="00EA5EA7" w:rsidRPr="00B3207F">
        <w:rPr>
          <w:rFonts w:ascii="Times New Roman" w:hAnsi="Times New Roman"/>
        </w:rPr>
        <w:t>th</w:t>
      </w:r>
      <w:r w:rsidR="003A5127" w:rsidRPr="00B3207F">
        <w:rPr>
          <w:rFonts w:ascii="Times New Roman" w:hAnsi="Times New Roman"/>
        </w:rPr>
        <w:t xml:space="preserve">e </w:t>
      </w:r>
      <w:proofErr w:type="spellStart"/>
      <w:r w:rsidR="003A5127" w:rsidRPr="00B3207F">
        <w:rPr>
          <w:rFonts w:ascii="Times New Roman" w:hAnsi="Times New Roman"/>
        </w:rPr>
        <w:t>defence</w:t>
      </w:r>
      <w:proofErr w:type="spellEnd"/>
      <w:r w:rsidR="003A5127" w:rsidRPr="00B3207F">
        <w:rPr>
          <w:rFonts w:ascii="Times New Roman" w:hAnsi="Times New Roman"/>
        </w:rPr>
        <w:t xml:space="preserve"> of that notice </w:t>
      </w:r>
      <w:r w:rsidRPr="00B3207F">
        <w:rPr>
          <w:rFonts w:ascii="Times New Roman" w:hAnsi="Times New Roman"/>
        </w:rPr>
        <w:t xml:space="preserve">on appeal, in respect of land at the South Fairground Site, Vale of Health, London, NW3 1AU (“the Site”). </w:t>
      </w:r>
    </w:p>
    <w:p w:rsidR="008B2235" w:rsidRPr="00B3207F" w:rsidRDefault="008B2235" w:rsidP="002C0A96">
      <w:pPr>
        <w:pStyle w:val="ListParagraph"/>
        <w:spacing w:line="360" w:lineRule="auto"/>
        <w:rPr>
          <w:rFonts w:ascii="Times New Roman" w:hAnsi="Times New Roman"/>
        </w:rPr>
      </w:pPr>
    </w:p>
    <w:p w:rsidR="00720575" w:rsidRPr="00B3207F" w:rsidRDefault="008B2235" w:rsidP="002C0A96">
      <w:pPr>
        <w:pStyle w:val="ListParagraph"/>
        <w:numPr>
          <w:ilvl w:val="0"/>
          <w:numId w:val="1"/>
        </w:numPr>
        <w:spacing w:line="360" w:lineRule="auto"/>
        <w:rPr>
          <w:rFonts w:ascii="Times New Roman" w:hAnsi="Times New Roman"/>
        </w:rPr>
      </w:pPr>
      <w:r w:rsidRPr="00B3207F">
        <w:rPr>
          <w:rFonts w:ascii="Times New Roman" w:hAnsi="Times New Roman"/>
        </w:rPr>
        <w:t xml:space="preserve">The City owns and manages Hampstead </w:t>
      </w:r>
      <w:r w:rsidR="00EA5EA7" w:rsidRPr="00B3207F">
        <w:rPr>
          <w:rFonts w:ascii="Times New Roman" w:hAnsi="Times New Roman"/>
        </w:rPr>
        <w:t xml:space="preserve">Heath and is obliged, </w:t>
      </w:r>
      <w:proofErr w:type="gramStart"/>
      <w:r w:rsidR="00EA5EA7" w:rsidRPr="00B3207F">
        <w:rPr>
          <w:rFonts w:ascii="Times New Roman" w:hAnsi="Times New Roman"/>
        </w:rPr>
        <w:t>by virtue of</w:t>
      </w:r>
      <w:proofErr w:type="gramEnd"/>
      <w:r w:rsidR="00EA5EA7" w:rsidRPr="00B3207F">
        <w:rPr>
          <w:rFonts w:ascii="Times New Roman" w:hAnsi="Times New Roman"/>
        </w:rPr>
        <w:t xml:space="preserve"> various Acts of Parliament, and specifically by the provisions of the </w:t>
      </w:r>
      <w:r w:rsidR="00DD334F" w:rsidRPr="00B3207F">
        <w:rPr>
          <w:rFonts w:ascii="Times New Roman" w:hAnsi="Times New Roman"/>
        </w:rPr>
        <w:t xml:space="preserve">London Government </w:t>
      </w:r>
      <w:proofErr w:type="spellStart"/>
      <w:r w:rsidR="00DD334F" w:rsidRPr="00B3207F">
        <w:rPr>
          <w:rFonts w:ascii="Times New Roman" w:hAnsi="Times New Roman"/>
        </w:rPr>
        <w:t>Reorganisation</w:t>
      </w:r>
      <w:proofErr w:type="spellEnd"/>
      <w:r w:rsidR="00DD334F" w:rsidRPr="00B3207F">
        <w:rPr>
          <w:rFonts w:ascii="Times New Roman" w:hAnsi="Times New Roman"/>
        </w:rPr>
        <w:t xml:space="preserve"> (Hampstead Heath) Order 1989 and the </w:t>
      </w:r>
      <w:r w:rsidR="00EA5EA7" w:rsidRPr="00B3207F">
        <w:rPr>
          <w:rFonts w:ascii="Times New Roman" w:hAnsi="Times New Roman"/>
        </w:rPr>
        <w:t>Hampstead Heath Act 1871</w:t>
      </w:r>
      <w:r w:rsidR="00FE6A38" w:rsidRPr="00B3207F">
        <w:rPr>
          <w:rFonts w:ascii="Times New Roman" w:hAnsi="Times New Roman"/>
        </w:rPr>
        <w:t>,</w:t>
      </w:r>
      <w:r w:rsidR="00EA5EA7" w:rsidRPr="00B3207F">
        <w:rPr>
          <w:rFonts w:ascii="Times New Roman" w:hAnsi="Times New Roman"/>
        </w:rPr>
        <w:t xml:space="preserve"> to forever keep the Heath open, unenclosed and unbuilt upon, to prevent, resist and abate all encroachment and attempted encroachment on the Heath, and to protect and preserve the Heath as an open space. </w:t>
      </w:r>
    </w:p>
    <w:p w:rsidR="00720575" w:rsidRPr="00B3207F" w:rsidRDefault="00720575" w:rsidP="002C0A96">
      <w:pPr>
        <w:spacing w:line="360" w:lineRule="auto"/>
        <w:rPr>
          <w:rFonts w:ascii="Times New Roman" w:hAnsi="Times New Roman"/>
        </w:rPr>
      </w:pPr>
    </w:p>
    <w:p w:rsidR="00720575" w:rsidRPr="00B3207F" w:rsidRDefault="00720575" w:rsidP="002C0A96">
      <w:pPr>
        <w:pStyle w:val="ListParagraph"/>
        <w:numPr>
          <w:ilvl w:val="0"/>
          <w:numId w:val="1"/>
        </w:numPr>
        <w:spacing w:line="360" w:lineRule="auto"/>
        <w:rPr>
          <w:rFonts w:ascii="Times New Roman" w:hAnsi="Times New Roman"/>
        </w:rPr>
      </w:pPr>
      <w:r w:rsidRPr="00B3207F">
        <w:rPr>
          <w:rFonts w:ascii="Times New Roman" w:hAnsi="Times New Roman"/>
        </w:rPr>
        <w:t xml:space="preserve">The Site that is the subject of the appeal is in an extremely sensitive location on </w:t>
      </w:r>
      <w:r w:rsidR="003A5127" w:rsidRPr="00B3207F">
        <w:rPr>
          <w:rFonts w:ascii="Times New Roman" w:hAnsi="Times New Roman"/>
        </w:rPr>
        <w:t>a</w:t>
      </w:r>
      <w:r w:rsidRPr="00B3207F">
        <w:rPr>
          <w:rFonts w:ascii="Times New Roman" w:hAnsi="Times New Roman"/>
        </w:rPr>
        <w:t xml:space="preserve"> direct boundary with the Heath. It </w:t>
      </w:r>
      <w:proofErr w:type="gramStart"/>
      <w:r w:rsidRPr="00B3207F">
        <w:rPr>
          <w:rFonts w:ascii="Times New Roman" w:hAnsi="Times New Roman"/>
        </w:rPr>
        <w:t>is located in</w:t>
      </w:r>
      <w:proofErr w:type="gramEnd"/>
      <w:r w:rsidRPr="00B3207F">
        <w:rPr>
          <w:rFonts w:ascii="Times New Roman" w:hAnsi="Times New Roman"/>
        </w:rPr>
        <w:t xml:space="preserve"> the</w:t>
      </w:r>
      <w:r w:rsidR="000E3A1F" w:rsidRPr="00B3207F">
        <w:rPr>
          <w:rFonts w:ascii="Times New Roman" w:hAnsi="Times New Roman"/>
        </w:rPr>
        <w:t xml:space="preserve"> Hampstead Conservation Area.</w:t>
      </w:r>
      <w:r w:rsidRPr="00B3207F">
        <w:rPr>
          <w:rFonts w:ascii="Times New Roman" w:hAnsi="Times New Roman"/>
        </w:rPr>
        <w:t xml:space="preserve"> </w:t>
      </w:r>
      <w:r w:rsidR="000E3A1F" w:rsidRPr="00B3207F">
        <w:rPr>
          <w:rFonts w:ascii="Times New Roman" w:hAnsi="Times New Roman"/>
        </w:rPr>
        <w:t>T</w:t>
      </w:r>
      <w:r w:rsidR="00FE05B8" w:rsidRPr="00B3207F">
        <w:rPr>
          <w:rFonts w:ascii="Times New Roman" w:hAnsi="Times New Roman"/>
        </w:rPr>
        <w:t xml:space="preserve">he land </w:t>
      </w:r>
      <w:r w:rsidRPr="00B3207F">
        <w:rPr>
          <w:rFonts w:ascii="Times New Roman" w:hAnsi="Times New Roman"/>
        </w:rPr>
        <w:t>is designated as Metropolitan Open Land</w:t>
      </w:r>
      <w:r w:rsidR="00DD334F" w:rsidRPr="00B3207F">
        <w:rPr>
          <w:rFonts w:ascii="Times New Roman" w:hAnsi="Times New Roman"/>
        </w:rPr>
        <w:t xml:space="preserve"> and private open space</w:t>
      </w:r>
      <w:r w:rsidRPr="00B3207F">
        <w:rPr>
          <w:rFonts w:ascii="Times New Roman" w:hAnsi="Times New Roman"/>
        </w:rPr>
        <w:t>.</w:t>
      </w:r>
    </w:p>
    <w:p w:rsidR="00720575" w:rsidRPr="00B3207F" w:rsidRDefault="00720575" w:rsidP="002C0A96">
      <w:pPr>
        <w:spacing w:line="360" w:lineRule="auto"/>
        <w:rPr>
          <w:rFonts w:ascii="Times New Roman" w:hAnsi="Times New Roman"/>
        </w:rPr>
      </w:pPr>
    </w:p>
    <w:p w:rsidR="00767A97" w:rsidRPr="00B3207F" w:rsidRDefault="00EA5EA7" w:rsidP="002C0A96">
      <w:pPr>
        <w:pStyle w:val="ListParagraph"/>
        <w:numPr>
          <w:ilvl w:val="0"/>
          <w:numId w:val="1"/>
        </w:numPr>
        <w:spacing w:line="360" w:lineRule="auto"/>
        <w:rPr>
          <w:rFonts w:ascii="Times New Roman" w:hAnsi="Times New Roman"/>
        </w:rPr>
      </w:pPr>
      <w:r w:rsidRPr="00B3207F">
        <w:rPr>
          <w:rFonts w:ascii="Times New Roman" w:hAnsi="Times New Roman"/>
        </w:rPr>
        <w:t xml:space="preserve">It is in </w:t>
      </w:r>
      <w:r w:rsidR="003A5127" w:rsidRPr="00B3207F">
        <w:rPr>
          <w:rFonts w:ascii="Times New Roman" w:hAnsi="Times New Roman"/>
        </w:rPr>
        <w:t>the City’s</w:t>
      </w:r>
      <w:r w:rsidR="00FA3DB2" w:rsidRPr="00B3207F">
        <w:rPr>
          <w:rFonts w:ascii="Times New Roman" w:hAnsi="Times New Roman"/>
        </w:rPr>
        <w:t xml:space="preserve"> role</w:t>
      </w:r>
      <w:r w:rsidRPr="00B3207F">
        <w:rPr>
          <w:rFonts w:ascii="Times New Roman" w:hAnsi="Times New Roman"/>
        </w:rPr>
        <w:t xml:space="preserve"> as </w:t>
      </w:r>
      <w:r w:rsidR="000E3A1F" w:rsidRPr="00B3207F">
        <w:rPr>
          <w:rFonts w:ascii="Times New Roman" w:hAnsi="Times New Roman"/>
        </w:rPr>
        <w:t>the</w:t>
      </w:r>
      <w:r w:rsidR="00FA3DB2" w:rsidRPr="00B3207F">
        <w:rPr>
          <w:rFonts w:ascii="Times New Roman" w:hAnsi="Times New Roman"/>
        </w:rPr>
        <w:t xml:space="preserve"> </w:t>
      </w:r>
      <w:r w:rsidR="00DD334F" w:rsidRPr="00B3207F">
        <w:rPr>
          <w:rFonts w:ascii="Times New Roman" w:hAnsi="Times New Roman"/>
        </w:rPr>
        <w:t xml:space="preserve">concerned </w:t>
      </w:r>
      <w:r w:rsidR="00FA3DB2" w:rsidRPr="00B3207F">
        <w:rPr>
          <w:rFonts w:ascii="Times New Roman" w:hAnsi="Times New Roman"/>
        </w:rPr>
        <w:t>custodian</w:t>
      </w:r>
      <w:r w:rsidRPr="00B3207F">
        <w:rPr>
          <w:rFonts w:ascii="Times New Roman" w:hAnsi="Times New Roman"/>
        </w:rPr>
        <w:t xml:space="preserve"> of the Heath</w:t>
      </w:r>
      <w:r w:rsidR="00FA3DB2" w:rsidRPr="00B3207F">
        <w:rPr>
          <w:rFonts w:ascii="Times New Roman" w:hAnsi="Times New Roman"/>
        </w:rPr>
        <w:t>,</w:t>
      </w:r>
      <w:r w:rsidR="00FE6A38" w:rsidRPr="00B3207F">
        <w:rPr>
          <w:rFonts w:ascii="Times New Roman" w:hAnsi="Times New Roman"/>
        </w:rPr>
        <w:t xml:space="preserve"> and in accordance with its statutory obligations to protect the Heath</w:t>
      </w:r>
      <w:r w:rsidRPr="00B3207F">
        <w:rPr>
          <w:rFonts w:ascii="Times New Roman" w:hAnsi="Times New Roman"/>
        </w:rPr>
        <w:t xml:space="preserve">, that </w:t>
      </w:r>
      <w:r w:rsidR="003A5127" w:rsidRPr="00B3207F">
        <w:rPr>
          <w:rFonts w:ascii="Times New Roman" w:hAnsi="Times New Roman"/>
        </w:rPr>
        <w:t>it</w:t>
      </w:r>
      <w:r w:rsidRPr="00B3207F">
        <w:rPr>
          <w:rFonts w:ascii="Times New Roman" w:hAnsi="Times New Roman"/>
        </w:rPr>
        <w:t xml:space="preserve"> </w:t>
      </w:r>
      <w:r w:rsidR="00EE518A" w:rsidRPr="00B3207F">
        <w:rPr>
          <w:rFonts w:ascii="Times New Roman" w:hAnsi="Times New Roman"/>
        </w:rPr>
        <w:t>makes submissions in this matter.</w:t>
      </w:r>
    </w:p>
    <w:p w:rsidR="002C0A96" w:rsidRPr="00B3207F" w:rsidRDefault="002C0A96" w:rsidP="002C0A96">
      <w:pPr>
        <w:spacing w:line="360" w:lineRule="auto"/>
        <w:rPr>
          <w:rFonts w:ascii="Times New Roman" w:hAnsi="Times New Roman"/>
        </w:rPr>
      </w:pPr>
    </w:p>
    <w:p w:rsidR="00DD334F" w:rsidRPr="00B3207F" w:rsidRDefault="00DD334F" w:rsidP="002C0A96">
      <w:pPr>
        <w:spacing w:line="360" w:lineRule="auto"/>
        <w:rPr>
          <w:rFonts w:ascii="Times New Roman" w:hAnsi="Times New Roman"/>
          <w:b/>
          <w:u w:val="single"/>
        </w:rPr>
      </w:pPr>
      <w:r w:rsidRPr="00B3207F">
        <w:rPr>
          <w:rFonts w:ascii="Times New Roman" w:hAnsi="Times New Roman"/>
          <w:b/>
          <w:u w:val="single"/>
        </w:rPr>
        <w:t>Procedural Matters</w:t>
      </w:r>
    </w:p>
    <w:p w:rsidR="00EA5EA7" w:rsidRPr="00B3207F" w:rsidRDefault="00EA5EA7" w:rsidP="002C0A96">
      <w:pPr>
        <w:spacing w:line="360" w:lineRule="auto"/>
        <w:rPr>
          <w:rFonts w:ascii="Times New Roman" w:hAnsi="Times New Roman"/>
        </w:rPr>
      </w:pPr>
    </w:p>
    <w:p w:rsidR="00DD334F" w:rsidRPr="00B3207F" w:rsidRDefault="00DD334F" w:rsidP="002C0A96">
      <w:pPr>
        <w:pStyle w:val="ListParagraph"/>
        <w:numPr>
          <w:ilvl w:val="0"/>
          <w:numId w:val="1"/>
        </w:numPr>
        <w:spacing w:line="360" w:lineRule="auto"/>
        <w:rPr>
          <w:rFonts w:ascii="Times New Roman" w:hAnsi="Times New Roman"/>
        </w:rPr>
      </w:pPr>
      <w:r w:rsidRPr="00B3207F">
        <w:rPr>
          <w:rFonts w:ascii="Times New Roman" w:hAnsi="Times New Roman"/>
        </w:rPr>
        <w:t xml:space="preserve">The City understands that the Council has now made a request to the Planning Inspectorate that the appeal procedure be changed from that of an informal hearing to a public inquiry. The City </w:t>
      </w:r>
      <w:r w:rsidR="001D76F6" w:rsidRPr="00B3207F">
        <w:rPr>
          <w:rFonts w:ascii="Times New Roman" w:hAnsi="Times New Roman"/>
        </w:rPr>
        <w:t>endorses</w:t>
      </w:r>
      <w:r w:rsidRPr="00B3207F">
        <w:rPr>
          <w:rFonts w:ascii="Times New Roman" w:hAnsi="Times New Roman"/>
        </w:rPr>
        <w:t xml:space="preserve"> the Council’s request in this regard. When the criteria for determining the</w:t>
      </w:r>
      <w:r w:rsidR="001D76F6" w:rsidRPr="00B3207F">
        <w:rPr>
          <w:rFonts w:ascii="Times New Roman" w:hAnsi="Times New Roman"/>
        </w:rPr>
        <w:t xml:space="preserve"> appropriate appeal procedure (see</w:t>
      </w:r>
      <w:r w:rsidRPr="00B3207F">
        <w:rPr>
          <w:rFonts w:ascii="Times New Roman" w:hAnsi="Times New Roman"/>
        </w:rPr>
        <w:t xml:space="preserve"> </w:t>
      </w:r>
      <w:proofErr w:type="spellStart"/>
      <w:r w:rsidRPr="00B3207F">
        <w:rPr>
          <w:rFonts w:ascii="Times New Roman" w:hAnsi="Times New Roman"/>
        </w:rPr>
        <w:t>Annexe</w:t>
      </w:r>
      <w:proofErr w:type="spellEnd"/>
      <w:r w:rsidRPr="00B3207F">
        <w:rPr>
          <w:rFonts w:ascii="Times New Roman" w:hAnsi="Times New Roman"/>
        </w:rPr>
        <w:t xml:space="preserve"> G of the Planning Inspectorate’s Procedural Guide for Enforcement Notice Appeals</w:t>
      </w:r>
      <w:r w:rsidR="001D76F6" w:rsidRPr="00B3207F">
        <w:rPr>
          <w:rFonts w:ascii="Times New Roman" w:hAnsi="Times New Roman"/>
        </w:rPr>
        <w:t>)</w:t>
      </w:r>
      <w:r w:rsidRPr="00B3207F">
        <w:rPr>
          <w:rFonts w:ascii="Times New Roman" w:hAnsi="Times New Roman"/>
        </w:rPr>
        <w:t xml:space="preserve"> are considered, </w:t>
      </w:r>
      <w:proofErr w:type="gramStart"/>
      <w:r w:rsidRPr="00B3207F">
        <w:rPr>
          <w:rFonts w:ascii="Times New Roman" w:hAnsi="Times New Roman"/>
        </w:rPr>
        <w:t>it is plain that this</w:t>
      </w:r>
      <w:proofErr w:type="gramEnd"/>
      <w:r w:rsidRPr="00B3207F">
        <w:rPr>
          <w:rFonts w:ascii="Times New Roman" w:hAnsi="Times New Roman"/>
        </w:rPr>
        <w:t xml:space="preserve"> </w:t>
      </w:r>
      <w:r w:rsidR="00FE6A38" w:rsidRPr="00B3207F">
        <w:rPr>
          <w:rFonts w:ascii="Times New Roman" w:hAnsi="Times New Roman"/>
        </w:rPr>
        <w:t xml:space="preserve">appeal </w:t>
      </w:r>
      <w:r w:rsidR="00FA3DB2" w:rsidRPr="00B3207F">
        <w:rPr>
          <w:rFonts w:ascii="Times New Roman" w:hAnsi="Times New Roman"/>
        </w:rPr>
        <w:t xml:space="preserve">fulfills the </w:t>
      </w:r>
      <w:r w:rsidR="001B4E3B" w:rsidRPr="00B3207F">
        <w:rPr>
          <w:rFonts w:ascii="Times New Roman" w:hAnsi="Times New Roman"/>
        </w:rPr>
        <w:t>guidelines set for the inquiry procedure</w:t>
      </w:r>
      <w:r w:rsidR="00FE6A38" w:rsidRPr="00B3207F">
        <w:rPr>
          <w:rFonts w:ascii="Times New Roman" w:hAnsi="Times New Roman"/>
        </w:rPr>
        <w:t xml:space="preserve">. </w:t>
      </w:r>
      <w:r w:rsidRPr="00B3207F">
        <w:rPr>
          <w:rFonts w:ascii="Times New Roman" w:hAnsi="Times New Roman"/>
        </w:rPr>
        <w:t xml:space="preserve"> </w:t>
      </w:r>
      <w:r w:rsidR="00FE6A38" w:rsidRPr="00B3207F">
        <w:rPr>
          <w:rFonts w:ascii="Times New Roman" w:hAnsi="Times New Roman"/>
        </w:rPr>
        <w:t xml:space="preserve">First, the appeal has generated substantial local interest including from two local civic societies, namely the Heath and Hampstead Society and the Vale of Health Society. Second, and more significantly, </w:t>
      </w:r>
      <w:r w:rsidR="009D320C" w:rsidRPr="00B3207F">
        <w:rPr>
          <w:rFonts w:ascii="Times New Roman" w:hAnsi="Times New Roman"/>
        </w:rPr>
        <w:t xml:space="preserve">the nature of the case that is advanced by the Appellant </w:t>
      </w:r>
      <w:r w:rsidR="001D76F6" w:rsidRPr="00B3207F">
        <w:rPr>
          <w:rFonts w:ascii="Times New Roman" w:hAnsi="Times New Roman"/>
        </w:rPr>
        <w:t xml:space="preserve">will </w:t>
      </w:r>
      <w:r w:rsidR="009D320C" w:rsidRPr="00B3207F">
        <w:rPr>
          <w:rFonts w:ascii="Times New Roman" w:hAnsi="Times New Roman"/>
        </w:rPr>
        <w:t>require</w:t>
      </w:r>
      <w:r w:rsidR="001D76F6" w:rsidRPr="00B3207F">
        <w:rPr>
          <w:rFonts w:ascii="Times New Roman" w:hAnsi="Times New Roman"/>
        </w:rPr>
        <w:t xml:space="preserve"> </w:t>
      </w:r>
      <w:r w:rsidR="009D320C" w:rsidRPr="00B3207F">
        <w:rPr>
          <w:rFonts w:ascii="Times New Roman" w:hAnsi="Times New Roman"/>
        </w:rPr>
        <w:t xml:space="preserve">evidence to be given on oath regarding </w:t>
      </w:r>
      <w:r w:rsidR="001D76F6" w:rsidRPr="00B3207F">
        <w:rPr>
          <w:rFonts w:ascii="Times New Roman" w:hAnsi="Times New Roman"/>
        </w:rPr>
        <w:t>highly pertinent matters of fact</w:t>
      </w:r>
      <w:r w:rsidR="009D320C" w:rsidRPr="00B3207F">
        <w:rPr>
          <w:rFonts w:ascii="Times New Roman" w:hAnsi="Times New Roman"/>
        </w:rPr>
        <w:t xml:space="preserve">. In addition, the City </w:t>
      </w:r>
      <w:r w:rsidR="005A5743" w:rsidRPr="00B3207F">
        <w:rPr>
          <w:rFonts w:ascii="Times New Roman" w:hAnsi="Times New Roman"/>
        </w:rPr>
        <w:t>would wish to</w:t>
      </w:r>
      <w:r w:rsidR="00FA3DB2" w:rsidRPr="00B3207F">
        <w:rPr>
          <w:rFonts w:ascii="Times New Roman" w:hAnsi="Times New Roman"/>
        </w:rPr>
        <w:t xml:space="preserve"> be given the opportunity </w:t>
      </w:r>
      <w:r w:rsidR="009D320C" w:rsidRPr="00B3207F">
        <w:rPr>
          <w:rFonts w:ascii="Times New Roman" w:hAnsi="Times New Roman"/>
        </w:rPr>
        <w:t xml:space="preserve">to cross-examine </w:t>
      </w:r>
      <w:proofErr w:type="spellStart"/>
      <w:r w:rsidR="009D320C" w:rsidRPr="00B3207F">
        <w:rPr>
          <w:rFonts w:ascii="Times New Roman" w:hAnsi="Times New Roman"/>
        </w:rPr>
        <w:t>Mr</w:t>
      </w:r>
      <w:proofErr w:type="spellEnd"/>
      <w:r w:rsidR="009D320C" w:rsidRPr="00B3207F">
        <w:rPr>
          <w:rFonts w:ascii="Times New Roman" w:hAnsi="Times New Roman"/>
        </w:rPr>
        <w:t xml:space="preserve"> Covey and </w:t>
      </w:r>
      <w:proofErr w:type="spellStart"/>
      <w:r w:rsidR="009D320C" w:rsidRPr="00B3207F">
        <w:rPr>
          <w:rFonts w:ascii="Times New Roman" w:hAnsi="Times New Roman"/>
        </w:rPr>
        <w:t>Ms</w:t>
      </w:r>
      <w:proofErr w:type="spellEnd"/>
      <w:r w:rsidR="009D320C" w:rsidRPr="00B3207F">
        <w:rPr>
          <w:rFonts w:ascii="Times New Roman" w:hAnsi="Times New Roman"/>
        </w:rPr>
        <w:t xml:space="preserve"> Cox </w:t>
      </w:r>
      <w:proofErr w:type="gramStart"/>
      <w:r w:rsidR="009D320C" w:rsidRPr="00B3207F">
        <w:rPr>
          <w:rFonts w:ascii="Times New Roman" w:hAnsi="Times New Roman"/>
        </w:rPr>
        <w:t>with regard to</w:t>
      </w:r>
      <w:proofErr w:type="gramEnd"/>
      <w:r w:rsidR="009D320C" w:rsidRPr="00B3207F">
        <w:rPr>
          <w:rFonts w:ascii="Times New Roman" w:hAnsi="Times New Roman"/>
        </w:rPr>
        <w:t xml:space="preserve"> their expert reports. </w:t>
      </w:r>
    </w:p>
    <w:p w:rsidR="00767A97" w:rsidRPr="00B3207F" w:rsidRDefault="00767A97" w:rsidP="002C0A96">
      <w:pPr>
        <w:spacing w:line="360" w:lineRule="auto"/>
        <w:ind w:left="360"/>
        <w:rPr>
          <w:rFonts w:ascii="Times New Roman" w:hAnsi="Times New Roman"/>
        </w:rPr>
      </w:pPr>
    </w:p>
    <w:p w:rsidR="00767A97" w:rsidRPr="00B3207F" w:rsidRDefault="00767A97" w:rsidP="002C0A96">
      <w:pPr>
        <w:spacing w:line="360" w:lineRule="auto"/>
        <w:rPr>
          <w:rFonts w:ascii="Times New Roman" w:hAnsi="Times New Roman"/>
          <w:b/>
          <w:u w:val="single"/>
        </w:rPr>
      </w:pPr>
      <w:r w:rsidRPr="00B3207F">
        <w:rPr>
          <w:rFonts w:ascii="Times New Roman" w:hAnsi="Times New Roman"/>
          <w:b/>
          <w:u w:val="single"/>
        </w:rPr>
        <w:t>Response to the Grounds of Appeal</w:t>
      </w:r>
    </w:p>
    <w:p w:rsidR="00767A97" w:rsidRPr="00B3207F" w:rsidRDefault="00767A97" w:rsidP="002C0A96">
      <w:pPr>
        <w:spacing w:line="360" w:lineRule="auto"/>
        <w:rPr>
          <w:rFonts w:ascii="Times New Roman" w:hAnsi="Times New Roman"/>
        </w:rPr>
      </w:pPr>
    </w:p>
    <w:p w:rsidR="00767A97" w:rsidRPr="00B3207F" w:rsidRDefault="00767A97" w:rsidP="002C0A96">
      <w:pPr>
        <w:pStyle w:val="ListParagraph"/>
        <w:numPr>
          <w:ilvl w:val="0"/>
          <w:numId w:val="1"/>
        </w:numPr>
        <w:spacing w:line="360" w:lineRule="auto"/>
        <w:rPr>
          <w:rFonts w:ascii="Times New Roman" w:hAnsi="Times New Roman"/>
        </w:rPr>
      </w:pPr>
      <w:r w:rsidRPr="00B3207F">
        <w:rPr>
          <w:rFonts w:ascii="Times New Roman" w:hAnsi="Times New Roman"/>
        </w:rPr>
        <w:t xml:space="preserve">The Appellant’s Statement of Case states that </w:t>
      </w:r>
      <w:r w:rsidRPr="00B3207F">
        <w:rPr>
          <w:rFonts w:ascii="Times New Roman" w:hAnsi="Times New Roman"/>
          <w:i/>
        </w:rPr>
        <w:t>“there has been no breach of planning control under Section A(1)(a) as the work effected was refurbishment of an existing structure built in 2005 which had been occupied continuously as a residence”</w:t>
      </w:r>
      <w:r w:rsidRPr="00B3207F">
        <w:rPr>
          <w:rFonts w:ascii="Times New Roman" w:hAnsi="Times New Roman"/>
        </w:rPr>
        <w:t>. Albeit the appeal is advanced under grounds</w:t>
      </w:r>
      <w:r w:rsidR="0007435A" w:rsidRPr="00B3207F">
        <w:rPr>
          <w:rFonts w:ascii="Times New Roman" w:hAnsi="Times New Roman"/>
        </w:rPr>
        <w:t xml:space="preserve"> (b), (c) and (d), </w:t>
      </w:r>
      <w:proofErr w:type="gramStart"/>
      <w:r w:rsidR="0007435A" w:rsidRPr="00B3207F">
        <w:rPr>
          <w:rFonts w:ascii="Times New Roman" w:hAnsi="Times New Roman"/>
        </w:rPr>
        <w:t>it is clear that ground</w:t>
      </w:r>
      <w:proofErr w:type="gramEnd"/>
      <w:r w:rsidR="0007435A" w:rsidRPr="00B3207F">
        <w:rPr>
          <w:rFonts w:ascii="Times New Roman" w:hAnsi="Times New Roman"/>
        </w:rPr>
        <w:t xml:space="preserve"> (c) is the primary submission and it will be addressed first</w:t>
      </w:r>
      <w:r w:rsidR="00B3207F">
        <w:rPr>
          <w:rFonts w:ascii="Times New Roman" w:hAnsi="Times New Roman"/>
        </w:rPr>
        <w:t>,</w:t>
      </w:r>
      <w:r w:rsidR="000C2D89" w:rsidRPr="00B3207F">
        <w:rPr>
          <w:rFonts w:ascii="Times New Roman" w:hAnsi="Times New Roman"/>
        </w:rPr>
        <w:t xml:space="preserve"> as follows</w:t>
      </w:r>
      <w:r w:rsidR="0007435A" w:rsidRPr="00B3207F">
        <w:rPr>
          <w:rFonts w:ascii="Times New Roman" w:hAnsi="Times New Roman"/>
        </w:rPr>
        <w:t xml:space="preserve">. </w:t>
      </w:r>
      <w:r w:rsidRPr="00B3207F">
        <w:rPr>
          <w:rFonts w:ascii="Times New Roman" w:hAnsi="Times New Roman"/>
        </w:rPr>
        <w:t xml:space="preserve"> </w:t>
      </w:r>
    </w:p>
    <w:p w:rsidR="0007435A" w:rsidRPr="00B3207F" w:rsidRDefault="0007435A" w:rsidP="002C0A96">
      <w:pPr>
        <w:spacing w:line="360" w:lineRule="auto"/>
        <w:rPr>
          <w:rFonts w:ascii="Times New Roman" w:hAnsi="Times New Roman"/>
        </w:rPr>
      </w:pPr>
    </w:p>
    <w:p w:rsidR="00767A97" w:rsidRPr="00B3207F" w:rsidRDefault="0007435A" w:rsidP="002C0A96">
      <w:pPr>
        <w:spacing w:line="360" w:lineRule="auto"/>
        <w:rPr>
          <w:rFonts w:ascii="Times New Roman" w:hAnsi="Times New Roman"/>
          <w:u w:val="single"/>
        </w:rPr>
      </w:pPr>
      <w:r w:rsidRPr="00B3207F">
        <w:rPr>
          <w:rFonts w:ascii="Times New Roman" w:hAnsi="Times New Roman"/>
          <w:u w:val="single"/>
        </w:rPr>
        <w:t>The Ground (c) Appeal</w:t>
      </w:r>
    </w:p>
    <w:p w:rsidR="006D2037" w:rsidRPr="00B3207F" w:rsidRDefault="006D2037" w:rsidP="002C0A96">
      <w:pPr>
        <w:spacing w:line="360" w:lineRule="auto"/>
        <w:rPr>
          <w:rFonts w:ascii="Times New Roman" w:hAnsi="Times New Roman"/>
          <w:i/>
        </w:rPr>
      </w:pPr>
    </w:p>
    <w:p w:rsidR="00D12087" w:rsidRPr="00B3207F" w:rsidRDefault="00D12087" w:rsidP="002C0A96">
      <w:pPr>
        <w:pStyle w:val="ListParagraph"/>
        <w:numPr>
          <w:ilvl w:val="0"/>
          <w:numId w:val="1"/>
        </w:numPr>
        <w:spacing w:line="360" w:lineRule="auto"/>
        <w:rPr>
          <w:rFonts w:ascii="Times New Roman" w:hAnsi="Times New Roman"/>
        </w:rPr>
      </w:pPr>
      <w:r w:rsidRPr="00B3207F">
        <w:rPr>
          <w:rFonts w:ascii="Times New Roman" w:hAnsi="Times New Roman"/>
        </w:rPr>
        <w:t xml:space="preserve">In order for the Appellant to succeed under its ground (c) appeal, it must establish </w:t>
      </w:r>
      <w:r w:rsidR="009C7E56" w:rsidRPr="00B3207F">
        <w:rPr>
          <w:rFonts w:ascii="Times New Roman" w:hAnsi="Times New Roman"/>
        </w:rPr>
        <w:t>(</w:t>
      </w:r>
      <w:proofErr w:type="spellStart"/>
      <w:r w:rsidR="009C7E56" w:rsidRPr="00B3207F">
        <w:rPr>
          <w:rFonts w:ascii="Times New Roman" w:hAnsi="Times New Roman"/>
        </w:rPr>
        <w:t>i</w:t>
      </w:r>
      <w:proofErr w:type="spellEnd"/>
      <w:r w:rsidR="009C7E56" w:rsidRPr="00B3207F">
        <w:rPr>
          <w:rFonts w:ascii="Times New Roman" w:hAnsi="Times New Roman"/>
        </w:rPr>
        <w:t xml:space="preserve">) </w:t>
      </w:r>
      <w:r w:rsidRPr="00B3207F">
        <w:rPr>
          <w:rFonts w:ascii="Times New Roman" w:hAnsi="Times New Roman"/>
        </w:rPr>
        <w:t>t</w:t>
      </w:r>
      <w:r w:rsidR="002C0A96" w:rsidRPr="00B3207F">
        <w:rPr>
          <w:rFonts w:ascii="Times New Roman" w:hAnsi="Times New Roman"/>
        </w:rPr>
        <w:t xml:space="preserve">hat there was a dwelling house or other building </w:t>
      </w:r>
      <w:r w:rsidRPr="00B3207F">
        <w:rPr>
          <w:rFonts w:ascii="Times New Roman" w:hAnsi="Times New Roman"/>
        </w:rPr>
        <w:t xml:space="preserve">on the Site that was immune from enforcement action (there never having been granted planning permission for any development on the site) </w:t>
      </w:r>
      <w:r w:rsidR="00044E52" w:rsidRPr="00B3207F">
        <w:rPr>
          <w:rFonts w:ascii="Times New Roman" w:hAnsi="Times New Roman"/>
        </w:rPr>
        <w:t>prior to the construction of the dwelling house in 2017</w:t>
      </w:r>
      <w:r w:rsidR="00E73C94" w:rsidRPr="00B3207F">
        <w:rPr>
          <w:rFonts w:ascii="Times New Roman" w:hAnsi="Times New Roman"/>
        </w:rPr>
        <w:t>,</w:t>
      </w:r>
      <w:r w:rsidR="00044E52" w:rsidRPr="00B3207F">
        <w:rPr>
          <w:rFonts w:ascii="Times New Roman" w:hAnsi="Times New Roman"/>
        </w:rPr>
        <w:t xml:space="preserve"> </w:t>
      </w:r>
      <w:r w:rsidR="002C0A96" w:rsidRPr="00B3207F">
        <w:rPr>
          <w:rFonts w:ascii="Times New Roman" w:hAnsi="Times New Roman"/>
        </w:rPr>
        <w:t>and</w:t>
      </w:r>
      <w:r w:rsidRPr="00B3207F">
        <w:rPr>
          <w:rFonts w:ascii="Times New Roman" w:hAnsi="Times New Roman"/>
        </w:rPr>
        <w:t xml:space="preserve"> if this can be established, that </w:t>
      </w:r>
      <w:r w:rsidR="00E73C94" w:rsidRPr="00B3207F">
        <w:rPr>
          <w:rFonts w:ascii="Times New Roman" w:hAnsi="Times New Roman"/>
        </w:rPr>
        <w:t xml:space="preserve">(ii) </w:t>
      </w:r>
      <w:r w:rsidRPr="00B3207F">
        <w:rPr>
          <w:rFonts w:ascii="Times New Roman" w:hAnsi="Times New Roman"/>
        </w:rPr>
        <w:t xml:space="preserve">the building </w:t>
      </w:r>
      <w:r w:rsidR="00044E52" w:rsidRPr="00B3207F">
        <w:rPr>
          <w:rFonts w:ascii="Times New Roman" w:hAnsi="Times New Roman"/>
        </w:rPr>
        <w:t>work</w:t>
      </w:r>
      <w:r w:rsidRPr="00B3207F">
        <w:rPr>
          <w:rFonts w:ascii="Times New Roman" w:hAnsi="Times New Roman"/>
        </w:rPr>
        <w:t xml:space="preserve"> carried out by the Appellant </w:t>
      </w:r>
      <w:r w:rsidR="00044E52" w:rsidRPr="00B3207F">
        <w:rPr>
          <w:rFonts w:ascii="Times New Roman" w:hAnsi="Times New Roman"/>
        </w:rPr>
        <w:t xml:space="preserve">in 2017 </w:t>
      </w:r>
      <w:r w:rsidRPr="00B3207F">
        <w:rPr>
          <w:rFonts w:ascii="Times New Roman" w:hAnsi="Times New Roman"/>
        </w:rPr>
        <w:t xml:space="preserve">did not constitute development within the meaning of s. 55 of the Town and Country Planning Act 1990 (“TCPA 1990”). </w:t>
      </w:r>
      <w:proofErr w:type="gramStart"/>
      <w:r w:rsidR="00E73C94" w:rsidRPr="00B3207F">
        <w:rPr>
          <w:rFonts w:ascii="Times New Roman" w:hAnsi="Times New Roman"/>
        </w:rPr>
        <w:t>With regard to</w:t>
      </w:r>
      <w:proofErr w:type="gramEnd"/>
      <w:r w:rsidR="00E73C94" w:rsidRPr="00B3207F">
        <w:rPr>
          <w:rFonts w:ascii="Times New Roman" w:hAnsi="Times New Roman"/>
        </w:rPr>
        <w:t xml:space="preserve"> (ii), t</w:t>
      </w:r>
      <w:r w:rsidRPr="00B3207F">
        <w:rPr>
          <w:rFonts w:ascii="Times New Roman" w:hAnsi="Times New Roman"/>
        </w:rPr>
        <w:t>he Appellant appears to rely on s. 55(2)(a) of the TCPA 1990</w:t>
      </w:r>
      <w:r w:rsidR="00044E52" w:rsidRPr="00B3207F">
        <w:rPr>
          <w:rFonts w:ascii="Times New Roman" w:hAnsi="Times New Roman"/>
        </w:rPr>
        <w:t xml:space="preserve">, which </w:t>
      </w:r>
      <w:r w:rsidR="00B3207F">
        <w:rPr>
          <w:rFonts w:ascii="Times New Roman" w:hAnsi="Times New Roman"/>
        </w:rPr>
        <w:t>provid</w:t>
      </w:r>
      <w:r w:rsidR="00044E52" w:rsidRPr="00B3207F">
        <w:rPr>
          <w:rFonts w:ascii="Times New Roman" w:hAnsi="Times New Roman"/>
        </w:rPr>
        <w:t>es:</w:t>
      </w:r>
    </w:p>
    <w:p w:rsidR="00044E52" w:rsidRPr="00B3207F" w:rsidRDefault="00044E52" w:rsidP="002C0A96">
      <w:pPr>
        <w:pStyle w:val="NormalWeb"/>
        <w:ind w:left="851"/>
        <w:jc w:val="both"/>
        <w:rPr>
          <w:i/>
          <w:sz w:val="24"/>
          <w:szCs w:val="24"/>
        </w:rPr>
      </w:pPr>
      <w:r w:rsidRPr="00B3207F">
        <w:rPr>
          <w:i/>
          <w:sz w:val="24"/>
          <w:szCs w:val="24"/>
        </w:rPr>
        <w:t>“The following operations or uses of land shall not be taken for the purposes of this Act to involve development of the land—</w:t>
      </w:r>
    </w:p>
    <w:p w:rsidR="00044E52" w:rsidRPr="00B3207F" w:rsidRDefault="00044E52" w:rsidP="002C0A96">
      <w:pPr>
        <w:pStyle w:val="NormalWeb"/>
        <w:ind w:left="982"/>
        <w:jc w:val="both"/>
        <w:rPr>
          <w:i/>
          <w:sz w:val="24"/>
          <w:szCs w:val="24"/>
        </w:rPr>
      </w:pPr>
      <w:r w:rsidRPr="00B3207F">
        <w:rPr>
          <w:i/>
          <w:sz w:val="24"/>
          <w:szCs w:val="24"/>
        </w:rPr>
        <w:t>(a) the carrying out for the maintenance, improvement or other alteration of any building of works which—</w:t>
      </w:r>
    </w:p>
    <w:p w:rsidR="00044E52" w:rsidRPr="00B3207F" w:rsidRDefault="00044E52" w:rsidP="002C0A96">
      <w:pPr>
        <w:pStyle w:val="NormalWeb"/>
        <w:ind w:left="982"/>
        <w:jc w:val="both"/>
        <w:outlineLvl w:val="0"/>
        <w:rPr>
          <w:i/>
          <w:sz w:val="24"/>
          <w:szCs w:val="24"/>
        </w:rPr>
      </w:pPr>
      <w:r w:rsidRPr="00B3207F">
        <w:rPr>
          <w:i/>
          <w:sz w:val="24"/>
          <w:szCs w:val="24"/>
        </w:rPr>
        <w:t>(</w:t>
      </w:r>
      <w:proofErr w:type="spellStart"/>
      <w:r w:rsidRPr="00B3207F">
        <w:rPr>
          <w:i/>
          <w:sz w:val="24"/>
          <w:szCs w:val="24"/>
        </w:rPr>
        <w:t>i</w:t>
      </w:r>
      <w:proofErr w:type="spellEnd"/>
      <w:r w:rsidRPr="00B3207F">
        <w:rPr>
          <w:i/>
          <w:sz w:val="24"/>
          <w:szCs w:val="24"/>
        </w:rPr>
        <w:t>) affect only the interior of the building, or</w:t>
      </w:r>
    </w:p>
    <w:p w:rsidR="002C0A96" w:rsidRPr="00B3207F" w:rsidRDefault="00044E52" w:rsidP="00915006">
      <w:pPr>
        <w:pStyle w:val="NormalWeb"/>
        <w:ind w:left="982"/>
        <w:jc w:val="both"/>
        <w:outlineLvl w:val="0"/>
        <w:rPr>
          <w:i/>
          <w:sz w:val="24"/>
          <w:szCs w:val="24"/>
        </w:rPr>
      </w:pPr>
      <w:r w:rsidRPr="00B3207F">
        <w:rPr>
          <w:i/>
          <w:sz w:val="24"/>
          <w:szCs w:val="24"/>
        </w:rPr>
        <w:t>(ii) do not materially affect the external appearance of the building….”</w:t>
      </w:r>
    </w:p>
    <w:p w:rsidR="00915006" w:rsidRPr="00B3207F" w:rsidRDefault="00915006" w:rsidP="00915006">
      <w:pPr>
        <w:pStyle w:val="NormalWeb"/>
        <w:ind w:left="982"/>
        <w:jc w:val="both"/>
        <w:outlineLvl w:val="0"/>
        <w:rPr>
          <w:i/>
          <w:sz w:val="24"/>
          <w:szCs w:val="24"/>
        </w:rPr>
      </w:pPr>
    </w:p>
    <w:p w:rsidR="002C0A96" w:rsidRPr="00B3207F" w:rsidRDefault="00E62F3C" w:rsidP="002C0A96">
      <w:pPr>
        <w:spacing w:line="360" w:lineRule="auto"/>
        <w:rPr>
          <w:rFonts w:ascii="Times New Roman" w:hAnsi="Times New Roman"/>
          <w:i/>
          <w:u w:val="single"/>
        </w:rPr>
      </w:pPr>
      <w:r w:rsidRPr="00B3207F">
        <w:rPr>
          <w:rFonts w:ascii="Times New Roman" w:hAnsi="Times New Roman"/>
          <w:i/>
          <w:u w:val="single"/>
        </w:rPr>
        <w:t>(</w:t>
      </w:r>
      <w:proofErr w:type="spellStart"/>
      <w:r w:rsidRPr="00B3207F">
        <w:rPr>
          <w:rFonts w:ascii="Times New Roman" w:hAnsi="Times New Roman"/>
          <w:i/>
          <w:u w:val="single"/>
        </w:rPr>
        <w:t>i</w:t>
      </w:r>
      <w:proofErr w:type="spellEnd"/>
      <w:r w:rsidRPr="00B3207F">
        <w:rPr>
          <w:rFonts w:ascii="Times New Roman" w:hAnsi="Times New Roman"/>
          <w:i/>
          <w:u w:val="single"/>
        </w:rPr>
        <w:t xml:space="preserve">) </w:t>
      </w:r>
      <w:r w:rsidR="002C0A96" w:rsidRPr="00B3207F">
        <w:rPr>
          <w:rFonts w:ascii="Times New Roman" w:hAnsi="Times New Roman"/>
          <w:i/>
          <w:u w:val="single"/>
        </w:rPr>
        <w:t xml:space="preserve">Was there a dwelling house or building on the Site prior to 2017? </w:t>
      </w:r>
    </w:p>
    <w:p w:rsidR="002C0A96" w:rsidRPr="00B3207F" w:rsidRDefault="002C0A96" w:rsidP="002C0A96">
      <w:pPr>
        <w:spacing w:line="360" w:lineRule="auto"/>
        <w:rPr>
          <w:rFonts w:ascii="Times New Roman" w:hAnsi="Times New Roman"/>
          <w:i/>
        </w:rPr>
      </w:pPr>
    </w:p>
    <w:p w:rsidR="005F7588" w:rsidRPr="00B3207F" w:rsidRDefault="002C0A96" w:rsidP="00B26830">
      <w:pPr>
        <w:pStyle w:val="ListParagraph"/>
        <w:numPr>
          <w:ilvl w:val="0"/>
          <w:numId w:val="1"/>
        </w:numPr>
        <w:spacing w:line="360" w:lineRule="auto"/>
        <w:rPr>
          <w:rFonts w:ascii="Times New Roman" w:hAnsi="Times New Roman"/>
        </w:rPr>
      </w:pPr>
      <w:r w:rsidRPr="00B3207F">
        <w:rPr>
          <w:rFonts w:ascii="Times New Roman" w:hAnsi="Times New Roman"/>
        </w:rPr>
        <w:t xml:space="preserve">The City </w:t>
      </w:r>
      <w:r w:rsidR="00B26830" w:rsidRPr="00B3207F">
        <w:rPr>
          <w:rFonts w:ascii="Times New Roman" w:hAnsi="Times New Roman"/>
        </w:rPr>
        <w:t>does not consider that there w</w:t>
      </w:r>
      <w:r w:rsidR="00B3207F">
        <w:rPr>
          <w:rFonts w:ascii="Times New Roman" w:hAnsi="Times New Roman"/>
        </w:rPr>
        <w:t>as any ‘building</w:t>
      </w:r>
      <w:r w:rsidR="00B26830" w:rsidRPr="00B3207F">
        <w:rPr>
          <w:rFonts w:ascii="Times New Roman" w:hAnsi="Times New Roman"/>
        </w:rPr>
        <w:t xml:space="preserve">’ on the Site prior to the erection of the dwelling house in 2017. The City supports the description of the </w:t>
      </w:r>
      <w:r w:rsidR="005010B8" w:rsidRPr="00B3207F">
        <w:rPr>
          <w:rFonts w:ascii="Times New Roman" w:hAnsi="Times New Roman"/>
          <w:i/>
        </w:rPr>
        <w:t>“</w:t>
      </w:r>
      <w:r w:rsidR="00B26830" w:rsidRPr="00B3207F">
        <w:rPr>
          <w:rFonts w:ascii="Times New Roman" w:hAnsi="Times New Roman"/>
          <w:i/>
        </w:rPr>
        <w:t>previous situation at the site</w:t>
      </w:r>
      <w:r w:rsidR="005010B8" w:rsidRPr="00B3207F">
        <w:rPr>
          <w:rFonts w:ascii="Times New Roman" w:hAnsi="Times New Roman"/>
          <w:i/>
        </w:rPr>
        <w:t>”</w:t>
      </w:r>
      <w:r w:rsidR="00B26830" w:rsidRPr="00B3207F">
        <w:rPr>
          <w:rFonts w:ascii="Times New Roman" w:hAnsi="Times New Roman"/>
          <w:i/>
        </w:rPr>
        <w:t xml:space="preserve"> </w:t>
      </w:r>
      <w:r w:rsidR="00B26830" w:rsidRPr="00B3207F">
        <w:rPr>
          <w:rFonts w:ascii="Times New Roman" w:hAnsi="Times New Roman"/>
        </w:rPr>
        <w:t>in the Council’s Enforcement Delegated Report, which describes the site as having been “</w:t>
      </w:r>
      <w:r w:rsidR="00B26830" w:rsidRPr="00B3207F">
        <w:rPr>
          <w:rFonts w:ascii="Times New Roman" w:hAnsi="Times New Roman"/>
          <w:i/>
        </w:rPr>
        <w:t>semi-vacant and used by squatters, mostly on a seasonal basis, with little occupation during the winter”,</w:t>
      </w:r>
      <w:r w:rsidR="00B26830" w:rsidRPr="00B3207F">
        <w:rPr>
          <w:rFonts w:ascii="Times New Roman" w:hAnsi="Times New Roman"/>
        </w:rPr>
        <w:t xml:space="preserve"> with caravans and </w:t>
      </w:r>
      <w:r w:rsidR="00B26830" w:rsidRPr="00B3207F">
        <w:rPr>
          <w:rFonts w:ascii="Times New Roman" w:hAnsi="Times New Roman"/>
          <w:i/>
        </w:rPr>
        <w:t>“temporary structures”</w:t>
      </w:r>
      <w:r w:rsidR="00B26830" w:rsidRPr="00B3207F">
        <w:rPr>
          <w:rFonts w:ascii="Times New Roman" w:hAnsi="Times New Roman"/>
        </w:rPr>
        <w:t xml:space="preserve"> located on the property that were “</w:t>
      </w:r>
      <w:r w:rsidR="00B26830" w:rsidRPr="00B3207F">
        <w:rPr>
          <w:rFonts w:ascii="Times New Roman" w:hAnsi="Times New Roman"/>
          <w:i/>
        </w:rPr>
        <w:t>made of tarpaulin, timber, ropes and wooden pallets”</w:t>
      </w:r>
      <w:r w:rsidR="00B26830" w:rsidRPr="00B3207F">
        <w:rPr>
          <w:rFonts w:ascii="Times New Roman" w:hAnsi="Times New Roman"/>
        </w:rPr>
        <w:t xml:space="preserve"> and which could be “</w:t>
      </w:r>
      <w:r w:rsidR="00B26830" w:rsidRPr="00B3207F">
        <w:rPr>
          <w:rFonts w:ascii="Times New Roman" w:hAnsi="Times New Roman"/>
          <w:i/>
        </w:rPr>
        <w:t>quickly and easily dismantled”</w:t>
      </w:r>
      <w:r w:rsidR="00B26830" w:rsidRPr="00B3207F">
        <w:rPr>
          <w:rFonts w:ascii="Times New Roman" w:hAnsi="Times New Roman"/>
        </w:rPr>
        <w:t>. This is consistent with the witness statement of Daniel Murphy (</w:t>
      </w:r>
      <w:r w:rsidR="005010B8" w:rsidRPr="00B3207F">
        <w:rPr>
          <w:rFonts w:ascii="Times New Roman" w:hAnsi="Times New Roman"/>
        </w:rPr>
        <w:t xml:space="preserve">see </w:t>
      </w:r>
      <w:r w:rsidR="004E5DA0">
        <w:rPr>
          <w:rFonts w:ascii="Times New Roman" w:hAnsi="Times New Roman"/>
        </w:rPr>
        <w:t>A</w:t>
      </w:r>
      <w:r w:rsidR="005010B8" w:rsidRPr="00B3207F">
        <w:rPr>
          <w:rFonts w:ascii="Times New Roman" w:hAnsi="Times New Roman"/>
        </w:rPr>
        <w:t>ppendix</w:t>
      </w:r>
      <w:r w:rsidR="00B26830" w:rsidRPr="00B3207F">
        <w:rPr>
          <w:rFonts w:ascii="Times New Roman" w:hAnsi="Times New Roman"/>
        </w:rPr>
        <w:t>), a Heath Ranger Supervisor</w:t>
      </w:r>
      <w:r w:rsidR="005010B8" w:rsidRPr="00B3207F">
        <w:rPr>
          <w:rFonts w:ascii="Times New Roman" w:hAnsi="Times New Roman"/>
        </w:rPr>
        <w:t xml:space="preserve"> for more than thirty years</w:t>
      </w:r>
      <w:r w:rsidR="00B26830" w:rsidRPr="00B3207F">
        <w:rPr>
          <w:rFonts w:ascii="Times New Roman" w:hAnsi="Times New Roman"/>
        </w:rPr>
        <w:t xml:space="preserve">, who describes having observed a caravan and temporary shack-like structures on the Site in the 2000s </w:t>
      </w:r>
      <w:r w:rsidR="005010B8" w:rsidRPr="00B3207F">
        <w:rPr>
          <w:rFonts w:ascii="Times New Roman" w:hAnsi="Times New Roman"/>
        </w:rPr>
        <w:t xml:space="preserve">at various points in time </w:t>
      </w:r>
      <w:r w:rsidR="00B26830" w:rsidRPr="00B3207F">
        <w:rPr>
          <w:rFonts w:ascii="Times New Roman" w:hAnsi="Times New Roman"/>
        </w:rPr>
        <w:t xml:space="preserve">but never having observed </w:t>
      </w:r>
      <w:r w:rsidR="00B26830" w:rsidRPr="00B3207F">
        <w:rPr>
          <w:rFonts w:ascii="Times New Roman" w:hAnsi="Times New Roman"/>
          <w:i/>
        </w:rPr>
        <w:t>“any</w:t>
      </w:r>
      <w:r w:rsidR="00B26830" w:rsidRPr="00B3207F">
        <w:rPr>
          <w:rFonts w:ascii="Times New Roman" w:hAnsi="Times New Roman"/>
          <w:i/>
          <w:color w:val="000000"/>
        </w:rPr>
        <w:t xml:space="preserve"> permanent structures on the South site prior to the installation of the new fence and the new dwelling house/structure”.</w:t>
      </w:r>
      <w:r w:rsidR="005F7588" w:rsidRPr="00B3207F">
        <w:rPr>
          <w:rFonts w:ascii="Times New Roman" w:hAnsi="Times New Roman"/>
          <w:color w:val="000000"/>
        </w:rPr>
        <w:t xml:space="preserve"> </w:t>
      </w:r>
    </w:p>
    <w:p w:rsidR="00E62F3C" w:rsidRPr="00B3207F" w:rsidRDefault="00E62F3C" w:rsidP="00E62F3C">
      <w:pPr>
        <w:pStyle w:val="ListParagraph"/>
        <w:spacing w:line="360" w:lineRule="auto"/>
        <w:rPr>
          <w:rFonts w:ascii="Times New Roman" w:hAnsi="Times New Roman"/>
        </w:rPr>
      </w:pPr>
    </w:p>
    <w:p w:rsidR="002579F0" w:rsidRPr="00B3207F" w:rsidRDefault="002579F0" w:rsidP="002579F0">
      <w:pPr>
        <w:pStyle w:val="ListParagraph"/>
        <w:numPr>
          <w:ilvl w:val="0"/>
          <w:numId w:val="1"/>
        </w:numPr>
        <w:spacing w:line="360" w:lineRule="auto"/>
        <w:rPr>
          <w:rFonts w:ascii="Times New Roman" w:hAnsi="Times New Roman"/>
        </w:rPr>
      </w:pPr>
      <w:r w:rsidRPr="00B3207F">
        <w:rPr>
          <w:rFonts w:ascii="Times New Roman" w:hAnsi="Times New Roman"/>
          <w:color w:val="000000"/>
        </w:rPr>
        <w:t>The City considers that the temporary shacks seen on the Site at various points from the mid-2000s onwards ought not, as a matter of law, to be regarded as ‘buildings’ within the definition at s. 336(1) of the TCPA 1990, which extends the term ‘building’ to include any ‘erection’ or ‘structure’. The City’s view is that, having</w:t>
      </w:r>
      <w:r w:rsidRPr="00B3207F">
        <w:rPr>
          <w:rFonts w:ascii="Times New Roman" w:hAnsi="Times New Roman"/>
        </w:rPr>
        <w:t xml:space="preserve"> regard to the size, permanence and degree of physical attachment to the ground of the shacks</w:t>
      </w:r>
      <w:r w:rsidR="009D2C4C">
        <w:rPr>
          <w:rFonts w:ascii="Times New Roman" w:hAnsi="Times New Roman"/>
        </w:rPr>
        <w:t xml:space="preserve"> </w:t>
      </w:r>
      <w:r w:rsidRPr="00B3207F">
        <w:rPr>
          <w:rFonts w:ascii="Times New Roman" w:hAnsi="Times New Roman"/>
        </w:rPr>
        <w:t xml:space="preserve">(see </w:t>
      </w:r>
      <w:proofErr w:type="spellStart"/>
      <w:r w:rsidRPr="00B3207F">
        <w:rPr>
          <w:rFonts w:ascii="Times New Roman" w:hAnsi="Times New Roman"/>
          <w:bCs/>
          <w:i/>
        </w:rPr>
        <w:t>Skerritts</w:t>
      </w:r>
      <w:proofErr w:type="spellEnd"/>
      <w:r w:rsidRPr="00B3207F">
        <w:rPr>
          <w:rFonts w:ascii="Times New Roman" w:hAnsi="Times New Roman"/>
          <w:bCs/>
          <w:i/>
        </w:rPr>
        <w:t xml:space="preserve"> of Nottingham Ltd v Secretary of State for the Environment, Transport and the Regions (No.2)</w:t>
      </w:r>
      <w:r w:rsidRPr="00B3207F">
        <w:rPr>
          <w:rFonts w:ascii="Times New Roman" w:hAnsi="Times New Roman"/>
          <w:bCs/>
        </w:rPr>
        <w:t xml:space="preserve"> </w:t>
      </w:r>
      <w:r w:rsidRPr="00B3207F">
        <w:rPr>
          <w:rFonts w:ascii="Times New Roman" w:hAnsi="Times New Roman"/>
        </w:rPr>
        <w:t>[2000] 2 P.L.R. 102), they did not, as a matter of fact and degree, amount to ‘buildings’. The effect of this, in the City’s submission, is that the Appellant does not overcome hurdle (</w:t>
      </w:r>
      <w:proofErr w:type="spellStart"/>
      <w:r w:rsidRPr="00B3207F">
        <w:rPr>
          <w:rFonts w:ascii="Times New Roman" w:hAnsi="Times New Roman"/>
        </w:rPr>
        <w:t>i</w:t>
      </w:r>
      <w:proofErr w:type="spellEnd"/>
      <w:r w:rsidRPr="00B3207F">
        <w:rPr>
          <w:rFonts w:ascii="Times New Roman" w:hAnsi="Times New Roman"/>
        </w:rPr>
        <w:t xml:space="preserve">) in its ground (c) </w:t>
      </w:r>
      <w:r w:rsidR="00B23CE5" w:rsidRPr="00B3207F">
        <w:rPr>
          <w:rFonts w:ascii="Times New Roman" w:hAnsi="Times New Roman"/>
        </w:rPr>
        <w:t xml:space="preserve">appeal </w:t>
      </w:r>
      <w:r w:rsidRPr="00B3207F">
        <w:rPr>
          <w:rFonts w:ascii="Times New Roman" w:hAnsi="Times New Roman"/>
        </w:rPr>
        <w:t xml:space="preserve">and as such s. 55(2)(a) of the TCPA 1990 is of no relevance to these proceedings. </w:t>
      </w:r>
    </w:p>
    <w:p w:rsidR="002579F0" w:rsidRPr="00B3207F" w:rsidRDefault="002579F0" w:rsidP="00E62F3C">
      <w:pPr>
        <w:pStyle w:val="ListParagraph"/>
        <w:spacing w:line="360" w:lineRule="auto"/>
        <w:rPr>
          <w:rFonts w:ascii="Times New Roman" w:hAnsi="Times New Roman"/>
        </w:rPr>
      </w:pPr>
    </w:p>
    <w:p w:rsidR="00E62F3C" w:rsidRPr="00B3207F" w:rsidRDefault="00E62F3C" w:rsidP="002579F0">
      <w:pPr>
        <w:pStyle w:val="ListParagraph"/>
        <w:numPr>
          <w:ilvl w:val="0"/>
          <w:numId w:val="1"/>
        </w:numPr>
        <w:spacing w:line="360" w:lineRule="auto"/>
        <w:rPr>
          <w:rFonts w:ascii="Times New Roman" w:hAnsi="Times New Roman"/>
        </w:rPr>
      </w:pPr>
      <w:r w:rsidRPr="00B3207F">
        <w:rPr>
          <w:rFonts w:ascii="Times New Roman" w:hAnsi="Times New Roman"/>
        </w:rPr>
        <w:t xml:space="preserve">It should </w:t>
      </w:r>
      <w:r w:rsidR="00C65C8A">
        <w:rPr>
          <w:rFonts w:ascii="Times New Roman" w:hAnsi="Times New Roman"/>
        </w:rPr>
        <w:t xml:space="preserve">further </w:t>
      </w:r>
      <w:r w:rsidRPr="00B3207F">
        <w:rPr>
          <w:rFonts w:ascii="Times New Roman" w:hAnsi="Times New Roman"/>
        </w:rPr>
        <w:t xml:space="preserve">be noted that the City does not consider </w:t>
      </w:r>
      <w:proofErr w:type="spellStart"/>
      <w:r w:rsidRPr="00B3207F">
        <w:rPr>
          <w:rFonts w:ascii="Times New Roman" w:hAnsi="Times New Roman"/>
        </w:rPr>
        <w:t>Ms</w:t>
      </w:r>
      <w:proofErr w:type="spellEnd"/>
      <w:r w:rsidRPr="00B3207F">
        <w:rPr>
          <w:rFonts w:ascii="Times New Roman" w:hAnsi="Times New Roman"/>
        </w:rPr>
        <w:t xml:space="preserve"> Cox’s expert report to bolster the Appellant’s position in respect of this matter.  </w:t>
      </w:r>
      <w:proofErr w:type="spellStart"/>
      <w:r w:rsidRPr="00B3207F">
        <w:rPr>
          <w:rFonts w:ascii="Times New Roman" w:hAnsi="Times New Roman"/>
        </w:rPr>
        <w:t>Ms</w:t>
      </w:r>
      <w:proofErr w:type="spellEnd"/>
      <w:r w:rsidRPr="00B3207F">
        <w:rPr>
          <w:rFonts w:ascii="Times New Roman" w:hAnsi="Times New Roman"/>
        </w:rPr>
        <w:t xml:space="preserve"> Cox </w:t>
      </w:r>
      <w:r w:rsidR="002579F0" w:rsidRPr="00B3207F">
        <w:rPr>
          <w:rFonts w:ascii="Times New Roman" w:hAnsi="Times New Roman"/>
        </w:rPr>
        <w:t xml:space="preserve">describes a series of forms </w:t>
      </w:r>
      <w:r w:rsidR="00B23CE5" w:rsidRPr="00B3207F">
        <w:rPr>
          <w:rFonts w:ascii="Times New Roman" w:hAnsi="Times New Roman"/>
        </w:rPr>
        <w:t>viewed on aerial imagery of</w:t>
      </w:r>
      <w:r w:rsidR="002579F0" w:rsidRPr="00B3207F">
        <w:rPr>
          <w:rFonts w:ascii="Times New Roman" w:hAnsi="Times New Roman"/>
        </w:rPr>
        <w:t xml:space="preserve"> the Site as </w:t>
      </w:r>
      <w:r w:rsidR="002579F0" w:rsidRPr="00B3207F">
        <w:rPr>
          <w:rFonts w:ascii="Times New Roman" w:hAnsi="Times New Roman"/>
          <w:i/>
        </w:rPr>
        <w:t>“likely residential structures”</w:t>
      </w:r>
      <w:r w:rsidR="00B23CE5" w:rsidRPr="00B3207F">
        <w:rPr>
          <w:rFonts w:ascii="Times New Roman" w:hAnsi="Times New Roman"/>
          <w:i/>
        </w:rPr>
        <w:t>,</w:t>
      </w:r>
      <w:r w:rsidR="002579F0" w:rsidRPr="00B3207F">
        <w:rPr>
          <w:rFonts w:ascii="Times New Roman" w:hAnsi="Times New Roman"/>
        </w:rPr>
        <w:t xml:space="preserve"> and concludes that the </w:t>
      </w:r>
      <w:r w:rsidR="002579F0" w:rsidRPr="00B3207F">
        <w:rPr>
          <w:rFonts w:ascii="Times New Roman" w:hAnsi="Times New Roman"/>
          <w:i/>
        </w:rPr>
        <w:t xml:space="preserve">“same house structure, with a small </w:t>
      </w:r>
      <w:proofErr w:type="spellStart"/>
      <w:r w:rsidR="002579F0" w:rsidRPr="00B3207F">
        <w:rPr>
          <w:rFonts w:ascii="Times New Roman" w:hAnsi="Times New Roman"/>
          <w:i/>
        </w:rPr>
        <w:t>annexe</w:t>
      </w:r>
      <w:proofErr w:type="spellEnd"/>
      <w:r w:rsidR="002579F0" w:rsidRPr="00B3207F">
        <w:rPr>
          <w:rFonts w:ascii="Times New Roman" w:hAnsi="Times New Roman"/>
          <w:i/>
        </w:rPr>
        <w:t xml:space="preserve"> and sometimes a light extended cover”</w:t>
      </w:r>
      <w:r w:rsidR="002579F0" w:rsidRPr="00B3207F">
        <w:rPr>
          <w:rFonts w:ascii="Times New Roman" w:hAnsi="Times New Roman"/>
        </w:rPr>
        <w:t xml:space="preserve"> was present on the site since 2006. There is no basis for her conclusion that any of the forms viewed via aerial imagery were ‘residential’ or ‘house structures’. Further, aerial imagery </w:t>
      </w:r>
      <w:r w:rsidR="00B23CE5" w:rsidRPr="00B3207F">
        <w:rPr>
          <w:rFonts w:ascii="Times New Roman" w:hAnsi="Times New Roman"/>
        </w:rPr>
        <w:t xml:space="preserve">taken </w:t>
      </w:r>
      <w:r w:rsidR="002579F0" w:rsidRPr="00B3207F">
        <w:rPr>
          <w:rFonts w:ascii="Times New Roman" w:hAnsi="Times New Roman"/>
        </w:rPr>
        <w:t xml:space="preserve">at intermittent </w:t>
      </w:r>
      <w:r w:rsidR="00B23CE5" w:rsidRPr="00B3207F">
        <w:rPr>
          <w:rFonts w:ascii="Times New Roman" w:hAnsi="Times New Roman"/>
        </w:rPr>
        <w:t>snapshots in time</w:t>
      </w:r>
      <w:r w:rsidR="002579F0" w:rsidRPr="00B3207F">
        <w:rPr>
          <w:rFonts w:ascii="Times New Roman" w:hAnsi="Times New Roman"/>
        </w:rPr>
        <w:t xml:space="preserve"> do</w:t>
      </w:r>
      <w:r w:rsidR="00B23CE5" w:rsidRPr="00B3207F">
        <w:rPr>
          <w:rFonts w:ascii="Times New Roman" w:hAnsi="Times New Roman"/>
        </w:rPr>
        <w:t>es</w:t>
      </w:r>
      <w:r w:rsidR="002579F0" w:rsidRPr="00B3207F">
        <w:rPr>
          <w:rFonts w:ascii="Times New Roman" w:hAnsi="Times New Roman"/>
        </w:rPr>
        <w:t xml:space="preserve"> not assist in determining the nature </w:t>
      </w:r>
      <w:r w:rsidR="00B23CE5" w:rsidRPr="00B3207F">
        <w:rPr>
          <w:rFonts w:ascii="Times New Roman" w:hAnsi="Times New Roman"/>
        </w:rPr>
        <w:t xml:space="preserve">of any </w:t>
      </w:r>
      <w:r w:rsidR="00246C21">
        <w:rPr>
          <w:rFonts w:ascii="Times New Roman" w:hAnsi="Times New Roman"/>
        </w:rPr>
        <w:t xml:space="preserve">forms seen </w:t>
      </w:r>
      <w:r w:rsidR="00B23CE5" w:rsidRPr="00B3207F">
        <w:rPr>
          <w:rFonts w:ascii="Times New Roman" w:hAnsi="Times New Roman"/>
        </w:rPr>
        <w:t xml:space="preserve">on the Site nor their permanence </w:t>
      </w:r>
      <w:r w:rsidR="002579F0" w:rsidRPr="00B3207F">
        <w:rPr>
          <w:rFonts w:ascii="Times New Roman" w:hAnsi="Times New Roman"/>
        </w:rPr>
        <w:t xml:space="preserve">or physical attachment to the ground. Further, the City considers that the aerial imagery produced by </w:t>
      </w:r>
      <w:proofErr w:type="spellStart"/>
      <w:r w:rsidR="002579F0" w:rsidRPr="00B3207F">
        <w:rPr>
          <w:rFonts w:ascii="Times New Roman" w:hAnsi="Times New Roman"/>
        </w:rPr>
        <w:t>Ms</w:t>
      </w:r>
      <w:proofErr w:type="spellEnd"/>
      <w:r w:rsidR="002579F0" w:rsidRPr="00B3207F">
        <w:rPr>
          <w:rFonts w:ascii="Times New Roman" w:hAnsi="Times New Roman"/>
        </w:rPr>
        <w:t xml:space="preserve"> Cox, and particular</w:t>
      </w:r>
      <w:r w:rsidR="00B23CE5" w:rsidRPr="00B3207F">
        <w:rPr>
          <w:rFonts w:ascii="Times New Roman" w:hAnsi="Times New Roman"/>
        </w:rPr>
        <w:t>ly the variation in number, size</w:t>
      </w:r>
      <w:r w:rsidR="002579F0" w:rsidRPr="00B3207F">
        <w:rPr>
          <w:rFonts w:ascii="Times New Roman" w:hAnsi="Times New Roman"/>
        </w:rPr>
        <w:t xml:space="preserve"> and location of the forms seen in the photographs over time rather reinforces </w:t>
      </w:r>
      <w:r w:rsidR="00C65C8A">
        <w:rPr>
          <w:rFonts w:ascii="Times New Roman" w:hAnsi="Times New Roman"/>
        </w:rPr>
        <w:t xml:space="preserve">rather than diminishes </w:t>
      </w:r>
      <w:r w:rsidR="002579F0" w:rsidRPr="00B3207F">
        <w:rPr>
          <w:rFonts w:ascii="Times New Roman" w:hAnsi="Times New Roman"/>
        </w:rPr>
        <w:t>the City’s position that the Site was used on a temporary basis by itinerant occupants</w:t>
      </w:r>
      <w:r w:rsidR="007A247E">
        <w:rPr>
          <w:rFonts w:ascii="Times New Roman" w:hAnsi="Times New Roman"/>
        </w:rPr>
        <w:t xml:space="preserve"> accommodated in caravans and/or temporary shacks</w:t>
      </w:r>
      <w:r w:rsidR="002579F0" w:rsidRPr="00B3207F">
        <w:rPr>
          <w:rFonts w:ascii="Times New Roman" w:hAnsi="Times New Roman"/>
        </w:rPr>
        <w:t xml:space="preserve">. </w:t>
      </w:r>
    </w:p>
    <w:p w:rsidR="002579F0" w:rsidRPr="00B3207F" w:rsidRDefault="002579F0" w:rsidP="002579F0">
      <w:pPr>
        <w:spacing w:line="360" w:lineRule="auto"/>
        <w:rPr>
          <w:rFonts w:ascii="Times New Roman" w:hAnsi="Times New Roman"/>
        </w:rPr>
      </w:pPr>
    </w:p>
    <w:p w:rsidR="002579F0" w:rsidRPr="00B3207F" w:rsidRDefault="002579F0" w:rsidP="002579F0">
      <w:pPr>
        <w:spacing w:line="360" w:lineRule="auto"/>
        <w:rPr>
          <w:rFonts w:ascii="Times New Roman" w:hAnsi="Times New Roman"/>
          <w:i/>
        </w:rPr>
      </w:pPr>
      <w:r w:rsidRPr="00B3207F">
        <w:rPr>
          <w:rFonts w:ascii="Times New Roman" w:hAnsi="Times New Roman"/>
          <w:i/>
        </w:rPr>
        <w:t>(ii) Did the Appellant carry out works “for the maintenance, improvement or other alteration of any building” that only affected the interior and/or did not “materially affect the external appearance of the building”?</w:t>
      </w:r>
    </w:p>
    <w:p w:rsidR="005010B8" w:rsidRPr="00B3207F" w:rsidRDefault="005010B8" w:rsidP="002579F0">
      <w:pPr>
        <w:spacing w:line="360" w:lineRule="auto"/>
        <w:ind w:left="360"/>
        <w:rPr>
          <w:rFonts w:ascii="Times New Roman" w:hAnsi="Times New Roman"/>
        </w:rPr>
      </w:pPr>
    </w:p>
    <w:p w:rsidR="002579F0" w:rsidRPr="00B3207F" w:rsidRDefault="002579F0" w:rsidP="009C7E56">
      <w:pPr>
        <w:pStyle w:val="ListParagraph"/>
        <w:numPr>
          <w:ilvl w:val="0"/>
          <w:numId w:val="1"/>
        </w:numPr>
        <w:spacing w:line="360" w:lineRule="auto"/>
        <w:jc w:val="both"/>
        <w:rPr>
          <w:rFonts w:ascii="Times New Roman" w:hAnsi="Times New Roman"/>
        </w:rPr>
      </w:pPr>
      <w:r w:rsidRPr="00B3207F">
        <w:rPr>
          <w:rFonts w:ascii="Times New Roman" w:hAnsi="Times New Roman"/>
        </w:rPr>
        <w:t xml:space="preserve">In light of the conclusion that the City invites the Inspector to make with regard </w:t>
      </w:r>
      <w:r w:rsidR="001A4D10" w:rsidRPr="00B3207F">
        <w:rPr>
          <w:rFonts w:ascii="Times New Roman" w:hAnsi="Times New Roman"/>
        </w:rPr>
        <w:t>to the absence of any building on the Site prior to 2017,</w:t>
      </w:r>
      <w:r w:rsidRPr="00B3207F">
        <w:rPr>
          <w:rFonts w:ascii="Times New Roman" w:hAnsi="Times New Roman"/>
        </w:rPr>
        <w:t xml:space="preserve"> the Appellant’s claim that the works carried out were solely “refurbishment” of a pre-existing building </w:t>
      </w:r>
      <w:proofErr w:type="gramStart"/>
      <w:r w:rsidR="001A4D10" w:rsidRPr="00B3207F">
        <w:rPr>
          <w:rFonts w:ascii="Times New Roman" w:hAnsi="Times New Roman"/>
        </w:rPr>
        <w:t>falls</w:t>
      </w:r>
      <w:proofErr w:type="gramEnd"/>
      <w:r w:rsidR="001A4D10" w:rsidRPr="00B3207F">
        <w:rPr>
          <w:rFonts w:ascii="Times New Roman" w:hAnsi="Times New Roman"/>
        </w:rPr>
        <w:t xml:space="preserve"> away. </w:t>
      </w:r>
    </w:p>
    <w:p w:rsidR="001A4D10" w:rsidRPr="00B3207F" w:rsidRDefault="001A4D10" w:rsidP="009C7E56">
      <w:pPr>
        <w:pStyle w:val="ListParagraph"/>
        <w:numPr>
          <w:ilvl w:val="0"/>
          <w:numId w:val="1"/>
        </w:numPr>
        <w:spacing w:line="360" w:lineRule="auto"/>
        <w:jc w:val="both"/>
        <w:rPr>
          <w:rFonts w:ascii="Times New Roman" w:hAnsi="Times New Roman"/>
        </w:rPr>
      </w:pPr>
      <w:r w:rsidRPr="00B3207F">
        <w:rPr>
          <w:rFonts w:ascii="Times New Roman" w:hAnsi="Times New Roman"/>
        </w:rPr>
        <w:t xml:space="preserve">However, the City wishes to make the following points in respect of the works in fact carried out by the Appellant </w:t>
      </w:r>
      <w:proofErr w:type="gramStart"/>
      <w:r w:rsidRPr="00B3207F">
        <w:rPr>
          <w:rFonts w:ascii="Times New Roman" w:hAnsi="Times New Roman"/>
        </w:rPr>
        <w:t>in the event that</w:t>
      </w:r>
      <w:proofErr w:type="gramEnd"/>
      <w:r w:rsidRPr="00B3207F">
        <w:rPr>
          <w:rFonts w:ascii="Times New Roman" w:hAnsi="Times New Roman"/>
        </w:rPr>
        <w:t xml:space="preserve"> it is found (contrary to the City’s position) that there was some form of pre-existing building on the Site. </w:t>
      </w:r>
    </w:p>
    <w:p w:rsidR="009C7E56" w:rsidRPr="00B3207F" w:rsidRDefault="009C7E56" w:rsidP="009C7E56">
      <w:pPr>
        <w:pStyle w:val="ListParagraph"/>
        <w:spacing w:line="360" w:lineRule="auto"/>
        <w:ind w:left="851"/>
        <w:jc w:val="both"/>
        <w:rPr>
          <w:rFonts w:ascii="Times New Roman" w:hAnsi="Times New Roman"/>
        </w:rPr>
      </w:pPr>
    </w:p>
    <w:p w:rsidR="001A4D10" w:rsidRPr="00B3207F" w:rsidRDefault="009C7E56" w:rsidP="009C7E56">
      <w:pPr>
        <w:pStyle w:val="ListParagraph"/>
        <w:numPr>
          <w:ilvl w:val="0"/>
          <w:numId w:val="1"/>
        </w:numPr>
        <w:spacing w:line="360" w:lineRule="auto"/>
        <w:jc w:val="both"/>
        <w:rPr>
          <w:rFonts w:ascii="Times New Roman" w:hAnsi="Times New Roman"/>
        </w:rPr>
      </w:pPr>
      <w:r w:rsidRPr="00B3207F">
        <w:rPr>
          <w:rFonts w:ascii="Times New Roman" w:hAnsi="Times New Roman"/>
        </w:rPr>
        <w:t xml:space="preserve">First, </w:t>
      </w:r>
      <w:r w:rsidR="001A4D10" w:rsidRPr="00B3207F">
        <w:rPr>
          <w:rFonts w:ascii="Times New Roman" w:hAnsi="Times New Roman"/>
        </w:rPr>
        <w:t>the City does not consider that it can sensibly be suggested that the dwelling house constructed by the Appellant amounts to “maintenance, improvement or other alteration” of any pre-existing sh</w:t>
      </w:r>
      <w:r w:rsidR="007E1C93" w:rsidRPr="00B3207F">
        <w:rPr>
          <w:rFonts w:ascii="Times New Roman" w:hAnsi="Times New Roman"/>
        </w:rPr>
        <w:t xml:space="preserve">ack present on the Site. This is demonstrated </w:t>
      </w:r>
      <w:r w:rsidR="008F0C85" w:rsidRPr="00B3207F">
        <w:rPr>
          <w:rFonts w:ascii="Times New Roman" w:hAnsi="Times New Roman"/>
        </w:rPr>
        <w:t>by</w:t>
      </w:r>
      <w:r w:rsidR="007E1C93" w:rsidRPr="00B3207F">
        <w:rPr>
          <w:rFonts w:ascii="Times New Roman" w:hAnsi="Times New Roman"/>
        </w:rPr>
        <w:t xml:space="preserve"> a comparison of </w:t>
      </w:r>
      <w:r w:rsidR="001A4D10" w:rsidRPr="00B3207F">
        <w:rPr>
          <w:rFonts w:ascii="Times New Roman" w:hAnsi="Times New Roman"/>
        </w:rPr>
        <w:t xml:space="preserve">the photographs appended to the Statutory Declaration of </w:t>
      </w:r>
      <w:proofErr w:type="spellStart"/>
      <w:r w:rsidR="001A4D10" w:rsidRPr="00B3207F">
        <w:rPr>
          <w:rFonts w:ascii="Times New Roman" w:hAnsi="Times New Roman"/>
        </w:rPr>
        <w:t>Mr</w:t>
      </w:r>
      <w:proofErr w:type="spellEnd"/>
      <w:r w:rsidR="001A4D10" w:rsidRPr="00B3207F">
        <w:rPr>
          <w:rFonts w:ascii="Times New Roman" w:hAnsi="Times New Roman"/>
        </w:rPr>
        <w:t xml:space="preserve"> </w:t>
      </w:r>
      <w:proofErr w:type="spellStart"/>
      <w:r w:rsidR="001A4D10" w:rsidRPr="00B3207F">
        <w:rPr>
          <w:rFonts w:ascii="Times New Roman" w:hAnsi="Times New Roman"/>
        </w:rPr>
        <w:t>Litvoi</w:t>
      </w:r>
      <w:proofErr w:type="spellEnd"/>
      <w:r w:rsidR="001A4D10" w:rsidRPr="00B3207F">
        <w:rPr>
          <w:rFonts w:ascii="Times New Roman" w:hAnsi="Times New Roman"/>
        </w:rPr>
        <w:t xml:space="preserve"> of 31 March 2017 </w:t>
      </w:r>
      <w:r w:rsidR="00BB7611" w:rsidRPr="00B3207F">
        <w:rPr>
          <w:rFonts w:ascii="Times New Roman" w:hAnsi="Times New Roman"/>
        </w:rPr>
        <w:t xml:space="preserve">(see pages 7-8 in particular) </w:t>
      </w:r>
      <w:r w:rsidR="001A4D10" w:rsidRPr="00B3207F">
        <w:rPr>
          <w:rFonts w:ascii="Times New Roman" w:hAnsi="Times New Roman"/>
        </w:rPr>
        <w:t xml:space="preserve">with the dwelling-house as erected by </w:t>
      </w:r>
      <w:r w:rsidR="007E1C93" w:rsidRPr="00B3207F">
        <w:rPr>
          <w:rFonts w:ascii="Times New Roman" w:hAnsi="Times New Roman"/>
        </w:rPr>
        <w:t xml:space="preserve">the Appellant, as shown on photographs taken </w:t>
      </w:r>
      <w:r w:rsidR="008F0C85" w:rsidRPr="00B3207F">
        <w:rPr>
          <w:rFonts w:ascii="Times New Roman" w:hAnsi="Times New Roman"/>
        </w:rPr>
        <w:t xml:space="preserve">by the City’s officers </w:t>
      </w:r>
      <w:r w:rsidR="007E1C93" w:rsidRPr="00B3207F">
        <w:rPr>
          <w:rFonts w:ascii="Times New Roman" w:hAnsi="Times New Roman"/>
        </w:rPr>
        <w:t xml:space="preserve">in 2017 </w:t>
      </w:r>
      <w:r w:rsidR="008F0C85" w:rsidRPr="00B3207F">
        <w:rPr>
          <w:rFonts w:ascii="Times New Roman" w:hAnsi="Times New Roman"/>
        </w:rPr>
        <w:t>(</w:t>
      </w:r>
      <w:r w:rsidR="007E1C93" w:rsidRPr="00B3207F">
        <w:rPr>
          <w:rFonts w:ascii="Times New Roman" w:hAnsi="Times New Roman"/>
        </w:rPr>
        <w:t xml:space="preserve">appended to </w:t>
      </w:r>
      <w:proofErr w:type="spellStart"/>
      <w:r w:rsidR="007E1C93" w:rsidRPr="00B3207F">
        <w:rPr>
          <w:rFonts w:ascii="Times New Roman" w:hAnsi="Times New Roman"/>
        </w:rPr>
        <w:t>Mr</w:t>
      </w:r>
      <w:proofErr w:type="spellEnd"/>
      <w:r w:rsidR="007E1C93" w:rsidRPr="00B3207F">
        <w:rPr>
          <w:rFonts w:ascii="Times New Roman" w:hAnsi="Times New Roman"/>
        </w:rPr>
        <w:t xml:space="preserve"> Murphy’</w:t>
      </w:r>
      <w:r w:rsidR="00CB5989" w:rsidRPr="00B3207F">
        <w:rPr>
          <w:rFonts w:ascii="Times New Roman" w:hAnsi="Times New Roman"/>
        </w:rPr>
        <w:t xml:space="preserve">s witness statement), </w:t>
      </w:r>
      <w:r w:rsidR="007E1C93" w:rsidRPr="00B3207F">
        <w:rPr>
          <w:rFonts w:ascii="Times New Roman" w:hAnsi="Times New Roman"/>
        </w:rPr>
        <w:t>and as will no doubt be experienced by the Inspector on his or her site visit</w:t>
      </w:r>
      <w:r w:rsidR="001A4D10" w:rsidRPr="00B3207F">
        <w:rPr>
          <w:rFonts w:ascii="Times New Roman" w:hAnsi="Times New Roman"/>
        </w:rPr>
        <w:t xml:space="preserve">.  </w:t>
      </w:r>
      <w:r w:rsidR="008F0C85" w:rsidRPr="00B3207F">
        <w:rPr>
          <w:rFonts w:ascii="Times New Roman" w:hAnsi="Times New Roman"/>
        </w:rPr>
        <w:t>The contrast between the tumbled</w:t>
      </w:r>
      <w:r w:rsidR="00065D83" w:rsidRPr="00B3207F">
        <w:rPr>
          <w:rFonts w:ascii="Times New Roman" w:hAnsi="Times New Roman"/>
        </w:rPr>
        <w:t xml:space="preserve">own and temporary nature of </w:t>
      </w:r>
      <w:r w:rsidR="008F0C85" w:rsidRPr="00B3207F">
        <w:rPr>
          <w:rFonts w:ascii="Times New Roman" w:hAnsi="Times New Roman"/>
        </w:rPr>
        <w:t xml:space="preserve">shacks on the Site prior to 2017 and the </w:t>
      </w:r>
      <w:r w:rsidR="00475C58" w:rsidRPr="00B3207F">
        <w:rPr>
          <w:rFonts w:ascii="Times New Roman" w:hAnsi="Times New Roman"/>
        </w:rPr>
        <w:t xml:space="preserve">large, permanent, legibly house-like structure now on the Site </w:t>
      </w:r>
      <w:r w:rsidR="008F0C85" w:rsidRPr="00B3207F">
        <w:rPr>
          <w:rFonts w:ascii="Times New Roman" w:hAnsi="Times New Roman"/>
        </w:rPr>
        <w:t>is stark.</w:t>
      </w:r>
    </w:p>
    <w:p w:rsidR="00475C58" w:rsidRPr="00B3207F" w:rsidRDefault="00475C58" w:rsidP="00475C58">
      <w:pPr>
        <w:spacing w:line="360" w:lineRule="auto"/>
        <w:jc w:val="both"/>
        <w:rPr>
          <w:rFonts w:ascii="Times New Roman" w:hAnsi="Times New Roman"/>
        </w:rPr>
      </w:pPr>
    </w:p>
    <w:p w:rsidR="00475C58" w:rsidRPr="00B3207F" w:rsidRDefault="00475C58" w:rsidP="009C7E56">
      <w:pPr>
        <w:pStyle w:val="ListParagraph"/>
        <w:numPr>
          <w:ilvl w:val="0"/>
          <w:numId w:val="1"/>
        </w:numPr>
        <w:spacing w:line="360" w:lineRule="auto"/>
        <w:jc w:val="both"/>
        <w:rPr>
          <w:rFonts w:ascii="Times New Roman" w:hAnsi="Times New Roman"/>
        </w:rPr>
      </w:pPr>
      <w:proofErr w:type="gramStart"/>
      <w:r w:rsidRPr="00B3207F">
        <w:rPr>
          <w:rFonts w:ascii="Times New Roman" w:hAnsi="Times New Roman"/>
        </w:rPr>
        <w:t>With regard to</w:t>
      </w:r>
      <w:proofErr w:type="gramEnd"/>
      <w:r w:rsidRPr="00B3207F">
        <w:rPr>
          <w:rFonts w:ascii="Times New Roman" w:hAnsi="Times New Roman"/>
        </w:rPr>
        <w:t xml:space="preserve"> the question of whether such works materially affect the exterior of the </w:t>
      </w:r>
      <w:r w:rsidR="00CC0508">
        <w:rPr>
          <w:rFonts w:ascii="Times New Roman" w:hAnsi="Times New Roman"/>
        </w:rPr>
        <w:t>“</w:t>
      </w:r>
      <w:r w:rsidRPr="00B3207F">
        <w:rPr>
          <w:rFonts w:ascii="Times New Roman" w:hAnsi="Times New Roman"/>
        </w:rPr>
        <w:t>building</w:t>
      </w:r>
      <w:r w:rsidR="00CC0508">
        <w:rPr>
          <w:rFonts w:ascii="Times New Roman" w:hAnsi="Times New Roman"/>
        </w:rPr>
        <w:t>”</w:t>
      </w:r>
      <w:r w:rsidRPr="00B3207F">
        <w:rPr>
          <w:rFonts w:ascii="Times New Roman" w:hAnsi="Times New Roman"/>
        </w:rPr>
        <w:t xml:space="preserve">, the City would invite the Inspector to consider the </w:t>
      </w:r>
      <w:r w:rsidR="00AD59C3" w:rsidRPr="00B3207F">
        <w:rPr>
          <w:rFonts w:ascii="Times New Roman" w:hAnsi="Times New Roman"/>
        </w:rPr>
        <w:t xml:space="preserve">2017 </w:t>
      </w:r>
      <w:r w:rsidRPr="00B3207F">
        <w:rPr>
          <w:rFonts w:ascii="Times New Roman" w:hAnsi="Times New Roman"/>
        </w:rPr>
        <w:t xml:space="preserve">photographs appended to </w:t>
      </w:r>
      <w:proofErr w:type="spellStart"/>
      <w:r w:rsidRPr="00B3207F">
        <w:rPr>
          <w:rFonts w:ascii="Times New Roman" w:hAnsi="Times New Roman"/>
        </w:rPr>
        <w:t>Mr</w:t>
      </w:r>
      <w:proofErr w:type="spellEnd"/>
      <w:r w:rsidRPr="00B3207F">
        <w:rPr>
          <w:rFonts w:ascii="Times New Roman" w:hAnsi="Times New Roman"/>
        </w:rPr>
        <w:t xml:space="preserve"> Murphy’s witness statement, which highlight the visibility of the dwelling house from important public vantage points at the Vale of Health Pond. It is clear from these photographs that the </w:t>
      </w:r>
      <w:r w:rsidR="007D2900" w:rsidRPr="00B3207F">
        <w:rPr>
          <w:rFonts w:ascii="Times New Roman" w:hAnsi="Times New Roman"/>
        </w:rPr>
        <w:t xml:space="preserve">works have </w:t>
      </w:r>
      <w:r w:rsidR="00E71314" w:rsidRPr="00B3207F">
        <w:rPr>
          <w:rFonts w:ascii="Times New Roman" w:hAnsi="Times New Roman"/>
        </w:rPr>
        <w:t>“</w:t>
      </w:r>
      <w:r w:rsidR="007D2900" w:rsidRPr="00B3207F">
        <w:rPr>
          <w:rFonts w:ascii="Times New Roman" w:hAnsi="Times New Roman"/>
        </w:rPr>
        <w:t>materially affected</w:t>
      </w:r>
      <w:r w:rsidR="00E71314" w:rsidRPr="00B3207F">
        <w:rPr>
          <w:rFonts w:ascii="Times New Roman" w:hAnsi="Times New Roman"/>
        </w:rPr>
        <w:t>”</w:t>
      </w:r>
      <w:r w:rsidR="007D2900" w:rsidRPr="00B3207F">
        <w:rPr>
          <w:rFonts w:ascii="Times New Roman" w:hAnsi="Times New Roman"/>
        </w:rPr>
        <w:t xml:space="preserve"> the </w:t>
      </w:r>
      <w:r w:rsidR="004641F8" w:rsidRPr="00B3207F">
        <w:rPr>
          <w:rFonts w:ascii="Times New Roman" w:hAnsi="Times New Roman"/>
        </w:rPr>
        <w:t xml:space="preserve">building’s </w:t>
      </w:r>
      <w:r w:rsidR="007D2900" w:rsidRPr="00B3207F">
        <w:rPr>
          <w:rFonts w:ascii="Times New Roman" w:hAnsi="Times New Roman"/>
        </w:rPr>
        <w:t>exterior</w:t>
      </w:r>
      <w:r w:rsidR="004641F8" w:rsidRPr="00B3207F">
        <w:rPr>
          <w:rFonts w:ascii="Times New Roman" w:hAnsi="Times New Roman"/>
        </w:rPr>
        <w:t xml:space="preserve"> </w:t>
      </w:r>
      <w:r w:rsidR="007D2900" w:rsidRPr="00B3207F">
        <w:rPr>
          <w:rFonts w:ascii="Times New Roman" w:hAnsi="Times New Roman"/>
        </w:rPr>
        <w:t xml:space="preserve">– </w:t>
      </w:r>
      <w:r w:rsidR="00E71314" w:rsidRPr="00B3207F">
        <w:rPr>
          <w:rFonts w:ascii="Times New Roman" w:hAnsi="Times New Roman"/>
        </w:rPr>
        <w:t xml:space="preserve">in fact, </w:t>
      </w:r>
      <w:r w:rsidR="007D2900" w:rsidRPr="00B3207F">
        <w:rPr>
          <w:rFonts w:ascii="Times New Roman" w:hAnsi="Times New Roman"/>
        </w:rPr>
        <w:t xml:space="preserve">the </w:t>
      </w:r>
      <w:r w:rsidRPr="00B3207F">
        <w:rPr>
          <w:rFonts w:ascii="Times New Roman" w:hAnsi="Times New Roman"/>
        </w:rPr>
        <w:t>dwel</w:t>
      </w:r>
      <w:r w:rsidR="007D2900" w:rsidRPr="00B3207F">
        <w:rPr>
          <w:rFonts w:ascii="Times New Roman" w:hAnsi="Times New Roman"/>
        </w:rPr>
        <w:t xml:space="preserve">ling house is demonstrably new (for example, the timber is new and not aged). </w:t>
      </w:r>
      <w:r w:rsidR="00F77AD0">
        <w:rPr>
          <w:rFonts w:ascii="Times New Roman" w:hAnsi="Times New Roman"/>
        </w:rPr>
        <w:t xml:space="preserve">The City is extremely concerned by the unsightly impact of the development </w:t>
      </w:r>
      <w:r w:rsidR="00CC0508">
        <w:rPr>
          <w:rFonts w:ascii="Times New Roman" w:hAnsi="Times New Roman"/>
        </w:rPr>
        <w:t xml:space="preserve">(which is highly inappropriate in this sensitive location) </w:t>
      </w:r>
      <w:r w:rsidR="00F77AD0">
        <w:rPr>
          <w:rFonts w:ascii="Times New Roman" w:hAnsi="Times New Roman"/>
        </w:rPr>
        <w:t xml:space="preserve">on views across the Pond and on the </w:t>
      </w:r>
      <w:r w:rsidR="00DC38C9">
        <w:rPr>
          <w:rFonts w:ascii="Times New Roman" w:hAnsi="Times New Roman"/>
        </w:rPr>
        <w:t xml:space="preserve">openness of the </w:t>
      </w:r>
      <w:r w:rsidR="00F77AD0">
        <w:rPr>
          <w:rFonts w:ascii="Times New Roman" w:hAnsi="Times New Roman"/>
        </w:rPr>
        <w:t>Heath more widely.</w:t>
      </w:r>
    </w:p>
    <w:p w:rsidR="00475C58" w:rsidRPr="00B3207F" w:rsidRDefault="00475C58" w:rsidP="00475C58">
      <w:pPr>
        <w:spacing w:line="360" w:lineRule="auto"/>
        <w:jc w:val="both"/>
        <w:rPr>
          <w:rFonts w:ascii="Times New Roman" w:hAnsi="Times New Roman"/>
        </w:rPr>
      </w:pPr>
    </w:p>
    <w:p w:rsidR="002E5ECE" w:rsidRPr="00843FFA" w:rsidRDefault="00475C58" w:rsidP="002C0A96">
      <w:pPr>
        <w:pStyle w:val="ListParagraph"/>
        <w:numPr>
          <w:ilvl w:val="0"/>
          <w:numId w:val="1"/>
        </w:numPr>
        <w:spacing w:line="360" w:lineRule="auto"/>
        <w:jc w:val="both"/>
        <w:rPr>
          <w:rFonts w:ascii="Times New Roman" w:hAnsi="Times New Roman"/>
        </w:rPr>
      </w:pPr>
      <w:r w:rsidRPr="00B3207F">
        <w:rPr>
          <w:rFonts w:ascii="Times New Roman" w:hAnsi="Times New Roman"/>
        </w:rPr>
        <w:t xml:space="preserve">The City also wishes </w:t>
      </w:r>
      <w:r w:rsidR="00E71314" w:rsidRPr="00B3207F">
        <w:rPr>
          <w:rFonts w:ascii="Times New Roman" w:hAnsi="Times New Roman"/>
        </w:rPr>
        <w:t xml:space="preserve">the Inspector </w:t>
      </w:r>
      <w:r w:rsidR="002E5ECE" w:rsidRPr="00B3207F">
        <w:rPr>
          <w:rFonts w:ascii="Times New Roman" w:hAnsi="Times New Roman"/>
        </w:rPr>
        <w:t>(</w:t>
      </w:r>
      <w:r w:rsidR="00E71314" w:rsidRPr="00B3207F">
        <w:rPr>
          <w:rFonts w:ascii="Times New Roman" w:hAnsi="Times New Roman"/>
        </w:rPr>
        <w:t>and the Council</w:t>
      </w:r>
      <w:r w:rsidR="002E5ECE" w:rsidRPr="00B3207F">
        <w:rPr>
          <w:rFonts w:ascii="Times New Roman" w:hAnsi="Times New Roman"/>
        </w:rPr>
        <w:t>)</w:t>
      </w:r>
      <w:r w:rsidR="00E71314" w:rsidRPr="00B3207F">
        <w:rPr>
          <w:rFonts w:ascii="Times New Roman" w:hAnsi="Times New Roman"/>
        </w:rPr>
        <w:t xml:space="preserve"> to note that the Appellant has erected high fencing around the perimeter of the Site, which </w:t>
      </w:r>
      <w:r w:rsidR="002E5ECE" w:rsidRPr="00B3207F">
        <w:rPr>
          <w:rFonts w:ascii="Times New Roman" w:hAnsi="Times New Roman"/>
        </w:rPr>
        <w:t xml:space="preserve">the City considers </w:t>
      </w:r>
      <w:proofErr w:type="gramStart"/>
      <w:r w:rsidR="002E5ECE" w:rsidRPr="00B3207F">
        <w:rPr>
          <w:rFonts w:ascii="Times New Roman" w:hAnsi="Times New Roman"/>
        </w:rPr>
        <w:t xml:space="preserve">to </w:t>
      </w:r>
      <w:r w:rsidR="00E71314" w:rsidRPr="00B3207F">
        <w:rPr>
          <w:rFonts w:ascii="Times New Roman" w:hAnsi="Times New Roman"/>
        </w:rPr>
        <w:t>exceed</w:t>
      </w:r>
      <w:proofErr w:type="gramEnd"/>
      <w:r w:rsidR="00E71314" w:rsidRPr="00B3207F">
        <w:rPr>
          <w:rFonts w:ascii="Times New Roman" w:hAnsi="Times New Roman"/>
        </w:rPr>
        <w:t xml:space="preserve"> permitted development tolerances and which does not have the benefit of planning permission. The City is concerned by the height of the </w:t>
      </w:r>
      <w:r w:rsidR="002E5ECE" w:rsidRPr="00B3207F">
        <w:rPr>
          <w:rFonts w:ascii="Times New Roman" w:hAnsi="Times New Roman"/>
        </w:rPr>
        <w:t>fencing a</w:t>
      </w:r>
      <w:r w:rsidR="00DC38C9">
        <w:rPr>
          <w:rFonts w:ascii="Times New Roman" w:hAnsi="Times New Roman"/>
        </w:rPr>
        <w:t xml:space="preserve">nd its unsympathetic appearance and considers it to have an adverse impact on </w:t>
      </w:r>
      <w:r w:rsidR="00843FFA">
        <w:rPr>
          <w:rFonts w:ascii="Times New Roman" w:hAnsi="Times New Roman"/>
        </w:rPr>
        <w:t>views from the Heath and the experience of the Heath as an open natural space.</w:t>
      </w:r>
    </w:p>
    <w:p w:rsidR="00843FFA" w:rsidRDefault="00843FFA" w:rsidP="002C0A96">
      <w:pPr>
        <w:spacing w:line="360" w:lineRule="auto"/>
        <w:rPr>
          <w:rFonts w:ascii="Times New Roman" w:hAnsi="Times New Roman"/>
          <w:i/>
        </w:rPr>
      </w:pPr>
    </w:p>
    <w:p w:rsidR="0007435A" w:rsidRPr="00B3207F" w:rsidRDefault="00843FFA" w:rsidP="002C0A96">
      <w:pPr>
        <w:spacing w:line="360" w:lineRule="auto"/>
        <w:rPr>
          <w:rFonts w:ascii="Times New Roman" w:hAnsi="Times New Roman"/>
          <w:u w:val="single"/>
        </w:rPr>
      </w:pPr>
      <w:r>
        <w:rPr>
          <w:rFonts w:ascii="Times New Roman" w:hAnsi="Times New Roman"/>
          <w:u w:val="single"/>
        </w:rPr>
        <w:t xml:space="preserve">The </w:t>
      </w:r>
      <w:r w:rsidR="0007435A" w:rsidRPr="00B3207F">
        <w:rPr>
          <w:rFonts w:ascii="Times New Roman" w:hAnsi="Times New Roman"/>
          <w:u w:val="single"/>
        </w:rPr>
        <w:t>Ground (b) Appeal</w:t>
      </w:r>
    </w:p>
    <w:p w:rsidR="00E246B8" w:rsidRPr="00B3207F" w:rsidRDefault="00E246B8" w:rsidP="002C0A96">
      <w:pPr>
        <w:spacing w:line="360" w:lineRule="auto"/>
        <w:rPr>
          <w:rFonts w:ascii="Times New Roman" w:hAnsi="Times New Roman"/>
          <w:i/>
        </w:rPr>
      </w:pPr>
    </w:p>
    <w:p w:rsidR="0007435A" w:rsidRPr="00B3207F" w:rsidRDefault="00E246B8" w:rsidP="002C0A96">
      <w:pPr>
        <w:pStyle w:val="ListParagraph"/>
        <w:numPr>
          <w:ilvl w:val="0"/>
          <w:numId w:val="1"/>
        </w:numPr>
        <w:spacing w:line="360" w:lineRule="auto"/>
        <w:rPr>
          <w:rFonts w:ascii="Times New Roman" w:hAnsi="Times New Roman"/>
        </w:rPr>
      </w:pPr>
      <w:r w:rsidRPr="00B3207F">
        <w:rPr>
          <w:rFonts w:ascii="Times New Roman" w:hAnsi="Times New Roman"/>
        </w:rPr>
        <w:t>The matter</w:t>
      </w:r>
      <w:r w:rsidR="0007435A" w:rsidRPr="00B3207F">
        <w:rPr>
          <w:rFonts w:ascii="Times New Roman" w:hAnsi="Times New Roman"/>
        </w:rPr>
        <w:t xml:space="preserve"> alleged as constituting</w:t>
      </w:r>
      <w:r w:rsidRPr="00B3207F">
        <w:rPr>
          <w:rFonts w:ascii="Times New Roman" w:hAnsi="Times New Roman"/>
        </w:rPr>
        <w:t xml:space="preserve"> the breach of planning control, namely the construction of a one-</w:t>
      </w:r>
      <w:proofErr w:type="spellStart"/>
      <w:r w:rsidRPr="00B3207F">
        <w:rPr>
          <w:rFonts w:ascii="Times New Roman" w:hAnsi="Times New Roman"/>
        </w:rPr>
        <w:t>storey</w:t>
      </w:r>
      <w:proofErr w:type="spellEnd"/>
      <w:r w:rsidRPr="00B3207F">
        <w:rPr>
          <w:rFonts w:ascii="Times New Roman" w:hAnsi="Times New Roman"/>
        </w:rPr>
        <w:t xml:space="preserve"> dwelling house, has evidently occurred as a matter of fact.</w:t>
      </w:r>
    </w:p>
    <w:p w:rsidR="00E246B8" w:rsidRPr="00B3207F" w:rsidRDefault="00E246B8" w:rsidP="002C0A96">
      <w:pPr>
        <w:spacing w:line="360" w:lineRule="auto"/>
        <w:rPr>
          <w:rFonts w:ascii="Times New Roman" w:hAnsi="Times New Roman"/>
          <w:i/>
        </w:rPr>
      </w:pPr>
    </w:p>
    <w:p w:rsidR="00E246B8" w:rsidRPr="00B3207F" w:rsidRDefault="00E246B8" w:rsidP="002C0A96">
      <w:pPr>
        <w:spacing w:line="360" w:lineRule="auto"/>
        <w:rPr>
          <w:rFonts w:ascii="Times New Roman" w:hAnsi="Times New Roman"/>
          <w:u w:val="single"/>
        </w:rPr>
      </w:pPr>
      <w:r w:rsidRPr="00B3207F">
        <w:rPr>
          <w:rFonts w:ascii="Times New Roman" w:hAnsi="Times New Roman"/>
          <w:u w:val="single"/>
        </w:rPr>
        <w:t>The Ground (d) Appeal</w:t>
      </w:r>
    </w:p>
    <w:p w:rsidR="006D2037" w:rsidRPr="00B3207F" w:rsidRDefault="006D2037" w:rsidP="002C0A96">
      <w:pPr>
        <w:spacing w:line="360" w:lineRule="auto"/>
        <w:rPr>
          <w:rFonts w:ascii="Times New Roman" w:hAnsi="Times New Roman"/>
          <w:i/>
        </w:rPr>
      </w:pPr>
    </w:p>
    <w:p w:rsidR="00E246B8" w:rsidRPr="00B3207F" w:rsidRDefault="00E246B8" w:rsidP="002C0A96">
      <w:pPr>
        <w:pStyle w:val="ListParagraph"/>
        <w:numPr>
          <w:ilvl w:val="0"/>
          <w:numId w:val="1"/>
        </w:numPr>
        <w:spacing w:line="360" w:lineRule="auto"/>
        <w:rPr>
          <w:rFonts w:ascii="Times New Roman" w:hAnsi="Times New Roman"/>
        </w:rPr>
      </w:pPr>
      <w:r w:rsidRPr="00B3207F">
        <w:rPr>
          <w:rFonts w:ascii="Times New Roman" w:hAnsi="Times New Roman"/>
        </w:rPr>
        <w:t xml:space="preserve">The City does not accept that the development was immune from enforcement </w:t>
      </w:r>
      <w:r w:rsidR="006D2037" w:rsidRPr="00B3207F">
        <w:rPr>
          <w:rFonts w:ascii="Times New Roman" w:hAnsi="Times New Roman"/>
        </w:rPr>
        <w:t>action</w:t>
      </w:r>
      <w:r w:rsidRPr="00B3207F">
        <w:rPr>
          <w:rFonts w:ascii="Times New Roman" w:hAnsi="Times New Roman"/>
        </w:rPr>
        <w:t xml:space="preserve"> by the time the notice was issued on 20 December 2017. The dwelling house was both initiated and substantially completed in 2017. For the reasons set out above, the City does not consider that there was any dwelling house or building on the Site prior to that date. </w:t>
      </w:r>
    </w:p>
    <w:p w:rsidR="009D320C" w:rsidRPr="00B3207F" w:rsidRDefault="009D320C" w:rsidP="002C0A96">
      <w:pPr>
        <w:spacing w:line="360" w:lineRule="auto"/>
        <w:ind w:left="360"/>
        <w:rPr>
          <w:rFonts w:ascii="Times New Roman" w:hAnsi="Times New Roman"/>
        </w:rPr>
      </w:pPr>
    </w:p>
    <w:p w:rsidR="009D320C" w:rsidRPr="00B3207F" w:rsidRDefault="009D320C" w:rsidP="002C0A96">
      <w:pPr>
        <w:spacing w:line="360" w:lineRule="auto"/>
        <w:rPr>
          <w:rFonts w:ascii="Times New Roman" w:hAnsi="Times New Roman"/>
          <w:b/>
          <w:u w:val="single"/>
        </w:rPr>
      </w:pPr>
      <w:r w:rsidRPr="00B3207F">
        <w:rPr>
          <w:rFonts w:ascii="Times New Roman" w:hAnsi="Times New Roman"/>
          <w:b/>
          <w:u w:val="single"/>
        </w:rPr>
        <w:t>Conclusion</w:t>
      </w:r>
    </w:p>
    <w:p w:rsidR="009D320C" w:rsidRPr="00B3207F" w:rsidRDefault="009D320C" w:rsidP="002C0A96">
      <w:pPr>
        <w:pStyle w:val="ListParagraph"/>
        <w:spacing w:line="360" w:lineRule="auto"/>
        <w:rPr>
          <w:rFonts w:ascii="Times New Roman" w:hAnsi="Times New Roman"/>
        </w:rPr>
      </w:pPr>
    </w:p>
    <w:p w:rsidR="00DD334F" w:rsidRPr="00B3207F" w:rsidRDefault="009D320C" w:rsidP="002C0A96">
      <w:pPr>
        <w:pStyle w:val="ListParagraph"/>
        <w:numPr>
          <w:ilvl w:val="0"/>
          <w:numId w:val="1"/>
        </w:numPr>
        <w:spacing w:line="360" w:lineRule="auto"/>
        <w:rPr>
          <w:rFonts w:ascii="Times New Roman" w:hAnsi="Times New Roman"/>
        </w:rPr>
      </w:pPr>
      <w:r w:rsidRPr="00B3207F">
        <w:rPr>
          <w:rFonts w:ascii="Times New Roman" w:hAnsi="Times New Roman"/>
        </w:rPr>
        <w:t xml:space="preserve">The City considers that this appeal should be </w:t>
      </w:r>
      <w:proofErr w:type="gramStart"/>
      <w:r w:rsidRPr="00B3207F">
        <w:rPr>
          <w:rFonts w:ascii="Times New Roman" w:hAnsi="Times New Roman"/>
        </w:rPr>
        <w:t>dismissed</w:t>
      </w:r>
      <w:proofErr w:type="gramEnd"/>
      <w:r w:rsidRPr="00B3207F">
        <w:rPr>
          <w:rFonts w:ascii="Times New Roman" w:hAnsi="Times New Roman"/>
        </w:rPr>
        <w:t xml:space="preserve"> and the enforcement notice upheld.</w:t>
      </w:r>
    </w:p>
    <w:p w:rsidR="00FA3DB2" w:rsidRPr="00B3207F" w:rsidRDefault="00FA3DB2" w:rsidP="002C0A96">
      <w:pPr>
        <w:spacing w:line="360" w:lineRule="auto"/>
        <w:rPr>
          <w:rFonts w:ascii="Times New Roman" w:hAnsi="Times New Roman"/>
        </w:rPr>
      </w:pPr>
    </w:p>
    <w:p w:rsidR="00FA3DB2" w:rsidRDefault="00767A97" w:rsidP="002C0A96">
      <w:pPr>
        <w:pStyle w:val="NoSpacing"/>
        <w:spacing w:line="360" w:lineRule="auto"/>
        <w:jc w:val="right"/>
        <w:rPr>
          <w:rFonts w:ascii="Times New Roman" w:hAnsi="Times New Roman"/>
        </w:rPr>
      </w:pPr>
      <w:r w:rsidRPr="00B3207F">
        <w:rPr>
          <w:rFonts w:ascii="Times New Roman" w:hAnsi="Times New Roman"/>
        </w:rPr>
        <w:t>19 July 2018</w:t>
      </w:r>
    </w:p>
    <w:p w:rsidR="00716905" w:rsidRDefault="00716905">
      <w:pPr>
        <w:rPr>
          <w:rFonts w:ascii="Times New Roman" w:hAnsi="Times New Roman"/>
        </w:rPr>
      </w:pPr>
      <w:r>
        <w:rPr>
          <w:rFonts w:ascii="Times New Roman" w:hAnsi="Times New Roman"/>
        </w:rPr>
        <w:br w:type="page"/>
      </w: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r w:rsidRPr="00744879">
        <w:rPr>
          <w:rFonts w:ascii="Times New Roman" w:hAnsi="Times New Roman"/>
        </w:rPr>
        <w:t>Appeal Reference: APP/X5210/C/18/3193167</w:t>
      </w:r>
    </w:p>
    <w:p w:rsidR="00744879" w:rsidRDefault="00744879" w:rsidP="00744879">
      <w:pPr>
        <w:pStyle w:val="NoSpacing"/>
        <w:spacing w:line="360" w:lineRule="auto"/>
        <w:jc w:val="center"/>
        <w:rPr>
          <w:rFonts w:ascii="Times New Roman" w:hAnsi="Times New Roman"/>
        </w:rPr>
      </w:pPr>
      <w:r w:rsidRPr="00744879">
        <w:rPr>
          <w:rFonts w:ascii="Times New Roman" w:hAnsi="Times New Roman"/>
        </w:rPr>
        <w:t>Submissions on behalf of the City of London Corporation</w:t>
      </w: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p>
    <w:p w:rsidR="00744879" w:rsidRDefault="00744879" w:rsidP="00744879">
      <w:pPr>
        <w:pStyle w:val="NoSpacing"/>
        <w:spacing w:line="360" w:lineRule="auto"/>
        <w:jc w:val="center"/>
        <w:rPr>
          <w:rFonts w:ascii="Times New Roman" w:hAnsi="Times New Roman"/>
        </w:rPr>
      </w:pPr>
      <w:r>
        <w:rPr>
          <w:rFonts w:ascii="Times New Roman" w:hAnsi="Times New Roman"/>
        </w:rPr>
        <w:t>__________</w:t>
      </w:r>
    </w:p>
    <w:p w:rsidR="00744879" w:rsidRDefault="00744879" w:rsidP="00744879">
      <w:pPr>
        <w:pStyle w:val="NoSpacing"/>
        <w:spacing w:line="360" w:lineRule="auto"/>
        <w:jc w:val="center"/>
        <w:rPr>
          <w:rFonts w:ascii="Times New Roman" w:hAnsi="Times New Roman"/>
        </w:rPr>
      </w:pPr>
    </w:p>
    <w:p w:rsidR="00716905" w:rsidRDefault="00744879" w:rsidP="00744879">
      <w:pPr>
        <w:pStyle w:val="NoSpacing"/>
        <w:spacing w:line="360" w:lineRule="auto"/>
        <w:jc w:val="center"/>
        <w:rPr>
          <w:rFonts w:ascii="Times New Roman" w:hAnsi="Times New Roman"/>
        </w:rPr>
      </w:pPr>
      <w:r>
        <w:rPr>
          <w:rFonts w:ascii="Times New Roman" w:hAnsi="Times New Roman"/>
        </w:rPr>
        <w:t>APPENDIX</w:t>
      </w:r>
    </w:p>
    <w:p w:rsidR="00744879" w:rsidRDefault="00744879" w:rsidP="00744879">
      <w:pPr>
        <w:pStyle w:val="NoSpacing"/>
        <w:spacing w:line="360" w:lineRule="auto"/>
        <w:jc w:val="center"/>
        <w:rPr>
          <w:rFonts w:ascii="Times New Roman" w:hAnsi="Times New Roman"/>
        </w:rPr>
      </w:pPr>
    </w:p>
    <w:p w:rsidR="00744879" w:rsidRPr="00B3207F" w:rsidRDefault="00744879" w:rsidP="00744879">
      <w:pPr>
        <w:pStyle w:val="NoSpacing"/>
        <w:spacing w:line="360" w:lineRule="auto"/>
        <w:jc w:val="center"/>
        <w:rPr>
          <w:rFonts w:ascii="Times New Roman" w:hAnsi="Times New Roman"/>
        </w:rPr>
      </w:pPr>
      <w:r>
        <w:rPr>
          <w:rFonts w:ascii="Times New Roman" w:hAnsi="Times New Roman"/>
        </w:rPr>
        <w:t>___________</w:t>
      </w:r>
    </w:p>
    <w:sectPr w:rsidR="00744879" w:rsidRPr="00B3207F" w:rsidSect="00076596">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951" w:rsidRDefault="00D14951" w:rsidP="009D320C">
      <w:r>
        <w:separator/>
      </w:r>
    </w:p>
  </w:endnote>
  <w:endnote w:type="continuationSeparator" w:id="0">
    <w:p w:rsidR="00D14951" w:rsidRDefault="00D14951" w:rsidP="009D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C58" w:rsidRDefault="00475C58" w:rsidP="00FA3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5C58" w:rsidRDefault="00475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C58" w:rsidRDefault="00475C58" w:rsidP="00FA3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130F">
      <w:rPr>
        <w:rStyle w:val="PageNumber"/>
        <w:noProof/>
      </w:rPr>
      <w:t>3</w:t>
    </w:r>
    <w:r>
      <w:rPr>
        <w:rStyle w:val="PageNumber"/>
      </w:rPr>
      <w:fldChar w:fldCharType="end"/>
    </w:r>
  </w:p>
  <w:p w:rsidR="00475C58" w:rsidRDefault="00475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951" w:rsidRDefault="00D14951" w:rsidP="009D320C">
      <w:r>
        <w:separator/>
      </w:r>
    </w:p>
  </w:footnote>
  <w:footnote w:type="continuationSeparator" w:id="0">
    <w:p w:rsidR="00D14951" w:rsidRDefault="00D14951" w:rsidP="009D3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E71C4"/>
    <w:multiLevelType w:val="hybridMultilevel"/>
    <w:tmpl w:val="81308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42E45"/>
    <w:multiLevelType w:val="hybridMultilevel"/>
    <w:tmpl w:val="98465F12"/>
    <w:lvl w:ilvl="0" w:tplc="B6021EF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0526F6A"/>
    <w:multiLevelType w:val="hybridMultilevel"/>
    <w:tmpl w:val="A370A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B3EF7"/>
    <w:multiLevelType w:val="hybridMultilevel"/>
    <w:tmpl w:val="88605E14"/>
    <w:lvl w:ilvl="0" w:tplc="7220996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43B37B7A"/>
    <w:multiLevelType w:val="hybridMultilevel"/>
    <w:tmpl w:val="FD763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0286E"/>
    <w:multiLevelType w:val="hybridMultilevel"/>
    <w:tmpl w:val="7C0C5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235"/>
    <w:rsid w:val="00003711"/>
    <w:rsid w:val="00044E52"/>
    <w:rsid w:val="00065D83"/>
    <w:rsid w:val="0007435A"/>
    <w:rsid w:val="00076596"/>
    <w:rsid w:val="000C2D89"/>
    <w:rsid w:val="000C6DBA"/>
    <w:rsid w:val="000E3A1F"/>
    <w:rsid w:val="00115468"/>
    <w:rsid w:val="001A4D10"/>
    <w:rsid w:val="001B4E3B"/>
    <w:rsid w:val="001D76F6"/>
    <w:rsid w:val="00205A49"/>
    <w:rsid w:val="00230D58"/>
    <w:rsid w:val="00246C21"/>
    <w:rsid w:val="002579F0"/>
    <w:rsid w:val="002B6C57"/>
    <w:rsid w:val="002C0A96"/>
    <w:rsid w:val="002E5ECE"/>
    <w:rsid w:val="00346F58"/>
    <w:rsid w:val="003643C3"/>
    <w:rsid w:val="003A5127"/>
    <w:rsid w:val="004641F8"/>
    <w:rsid w:val="004703BF"/>
    <w:rsid w:val="00475C58"/>
    <w:rsid w:val="004E2F48"/>
    <w:rsid w:val="004E5DA0"/>
    <w:rsid w:val="005010B8"/>
    <w:rsid w:val="005750DB"/>
    <w:rsid w:val="00590B51"/>
    <w:rsid w:val="005A5743"/>
    <w:rsid w:val="005D3B87"/>
    <w:rsid w:val="005E278C"/>
    <w:rsid w:val="005F7588"/>
    <w:rsid w:val="00642590"/>
    <w:rsid w:val="006511A3"/>
    <w:rsid w:val="006C74CA"/>
    <w:rsid w:val="006D2037"/>
    <w:rsid w:val="00716905"/>
    <w:rsid w:val="00720575"/>
    <w:rsid w:val="007258EF"/>
    <w:rsid w:val="00744879"/>
    <w:rsid w:val="00767A97"/>
    <w:rsid w:val="00782CE5"/>
    <w:rsid w:val="0078566E"/>
    <w:rsid w:val="007A247E"/>
    <w:rsid w:val="007B0D5F"/>
    <w:rsid w:val="007D2900"/>
    <w:rsid w:val="007E1C93"/>
    <w:rsid w:val="00843FFA"/>
    <w:rsid w:val="0085381E"/>
    <w:rsid w:val="008541BB"/>
    <w:rsid w:val="008964E6"/>
    <w:rsid w:val="008B2235"/>
    <w:rsid w:val="008E557D"/>
    <w:rsid w:val="008F0C85"/>
    <w:rsid w:val="00915006"/>
    <w:rsid w:val="00915EE4"/>
    <w:rsid w:val="00930B9B"/>
    <w:rsid w:val="009A3DA3"/>
    <w:rsid w:val="009C7E56"/>
    <w:rsid w:val="009D2C4C"/>
    <w:rsid w:val="009D320C"/>
    <w:rsid w:val="00AD130F"/>
    <w:rsid w:val="00AD59C3"/>
    <w:rsid w:val="00AE6CC5"/>
    <w:rsid w:val="00B227A9"/>
    <w:rsid w:val="00B23CE5"/>
    <w:rsid w:val="00B26830"/>
    <w:rsid w:val="00B26832"/>
    <w:rsid w:val="00B3207F"/>
    <w:rsid w:val="00B60AE2"/>
    <w:rsid w:val="00BB7611"/>
    <w:rsid w:val="00BE586F"/>
    <w:rsid w:val="00BF1090"/>
    <w:rsid w:val="00C049C0"/>
    <w:rsid w:val="00C65C8A"/>
    <w:rsid w:val="00C840B3"/>
    <w:rsid w:val="00CB5989"/>
    <w:rsid w:val="00CC0508"/>
    <w:rsid w:val="00D04C50"/>
    <w:rsid w:val="00D12087"/>
    <w:rsid w:val="00D14951"/>
    <w:rsid w:val="00D70E6D"/>
    <w:rsid w:val="00D86FA2"/>
    <w:rsid w:val="00DB0681"/>
    <w:rsid w:val="00DC38C9"/>
    <w:rsid w:val="00DD334F"/>
    <w:rsid w:val="00E246B8"/>
    <w:rsid w:val="00E62F3C"/>
    <w:rsid w:val="00E71314"/>
    <w:rsid w:val="00E73C94"/>
    <w:rsid w:val="00E83AE7"/>
    <w:rsid w:val="00EA5EA7"/>
    <w:rsid w:val="00EE518A"/>
    <w:rsid w:val="00F77AD0"/>
    <w:rsid w:val="00FA3DB2"/>
    <w:rsid w:val="00FE05B8"/>
    <w:rsid w:val="00FE6A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21B83"/>
  <w14:defaultImageDpi w14:val="300"/>
  <w15:docId w15:val="{6E31DA58-48FF-4BDD-AEF5-38494901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235"/>
    <w:rPr>
      <w:rFonts w:ascii="Cambria" w:eastAsia="MS Mincho"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235"/>
    <w:pPr>
      <w:ind w:left="720"/>
      <w:contextualSpacing/>
    </w:pPr>
  </w:style>
  <w:style w:type="paragraph" w:styleId="NormalWeb">
    <w:name w:val="Normal (Web)"/>
    <w:basedOn w:val="Normal"/>
    <w:uiPriority w:val="99"/>
    <w:unhideWhenUsed/>
    <w:rsid w:val="00DD334F"/>
    <w:pPr>
      <w:spacing w:before="100" w:beforeAutospacing="1" w:after="100" w:afterAutospacing="1"/>
    </w:pPr>
    <w:rPr>
      <w:rFonts w:ascii="Times New Roman" w:eastAsiaTheme="minorEastAsia" w:hAnsi="Times New Roman"/>
      <w:sz w:val="20"/>
      <w:szCs w:val="20"/>
      <w:lang w:val="en-GB"/>
    </w:rPr>
  </w:style>
  <w:style w:type="paragraph" w:styleId="Footer">
    <w:name w:val="footer"/>
    <w:basedOn w:val="Normal"/>
    <w:link w:val="FooterChar"/>
    <w:uiPriority w:val="99"/>
    <w:unhideWhenUsed/>
    <w:rsid w:val="009D320C"/>
    <w:pPr>
      <w:tabs>
        <w:tab w:val="center" w:pos="4320"/>
        <w:tab w:val="right" w:pos="8640"/>
      </w:tabs>
    </w:pPr>
  </w:style>
  <w:style w:type="character" w:customStyle="1" w:styleId="FooterChar">
    <w:name w:val="Footer Char"/>
    <w:basedOn w:val="DefaultParagraphFont"/>
    <w:link w:val="Footer"/>
    <w:uiPriority w:val="99"/>
    <w:rsid w:val="009D320C"/>
    <w:rPr>
      <w:rFonts w:ascii="Cambria" w:eastAsia="MS Mincho" w:hAnsi="Cambria" w:cs="Times New Roman"/>
      <w:lang w:val="en-US"/>
    </w:rPr>
  </w:style>
  <w:style w:type="character" w:styleId="PageNumber">
    <w:name w:val="page number"/>
    <w:basedOn w:val="DefaultParagraphFont"/>
    <w:uiPriority w:val="99"/>
    <w:semiHidden/>
    <w:unhideWhenUsed/>
    <w:rsid w:val="009D320C"/>
  </w:style>
  <w:style w:type="paragraph" w:styleId="NoSpacing">
    <w:name w:val="No Spacing"/>
    <w:uiPriority w:val="1"/>
    <w:qFormat/>
    <w:rsid w:val="00767A97"/>
    <w:rPr>
      <w:rFonts w:ascii="Cambria" w:eastAsia="MS Mincho" w:hAnsi="Cambria" w:cs="Times New Roman"/>
      <w:lang w:val="en-US"/>
    </w:rPr>
  </w:style>
  <w:style w:type="paragraph" w:styleId="BalloonText">
    <w:name w:val="Balloon Text"/>
    <w:basedOn w:val="Normal"/>
    <w:link w:val="BalloonTextChar"/>
    <w:uiPriority w:val="99"/>
    <w:semiHidden/>
    <w:unhideWhenUsed/>
    <w:rsid w:val="00B26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32"/>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E83AE7"/>
    <w:rPr>
      <w:sz w:val="16"/>
      <w:szCs w:val="16"/>
    </w:rPr>
  </w:style>
  <w:style w:type="paragraph" w:styleId="CommentText">
    <w:name w:val="annotation text"/>
    <w:basedOn w:val="Normal"/>
    <w:link w:val="CommentTextChar"/>
    <w:uiPriority w:val="99"/>
    <w:semiHidden/>
    <w:unhideWhenUsed/>
    <w:rsid w:val="00E83AE7"/>
    <w:rPr>
      <w:sz w:val="20"/>
      <w:szCs w:val="20"/>
    </w:rPr>
  </w:style>
  <w:style w:type="character" w:customStyle="1" w:styleId="CommentTextChar">
    <w:name w:val="Comment Text Char"/>
    <w:basedOn w:val="DefaultParagraphFont"/>
    <w:link w:val="CommentText"/>
    <w:uiPriority w:val="99"/>
    <w:semiHidden/>
    <w:rsid w:val="00E83AE7"/>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3AE7"/>
    <w:rPr>
      <w:b/>
      <w:bCs/>
    </w:rPr>
  </w:style>
  <w:style w:type="character" w:customStyle="1" w:styleId="CommentSubjectChar">
    <w:name w:val="Comment Subject Char"/>
    <w:basedOn w:val="CommentTextChar"/>
    <w:link w:val="CommentSubject"/>
    <w:uiPriority w:val="99"/>
    <w:semiHidden/>
    <w:rsid w:val="00E83AE7"/>
    <w:rPr>
      <w:rFonts w:ascii="Cambria" w:eastAsia="MS Mincho" w:hAnsi="Cambri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Daly</dc:creator>
  <cp:keywords/>
  <dc:description/>
  <cp:lastModifiedBy>McHugh, Karen</cp:lastModifiedBy>
  <cp:revision>11</cp:revision>
  <cp:lastPrinted>2018-07-19T09:45:00Z</cp:lastPrinted>
  <dcterms:created xsi:type="dcterms:W3CDTF">2018-07-19T09:43:00Z</dcterms:created>
  <dcterms:modified xsi:type="dcterms:W3CDTF">2018-07-19T14:10:00Z</dcterms:modified>
</cp:coreProperties>
</file>