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793F31">
        <w:rPr>
          <w:b/>
        </w:rPr>
        <w:t>Assignment and Sales – Leaseholder Services Officer</w:t>
      </w:r>
    </w:p>
    <w:p w:rsidR="007A6B99" w:rsidRDefault="007A6B99" w:rsidP="007A6B99">
      <w:pPr>
        <w:jc w:val="center"/>
        <w:rPr>
          <w:b/>
        </w:rPr>
      </w:pPr>
    </w:p>
    <w:p w:rsidR="00453122" w:rsidRDefault="007A6B99" w:rsidP="007A6B99">
      <w:pPr>
        <w:rPr>
          <w:rFonts w:cs="Arial"/>
          <w:b/>
        </w:rPr>
      </w:pPr>
      <w:r w:rsidRPr="003F119C">
        <w:rPr>
          <w:rFonts w:cs="Arial"/>
          <w:b/>
        </w:rPr>
        <w:t xml:space="preserve">This supplementary information </w:t>
      </w:r>
      <w:r w:rsidR="00BE1BA8" w:rsidRPr="003F119C">
        <w:rPr>
          <w:rFonts w:cs="Arial"/>
          <w:b/>
        </w:rPr>
        <w:t>for</w:t>
      </w:r>
      <w:r w:rsidR="00453122">
        <w:rPr>
          <w:rFonts w:cs="Arial"/>
          <w:b/>
        </w:rPr>
        <w:t xml:space="preserve"> </w:t>
      </w:r>
      <w:r w:rsidR="00793F31" w:rsidRPr="003F119C">
        <w:rPr>
          <w:rFonts w:cs="Arial"/>
          <w:b/>
        </w:rPr>
        <w:t>Assignment and Sales – Leaseholder Services Officer</w:t>
      </w:r>
      <w:r w:rsidR="00BE1BA8" w:rsidRPr="003F119C">
        <w:rPr>
          <w:rFonts w:cs="Arial"/>
          <w:b/>
        </w:rPr>
        <w:t xml:space="preserve"> </w:t>
      </w:r>
      <w:r w:rsidRPr="003F119C">
        <w:rPr>
          <w:rFonts w:cs="Arial"/>
          <w:b/>
        </w:rPr>
        <w:t>is for guidance and must be used in conjunction with the Job Capsule for Job Family</w:t>
      </w:r>
      <w:r w:rsidR="00793F31" w:rsidRPr="003F119C">
        <w:rPr>
          <w:rFonts w:cs="Arial"/>
          <w:b/>
        </w:rPr>
        <w:t xml:space="preserve"> Housing Management  </w:t>
      </w:r>
      <w:r w:rsidRPr="003F119C">
        <w:rPr>
          <w:rFonts w:cs="Arial"/>
          <w:b/>
        </w:rPr>
        <w:t xml:space="preserve"> </w:t>
      </w:r>
    </w:p>
    <w:p w:rsidR="00453122" w:rsidRDefault="007A6B99" w:rsidP="007A6B99">
      <w:pPr>
        <w:rPr>
          <w:rFonts w:cs="Arial"/>
          <w:b/>
        </w:rPr>
      </w:pPr>
      <w:r w:rsidRPr="003F119C">
        <w:rPr>
          <w:rFonts w:cs="Arial"/>
          <w:b/>
        </w:rPr>
        <w:t xml:space="preserve">Job </w:t>
      </w:r>
      <w:r w:rsidR="00453122">
        <w:rPr>
          <w:rFonts w:cs="Arial"/>
          <w:b/>
        </w:rPr>
        <w:t xml:space="preserve">Level: Level </w:t>
      </w:r>
      <w:r w:rsidR="00B467F0">
        <w:rPr>
          <w:rFonts w:cs="Arial"/>
          <w:b/>
        </w:rPr>
        <w:t xml:space="preserve">3 </w:t>
      </w:r>
      <w:r w:rsidR="00453122">
        <w:rPr>
          <w:rFonts w:cs="Arial"/>
          <w:b/>
        </w:rPr>
        <w:t>Zone</w:t>
      </w:r>
      <w:r w:rsidR="00B467F0">
        <w:rPr>
          <w:rFonts w:cs="Arial"/>
          <w:b/>
        </w:rPr>
        <w:t xml:space="preserve"> 1</w:t>
      </w:r>
      <w:r w:rsidRPr="003F119C">
        <w:rPr>
          <w:rFonts w:cs="Arial"/>
          <w:b/>
        </w:rPr>
        <w:t xml:space="preserve"> </w:t>
      </w:r>
    </w:p>
    <w:p w:rsidR="001362D5" w:rsidRPr="003F119C" w:rsidRDefault="00453122" w:rsidP="007A6B99">
      <w:pPr>
        <w:rPr>
          <w:rFonts w:cs="Arial"/>
          <w:b/>
        </w:rPr>
      </w:pPr>
      <w:r>
        <w:rPr>
          <w:rFonts w:cs="Arial"/>
          <w:b/>
        </w:rPr>
        <w:t>Camden Way Category: 3</w:t>
      </w:r>
    </w:p>
    <w:p w:rsidR="00453122" w:rsidRDefault="00453122" w:rsidP="00453122">
      <w:pPr>
        <w:rPr>
          <w:rFonts w:cs="Arial"/>
          <w:b/>
          <w:color w:val="FF0000"/>
          <w:szCs w:val="22"/>
        </w:rPr>
      </w:pPr>
    </w:p>
    <w:p w:rsidR="00453122" w:rsidRPr="0069405C" w:rsidRDefault="00453122" w:rsidP="00453122">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1362D5" w:rsidRPr="003F119C" w:rsidRDefault="001362D5" w:rsidP="007A6B99">
      <w:pPr>
        <w:rPr>
          <w:rFonts w:cs="Arial"/>
          <w:b/>
        </w:rPr>
      </w:pPr>
    </w:p>
    <w:p w:rsidR="00EB687D" w:rsidRPr="003F119C" w:rsidRDefault="00EB687D" w:rsidP="00EB687D">
      <w:pPr>
        <w:rPr>
          <w:rFonts w:cs="Arial"/>
          <w:b/>
        </w:rPr>
      </w:pPr>
      <w:r w:rsidRPr="003F119C">
        <w:rPr>
          <w:rFonts w:cs="Arial"/>
          <w:b/>
        </w:rPr>
        <w:t xml:space="preserve">Role </w:t>
      </w:r>
      <w:r w:rsidR="007A6B99" w:rsidRPr="003F119C">
        <w:rPr>
          <w:rFonts w:cs="Arial"/>
          <w:b/>
        </w:rPr>
        <w:t>Purpose</w:t>
      </w:r>
      <w:r w:rsidRPr="003F119C">
        <w:rPr>
          <w:rFonts w:cs="Arial"/>
          <w:b/>
        </w:rPr>
        <w:t>:</w:t>
      </w:r>
    </w:p>
    <w:p w:rsidR="00B467F0" w:rsidRDefault="00B467F0" w:rsidP="00EB687D">
      <w:pPr>
        <w:rPr>
          <w:rFonts w:cs="Arial"/>
        </w:rPr>
      </w:pPr>
    </w:p>
    <w:p w:rsidR="00BB2C98" w:rsidRDefault="002A4F5F" w:rsidP="00BB2C98">
      <w:pPr>
        <w:pStyle w:val="ListParagraph"/>
        <w:numPr>
          <w:ilvl w:val="0"/>
          <w:numId w:val="23"/>
        </w:numPr>
        <w:rPr>
          <w:szCs w:val="22"/>
        </w:rPr>
      </w:pPr>
      <w:r>
        <w:rPr>
          <w:szCs w:val="22"/>
        </w:rPr>
        <w:t xml:space="preserve">Provide advice to </w:t>
      </w:r>
      <w:r w:rsidR="00BB2C98">
        <w:rPr>
          <w:szCs w:val="22"/>
        </w:rPr>
        <w:t>tenants interested in purchasing their h</w:t>
      </w:r>
      <w:r w:rsidR="00B467F0" w:rsidRPr="00BB2C98">
        <w:rPr>
          <w:szCs w:val="22"/>
        </w:rPr>
        <w:t>ome</w:t>
      </w:r>
      <w:r w:rsidR="00BB2C98" w:rsidRPr="00BB2C98">
        <w:rPr>
          <w:szCs w:val="22"/>
        </w:rPr>
        <w:t xml:space="preserve"> under Right to buy and Social Homebuy terms</w:t>
      </w:r>
      <w:r w:rsidR="00B467F0" w:rsidRPr="00BB2C98">
        <w:rPr>
          <w:szCs w:val="22"/>
        </w:rPr>
        <w:t>.</w:t>
      </w:r>
    </w:p>
    <w:p w:rsidR="002A4F5F" w:rsidRDefault="002A4F5F" w:rsidP="002A4F5F">
      <w:pPr>
        <w:pStyle w:val="ListParagraph"/>
        <w:rPr>
          <w:szCs w:val="22"/>
        </w:rPr>
      </w:pPr>
    </w:p>
    <w:p w:rsidR="002A4F5F" w:rsidRPr="00BB2C98" w:rsidRDefault="002A4F5F" w:rsidP="00BB2C98">
      <w:pPr>
        <w:pStyle w:val="ListParagraph"/>
        <w:numPr>
          <w:ilvl w:val="0"/>
          <w:numId w:val="23"/>
        </w:numPr>
        <w:rPr>
          <w:szCs w:val="22"/>
        </w:rPr>
      </w:pPr>
      <w:r>
        <w:rPr>
          <w:szCs w:val="22"/>
        </w:rPr>
        <w:t xml:space="preserve">Process Right to Buy and Social Homebuy applications from application stage through to completion </w:t>
      </w:r>
    </w:p>
    <w:p w:rsidR="00BB2C98" w:rsidRDefault="00BB2C98" w:rsidP="00B467F0"/>
    <w:p w:rsidR="00BB2C98" w:rsidRPr="00BE3913" w:rsidRDefault="002A4F5F" w:rsidP="00BB2C98">
      <w:pPr>
        <w:pStyle w:val="ListParagraph"/>
        <w:numPr>
          <w:ilvl w:val="0"/>
          <w:numId w:val="23"/>
        </w:numPr>
        <w:rPr>
          <w:szCs w:val="22"/>
        </w:rPr>
      </w:pPr>
      <w:r w:rsidRPr="00BE3913">
        <w:rPr>
          <w:szCs w:val="22"/>
        </w:rPr>
        <w:t xml:space="preserve">Respond to </w:t>
      </w:r>
      <w:r w:rsidR="00BB2C98" w:rsidRPr="00BE3913">
        <w:rPr>
          <w:szCs w:val="22"/>
        </w:rPr>
        <w:t xml:space="preserve">leaseholders and their solicitor’s requiring management information when they are selling or Re-mortgaging their property. </w:t>
      </w:r>
    </w:p>
    <w:p w:rsidR="00BB2C98" w:rsidRPr="00BE3913" w:rsidRDefault="00BB2C98" w:rsidP="00BB2C98">
      <w:pPr>
        <w:pStyle w:val="ListParagraph"/>
        <w:rPr>
          <w:szCs w:val="22"/>
        </w:rPr>
      </w:pPr>
      <w:bookmarkStart w:id="0" w:name="_GoBack"/>
      <w:bookmarkEnd w:id="0"/>
    </w:p>
    <w:p w:rsidR="00BB2C98" w:rsidRPr="00BE3913" w:rsidRDefault="00BB2C98" w:rsidP="00BB2C98">
      <w:pPr>
        <w:pStyle w:val="ListParagraph"/>
        <w:numPr>
          <w:ilvl w:val="0"/>
          <w:numId w:val="23"/>
        </w:numPr>
        <w:rPr>
          <w:szCs w:val="22"/>
        </w:rPr>
      </w:pPr>
      <w:r w:rsidRPr="00BE3913">
        <w:rPr>
          <w:szCs w:val="22"/>
        </w:rPr>
        <w:t>Investigate and respond to complex queries regarding annual service charges and major works.</w:t>
      </w:r>
    </w:p>
    <w:p w:rsidR="002A4F5F" w:rsidRPr="00BE3913" w:rsidRDefault="002A4F5F" w:rsidP="002A4F5F">
      <w:pPr>
        <w:pStyle w:val="ListParagraph"/>
        <w:rPr>
          <w:szCs w:val="22"/>
        </w:rPr>
      </w:pPr>
    </w:p>
    <w:p w:rsidR="002A4F5F" w:rsidRPr="00BE3913" w:rsidRDefault="002A4F5F" w:rsidP="00BB2C98">
      <w:pPr>
        <w:pStyle w:val="ListParagraph"/>
        <w:numPr>
          <w:ilvl w:val="0"/>
          <w:numId w:val="23"/>
        </w:numPr>
        <w:rPr>
          <w:szCs w:val="22"/>
        </w:rPr>
      </w:pPr>
      <w:r w:rsidRPr="00BE3913">
        <w:rPr>
          <w:szCs w:val="22"/>
        </w:rPr>
        <w:t xml:space="preserve">Set up new leases and create Service Charge accounts on Northgate for new sales </w:t>
      </w:r>
    </w:p>
    <w:p w:rsidR="00821286" w:rsidRPr="00BE3913" w:rsidRDefault="00821286" w:rsidP="00821286">
      <w:pPr>
        <w:pStyle w:val="ListParagraph"/>
        <w:rPr>
          <w:szCs w:val="22"/>
        </w:rPr>
      </w:pPr>
    </w:p>
    <w:p w:rsidR="00821286" w:rsidRPr="00BE3913" w:rsidRDefault="00821286" w:rsidP="00BB2C98">
      <w:pPr>
        <w:pStyle w:val="ListParagraph"/>
        <w:numPr>
          <w:ilvl w:val="0"/>
          <w:numId w:val="23"/>
        </w:numPr>
        <w:rPr>
          <w:szCs w:val="22"/>
        </w:rPr>
      </w:pPr>
      <w:r w:rsidRPr="00BE3913">
        <w:rPr>
          <w:szCs w:val="22"/>
        </w:rPr>
        <w:t xml:space="preserve">Provide advice to leaseholders sub-letting their homes </w:t>
      </w:r>
    </w:p>
    <w:p w:rsidR="00821286" w:rsidRPr="00BE3913" w:rsidRDefault="00821286" w:rsidP="00821286">
      <w:pPr>
        <w:pStyle w:val="ListParagraph"/>
        <w:rPr>
          <w:szCs w:val="22"/>
        </w:rPr>
      </w:pPr>
    </w:p>
    <w:p w:rsidR="00821286" w:rsidRPr="00BE3913" w:rsidRDefault="00821286" w:rsidP="00BB2C98">
      <w:pPr>
        <w:pStyle w:val="ListParagraph"/>
        <w:numPr>
          <w:ilvl w:val="0"/>
          <w:numId w:val="23"/>
        </w:numPr>
        <w:rPr>
          <w:szCs w:val="22"/>
        </w:rPr>
      </w:pPr>
      <w:r w:rsidRPr="00BE3913">
        <w:rPr>
          <w:szCs w:val="22"/>
        </w:rPr>
        <w:t xml:space="preserve">Registering sublets </w:t>
      </w:r>
    </w:p>
    <w:p w:rsidR="00821286" w:rsidRPr="00BE3913" w:rsidRDefault="00821286" w:rsidP="00821286">
      <w:pPr>
        <w:pStyle w:val="ListParagraph"/>
        <w:rPr>
          <w:szCs w:val="22"/>
        </w:rPr>
      </w:pPr>
    </w:p>
    <w:p w:rsidR="00821286" w:rsidRPr="00BE3913" w:rsidRDefault="00821286" w:rsidP="00BB2C98">
      <w:pPr>
        <w:pStyle w:val="ListParagraph"/>
        <w:numPr>
          <w:ilvl w:val="0"/>
          <w:numId w:val="23"/>
        </w:numPr>
        <w:rPr>
          <w:szCs w:val="22"/>
        </w:rPr>
      </w:pPr>
      <w:r w:rsidRPr="00BE3913">
        <w:rPr>
          <w:szCs w:val="22"/>
        </w:rPr>
        <w:t xml:space="preserve">Registering Leasehold transfers and new Charges </w:t>
      </w:r>
    </w:p>
    <w:p w:rsidR="00821286" w:rsidRPr="00821286" w:rsidRDefault="00821286" w:rsidP="00821286">
      <w:pPr>
        <w:pStyle w:val="ListParagraph"/>
        <w:rPr>
          <w:i/>
          <w:szCs w:val="22"/>
        </w:rPr>
      </w:pPr>
    </w:p>
    <w:p w:rsidR="002A4F5F" w:rsidRDefault="002A4F5F" w:rsidP="002A4F5F">
      <w:pPr>
        <w:pStyle w:val="ListParagraph"/>
        <w:rPr>
          <w:i/>
          <w:szCs w:val="22"/>
        </w:rPr>
      </w:pPr>
    </w:p>
    <w:p w:rsidR="00B34355" w:rsidRPr="002A4F5F" w:rsidRDefault="00B34355" w:rsidP="002A4F5F">
      <w:pPr>
        <w:pStyle w:val="ListParagraph"/>
        <w:rPr>
          <w:i/>
          <w:szCs w:val="22"/>
        </w:rPr>
      </w:pPr>
    </w:p>
    <w:p w:rsidR="002A4F5F" w:rsidRPr="002A4F5F" w:rsidRDefault="002A4F5F" w:rsidP="002A4F5F">
      <w:pPr>
        <w:pStyle w:val="ListParagraph"/>
        <w:rPr>
          <w:i/>
          <w:szCs w:val="22"/>
        </w:rPr>
      </w:pPr>
    </w:p>
    <w:p w:rsidR="002A4F5F" w:rsidRPr="002A4F5F" w:rsidRDefault="002A4F5F" w:rsidP="002A4F5F">
      <w:pPr>
        <w:rPr>
          <w:i/>
          <w:szCs w:val="22"/>
        </w:rPr>
      </w:pPr>
    </w:p>
    <w:p w:rsidR="00B467F0" w:rsidRPr="00B467F0" w:rsidRDefault="00B467F0" w:rsidP="00B467F0">
      <w:r w:rsidRPr="00B467F0">
        <w:t xml:space="preserve"> </w:t>
      </w:r>
    </w:p>
    <w:p w:rsidR="00BB2C98" w:rsidRDefault="00BB2C98" w:rsidP="00B467F0"/>
    <w:p w:rsidR="00EB687D" w:rsidRPr="003F119C" w:rsidRDefault="00EB687D" w:rsidP="00EB687D">
      <w:pPr>
        <w:rPr>
          <w:rFonts w:cs="Arial"/>
        </w:rPr>
      </w:pPr>
    </w:p>
    <w:p w:rsidR="00EB687D" w:rsidRPr="003F119C" w:rsidRDefault="00287409" w:rsidP="00EB687D">
      <w:pPr>
        <w:rPr>
          <w:rFonts w:cs="Arial"/>
          <w:b/>
        </w:rPr>
      </w:pPr>
      <w:r w:rsidRPr="003F119C">
        <w:rPr>
          <w:rFonts w:cs="Arial"/>
          <w:b/>
        </w:rPr>
        <w:lastRenderedPageBreak/>
        <w:t>Example</w:t>
      </w:r>
      <w:r w:rsidR="00EB687D" w:rsidRPr="003F119C">
        <w:rPr>
          <w:rFonts w:cs="Arial"/>
          <w:b/>
        </w:rPr>
        <w:t xml:space="preserve"> </w:t>
      </w:r>
      <w:r w:rsidR="007A6B99" w:rsidRPr="003F119C">
        <w:rPr>
          <w:rFonts w:cs="Arial"/>
          <w:b/>
        </w:rPr>
        <w:t>outcomes or objectives that this role will deliver</w:t>
      </w:r>
      <w:r w:rsidR="00EB687D" w:rsidRPr="003F119C">
        <w:rPr>
          <w:rFonts w:cs="Arial"/>
          <w:b/>
        </w:rPr>
        <w:t>:</w:t>
      </w:r>
    </w:p>
    <w:p w:rsidR="00793F31" w:rsidRPr="003F119C" w:rsidRDefault="00793F31" w:rsidP="00EB687D">
      <w:pPr>
        <w:rPr>
          <w:rFonts w:cs="Arial"/>
          <w:i/>
          <w:sz w:val="18"/>
          <w:szCs w:val="18"/>
        </w:rPr>
      </w:pPr>
    </w:p>
    <w:p w:rsidR="00EB687D" w:rsidRDefault="00793F31" w:rsidP="00BB2C98">
      <w:pPr>
        <w:pStyle w:val="ListParagraph"/>
        <w:numPr>
          <w:ilvl w:val="0"/>
          <w:numId w:val="23"/>
        </w:numPr>
        <w:rPr>
          <w:szCs w:val="22"/>
        </w:rPr>
      </w:pPr>
      <w:r w:rsidRPr="00BB2C98">
        <w:rPr>
          <w:szCs w:val="22"/>
        </w:rPr>
        <w:t>Ensuring Right to buy applications are processed within the statutory timescales set in legislation</w:t>
      </w:r>
    </w:p>
    <w:p w:rsidR="00BB2C98" w:rsidRPr="00BB2C98" w:rsidRDefault="00BB2C98" w:rsidP="00BB2C98">
      <w:pPr>
        <w:pStyle w:val="ListParagraph"/>
        <w:rPr>
          <w:szCs w:val="22"/>
        </w:rPr>
      </w:pPr>
    </w:p>
    <w:p w:rsidR="00793F31" w:rsidRDefault="00793F31" w:rsidP="00BB2C98">
      <w:pPr>
        <w:pStyle w:val="ListParagraph"/>
        <w:numPr>
          <w:ilvl w:val="0"/>
          <w:numId w:val="23"/>
        </w:numPr>
        <w:rPr>
          <w:szCs w:val="22"/>
        </w:rPr>
      </w:pPr>
      <w:r w:rsidRPr="00BB2C98">
        <w:rPr>
          <w:szCs w:val="22"/>
        </w:rPr>
        <w:t xml:space="preserve">Preparing pre-assignment/re-mortgage packages within 15 working days of the request. </w:t>
      </w:r>
    </w:p>
    <w:p w:rsidR="00BB2C98" w:rsidRPr="00BB2C98" w:rsidRDefault="00BB2C98" w:rsidP="00BB2C98">
      <w:pPr>
        <w:rPr>
          <w:szCs w:val="22"/>
        </w:rPr>
      </w:pPr>
    </w:p>
    <w:p w:rsidR="00793F31" w:rsidRDefault="00793F31" w:rsidP="00BB2C98">
      <w:pPr>
        <w:pStyle w:val="ListParagraph"/>
        <w:numPr>
          <w:ilvl w:val="0"/>
          <w:numId w:val="23"/>
        </w:numPr>
        <w:rPr>
          <w:szCs w:val="22"/>
        </w:rPr>
      </w:pPr>
      <w:r w:rsidRPr="00BB2C98">
        <w:rPr>
          <w:szCs w:val="22"/>
        </w:rPr>
        <w:t>Investigating and responding to tenants/leaseholder and solicitors enquiries within 10 working days</w:t>
      </w:r>
    </w:p>
    <w:p w:rsidR="00BB2C98" w:rsidRPr="00BB2C98" w:rsidRDefault="00BB2C98" w:rsidP="00BB2C98">
      <w:pPr>
        <w:pStyle w:val="ListParagraph"/>
        <w:rPr>
          <w:szCs w:val="22"/>
        </w:rPr>
      </w:pPr>
    </w:p>
    <w:p w:rsidR="00793F31" w:rsidRDefault="00793F31" w:rsidP="00BB2C98">
      <w:pPr>
        <w:pStyle w:val="ListParagraph"/>
        <w:numPr>
          <w:ilvl w:val="0"/>
          <w:numId w:val="23"/>
        </w:numPr>
        <w:rPr>
          <w:szCs w:val="22"/>
        </w:rPr>
      </w:pPr>
      <w:r w:rsidRPr="00BB2C98">
        <w:rPr>
          <w:szCs w:val="22"/>
        </w:rPr>
        <w:t xml:space="preserve">Ability to manage your own work load </w:t>
      </w:r>
    </w:p>
    <w:p w:rsidR="00BB2C98" w:rsidRPr="00BB2C98" w:rsidRDefault="00BB2C98" w:rsidP="00BB2C98">
      <w:pPr>
        <w:pStyle w:val="ListParagraph"/>
        <w:rPr>
          <w:szCs w:val="22"/>
        </w:rPr>
      </w:pPr>
    </w:p>
    <w:p w:rsidR="00793F31" w:rsidRPr="00BB2C98" w:rsidRDefault="001D7D3F" w:rsidP="00BB2C98">
      <w:pPr>
        <w:pStyle w:val="ListParagraph"/>
        <w:numPr>
          <w:ilvl w:val="0"/>
          <w:numId w:val="23"/>
        </w:numPr>
        <w:rPr>
          <w:szCs w:val="22"/>
        </w:rPr>
      </w:pPr>
      <w:r w:rsidRPr="00BB2C98">
        <w:rPr>
          <w:szCs w:val="22"/>
        </w:rPr>
        <w:t>Prioritising your workload between the varied tasks</w:t>
      </w:r>
    </w:p>
    <w:p w:rsidR="001D7D3F" w:rsidRPr="003F119C" w:rsidRDefault="001D7D3F" w:rsidP="00EB687D">
      <w:pPr>
        <w:rPr>
          <w:rFonts w:cs="Arial"/>
          <w:sz w:val="24"/>
        </w:rPr>
      </w:pPr>
    </w:p>
    <w:p w:rsidR="00EB687D" w:rsidRPr="003F119C" w:rsidRDefault="00EB687D" w:rsidP="00EB687D">
      <w:pPr>
        <w:rPr>
          <w:rFonts w:cs="Arial"/>
        </w:rPr>
      </w:pPr>
    </w:p>
    <w:p w:rsidR="00EB687D" w:rsidRPr="003F119C" w:rsidRDefault="00287409" w:rsidP="00EB687D">
      <w:pPr>
        <w:rPr>
          <w:rFonts w:cs="Arial"/>
        </w:rPr>
      </w:pPr>
      <w:r w:rsidRPr="003F119C">
        <w:rPr>
          <w:rFonts w:cs="Arial"/>
          <w:b/>
        </w:rPr>
        <w:t>People Management Responsibilities:</w:t>
      </w:r>
    </w:p>
    <w:p w:rsidR="00287409" w:rsidRPr="003F119C" w:rsidRDefault="001D7D3F" w:rsidP="00EB687D">
      <w:pPr>
        <w:rPr>
          <w:rFonts w:cs="Arial"/>
          <w:sz w:val="24"/>
        </w:rPr>
      </w:pPr>
      <w:r w:rsidRPr="003F119C">
        <w:rPr>
          <w:rFonts w:cs="Arial"/>
          <w:sz w:val="24"/>
        </w:rPr>
        <w:t xml:space="preserve">None </w:t>
      </w:r>
    </w:p>
    <w:p w:rsidR="00287409" w:rsidRPr="003F119C" w:rsidRDefault="00287409" w:rsidP="00EB687D">
      <w:pPr>
        <w:rPr>
          <w:rFonts w:cs="Arial"/>
          <w:sz w:val="18"/>
          <w:szCs w:val="18"/>
        </w:rPr>
      </w:pPr>
    </w:p>
    <w:p w:rsidR="00287409" w:rsidRPr="003F119C" w:rsidRDefault="00287409" w:rsidP="00EB687D">
      <w:pPr>
        <w:rPr>
          <w:rFonts w:cs="Arial"/>
          <w:b/>
        </w:rPr>
      </w:pPr>
      <w:r w:rsidRPr="003F119C">
        <w:rPr>
          <w:rFonts w:cs="Arial"/>
          <w:b/>
        </w:rPr>
        <w:t>Relationships;</w:t>
      </w:r>
    </w:p>
    <w:p w:rsidR="003F119C" w:rsidRDefault="003F119C" w:rsidP="00EB687D">
      <w:pPr>
        <w:rPr>
          <w:rFonts w:cs="Arial"/>
        </w:rPr>
      </w:pPr>
    </w:p>
    <w:p w:rsidR="00C97F42" w:rsidRPr="003F119C" w:rsidRDefault="00301899" w:rsidP="00EB687D">
      <w:pPr>
        <w:rPr>
          <w:rFonts w:cs="Arial"/>
        </w:rPr>
      </w:pPr>
      <w:r w:rsidRPr="003F119C">
        <w:rPr>
          <w:rFonts w:cs="Arial"/>
        </w:rPr>
        <w:t xml:space="preserve">Work as part </w:t>
      </w:r>
      <w:r w:rsidR="004C4178" w:rsidRPr="003F119C">
        <w:rPr>
          <w:rFonts w:cs="Arial"/>
        </w:rPr>
        <w:t xml:space="preserve">of a team with </w:t>
      </w:r>
      <w:r w:rsidR="002A4F5F">
        <w:rPr>
          <w:rFonts w:cs="Arial"/>
        </w:rPr>
        <w:t>3</w:t>
      </w:r>
      <w:r w:rsidR="004C4178" w:rsidRPr="003F119C">
        <w:rPr>
          <w:rFonts w:cs="Arial"/>
        </w:rPr>
        <w:t xml:space="preserve"> other officers (Zone 3, Level 1), 1 Direct Line Manager (PO3) </w:t>
      </w:r>
    </w:p>
    <w:p w:rsidR="00301899" w:rsidRPr="003F119C" w:rsidRDefault="0034154B" w:rsidP="00EB687D">
      <w:pPr>
        <w:rPr>
          <w:rFonts w:cs="Arial"/>
        </w:rPr>
      </w:pPr>
      <w:r w:rsidRPr="003F119C">
        <w:rPr>
          <w:rFonts w:cs="Arial"/>
        </w:rPr>
        <w:t>Li</w:t>
      </w:r>
      <w:r w:rsidR="00301899" w:rsidRPr="003F119C">
        <w:rPr>
          <w:rFonts w:cs="Arial"/>
        </w:rPr>
        <w:t>a</w:t>
      </w:r>
      <w:r w:rsidRPr="003F119C">
        <w:rPr>
          <w:rFonts w:cs="Arial"/>
        </w:rPr>
        <w:t>i</w:t>
      </w:r>
      <w:r w:rsidR="00301899" w:rsidRPr="003F119C">
        <w:rPr>
          <w:rFonts w:cs="Arial"/>
        </w:rPr>
        <w:t>sing with other teams in Leaseholder Services –Collections, Debtors, Consultation and Final Accounts</w:t>
      </w:r>
    </w:p>
    <w:p w:rsidR="00301899" w:rsidRPr="003F119C" w:rsidRDefault="00301899" w:rsidP="00EB687D">
      <w:pPr>
        <w:rPr>
          <w:rFonts w:cs="Arial"/>
        </w:rPr>
      </w:pPr>
      <w:r w:rsidRPr="003F119C">
        <w:rPr>
          <w:rFonts w:cs="Arial"/>
        </w:rPr>
        <w:t>Working with Renewals,</w:t>
      </w:r>
      <w:r w:rsidR="004C4178" w:rsidRPr="003F119C">
        <w:rPr>
          <w:rFonts w:cs="Arial"/>
        </w:rPr>
        <w:t xml:space="preserve"> Housing Investigations,</w:t>
      </w:r>
      <w:r w:rsidRPr="003F119C">
        <w:rPr>
          <w:rFonts w:cs="Arial"/>
        </w:rPr>
        <w:t xml:space="preserve"> </w:t>
      </w:r>
      <w:r w:rsidR="004C4178" w:rsidRPr="003F119C">
        <w:rPr>
          <w:rFonts w:cs="Arial"/>
        </w:rPr>
        <w:t xml:space="preserve">Rents, </w:t>
      </w:r>
      <w:r w:rsidRPr="003F119C">
        <w:rPr>
          <w:rFonts w:cs="Arial"/>
        </w:rPr>
        <w:t xml:space="preserve">Repairs and </w:t>
      </w:r>
      <w:r w:rsidR="004C4178" w:rsidRPr="003F119C">
        <w:rPr>
          <w:rFonts w:cs="Arial"/>
        </w:rPr>
        <w:t>Estate Officers, R</w:t>
      </w:r>
      <w:r w:rsidRPr="003F119C">
        <w:rPr>
          <w:rFonts w:cs="Arial"/>
        </w:rPr>
        <w:t xml:space="preserve">egeneration teams </w:t>
      </w:r>
    </w:p>
    <w:p w:rsidR="00301899" w:rsidRPr="003F119C" w:rsidRDefault="00301899" w:rsidP="00EB687D">
      <w:pPr>
        <w:rPr>
          <w:rFonts w:cs="Arial"/>
        </w:rPr>
      </w:pPr>
      <w:r w:rsidRPr="003F119C">
        <w:rPr>
          <w:rFonts w:cs="Arial"/>
        </w:rPr>
        <w:t xml:space="preserve">Camden Internal and External Solicitors </w:t>
      </w:r>
    </w:p>
    <w:p w:rsidR="004C4178" w:rsidRDefault="004C4178" w:rsidP="00EB687D">
      <w:pPr>
        <w:rPr>
          <w:rFonts w:cs="Arial"/>
        </w:rPr>
      </w:pPr>
      <w:r w:rsidRPr="003F119C">
        <w:rPr>
          <w:rFonts w:cs="Arial"/>
        </w:rPr>
        <w:t xml:space="preserve">Leaseholders, Tenants and their Solicitors </w:t>
      </w:r>
    </w:p>
    <w:p w:rsidR="002A4F5F" w:rsidRPr="003F119C" w:rsidRDefault="002A4F5F" w:rsidP="00EB687D">
      <w:pPr>
        <w:rPr>
          <w:rFonts w:cs="Arial"/>
        </w:rPr>
      </w:pPr>
      <w:r>
        <w:rPr>
          <w:rFonts w:cs="Arial"/>
        </w:rPr>
        <w:t xml:space="preserve">External Surveyors </w:t>
      </w:r>
    </w:p>
    <w:p w:rsidR="004C4178" w:rsidRPr="003F119C" w:rsidRDefault="004C4178" w:rsidP="00EB687D">
      <w:pPr>
        <w:rPr>
          <w:rFonts w:cs="Arial"/>
        </w:rPr>
      </w:pPr>
    </w:p>
    <w:p w:rsidR="004C4178" w:rsidRPr="003F119C" w:rsidRDefault="004C4178" w:rsidP="00EB687D">
      <w:pPr>
        <w:rPr>
          <w:rFonts w:cs="Arial"/>
        </w:rPr>
      </w:pPr>
    </w:p>
    <w:p w:rsidR="00301899" w:rsidRPr="003F119C" w:rsidRDefault="00301899" w:rsidP="00EB687D">
      <w:pPr>
        <w:rPr>
          <w:rFonts w:cs="Arial"/>
        </w:rPr>
      </w:pPr>
    </w:p>
    <w:p w:rsidR="00301899" w:rsidRPr="003F119C" w:rsidRDefault="00301899" w:rsidP="00EB687D">
      <w:pPr>
        <w:rPr>
          <w:rFonts w:cs="Arial"/>
        </w:rPr>
      </w:pPr>
    </w:p>
    <w:p w:rsidR="00301899" w:rsidRPr="003F119C" w:rsidRDefault="00301899" w:rsidP="00EB687D">
      <w:pPr>
        <w:rPr>
          <w:rFonts w:cs="Arial"/>
        </w:rPr>
      </w:pPr>
    </w:p>
    <w:p w:rsidR="00C97F42" w:rsidRPr="003F119C" w:rsidRDefault="00C97F42" w:rsidP="00EB687D">
      <w:pPr>
        <w:rPr>
          <w:rFonts w:cs="Arial"/>
        </w:rPr>
      </w:pPr>
    </w:p>
    <w:p w:rsidR="00C97F42" w:rsidRPr="003F119C" w:rsidRDefault="00C97F42" w:rsidP="00EB687D">
      <w:pPr>
        <w:rPr>
          <w:rFonts w:cs="Arial"/>
          <w:b/>
        </w:rPr>
      </w:pPr>
      <w:r w:rsidRPr="003F119C">
        <w:rPr>
          <w:rFonts w:cs="Arial"/>
          <w:b/>
        </w:rPr>
        <w:t>Work Environment:</w:t>
      </w:r>
    </w:p>
    <w:p w:rsidR="00C97F42" w:rsidRPr="003F119C" w:rsidRDefault="00C97F42" w:rsidP="00EB687D">
      <w:pPr>
        <w:rPr>
          <w:rFonts w:cs="Arial"/>
        </w:rPr>
      </w:pPr>
    </w:p>
    <w:p w:rsidR="00C97F42" w:rsidRPr="003F119C" w:rsidRDefault="00BB2C98" w:rsidP="00EB687D">
      <w:pPr>
        <w:rPr>
          <w:rFonts w:cs="Arial"/>
        </w:rPr>
      </w:pPr>
      <w:r>
        <w:t>This is mainly an office based role</w:t>
      </w:r>
    </w:p>
    <w:p w:rsidR="00C97F42" w:rsidRPr="003F119C" w:rsidRDefault="00C97F42" w:rsidP="00EB687D">
      <w:pPr>
        <w:rPr>
          <w:rFonts w:cs="Arial"/>
        </w:rPr>
      </w:pPr>
    </w:p>
    <w:p w:rsidR="00EB687D" w:rsidRPr="003F119C" w:rsidRDefault="007A6B99" w:rsidP="00EB687D">
      <w:pPr>
        <w:rPr>
          <w:rFonts w:cs="Arial"/>
          <w:b/>
        </w:rPr>
      </w:pPr>
      <w:r w:rsidRPr="003F119C">
        <w:rPr>
          <w:rFonts w:cs="Arial"/>
          <w:b/>
        </w:rPr>
        <w:t xml:space="preserve">Technical </w:t>
      </w:r>
      <w:r w:rsidR="00EB687D" w:rsidRPr="003F119C">
        <w:rPr>
          <w:rFonts w:cs="Arial"/>
          <w:b/>
        </w:rPr>
        <w:t>Knowledge and Experience</w:t>
      </w:r>
      <w:r w:rsidR="00C97F42" w:rsidRPr="003F119C">
        <w:rPr>
          <w:rFonts w:cs="Arial"/>
          <w:b/>
        </w:rPr>
        <w:t>:</w:t>
      </w:r>
    </w:p>
    <w:p w:rsidR="007A6B99" w:rsidRDefault="007A6B99" w:rsidP="00EB687D">
      <w:pPr>
        <w:rPr>
          <w:rFonts w:cs="Arial"/>
          <w:i/>
          <w:sz w:val="18"/>
          <w:szCs w:val="18"/>
        </w:rPr>
      </w:pPr>
    </w:p>
    <w:p w:rsidR="003F119C" w:rsidRPr="003F119C" w:rsidRDefault="003F119C" w:rsidP="00EB687D">
      <w:pPr>
        <w:rPr>
          <w:rFonts w:cs="Arial"/>
          <w:i/>
          <w:sz w:val="18"/>
          <w:szCs w:val="18"/>
        </w:rPr>
      </w:pPr>
    </w:p>
    <w:p w:rsidR="00BB2C98" w:rsidRPr="004D082D" w:rsidRDefault="00BB2C98" w:rsidP="00BB2C98">
      <w:pPr>
        <w:numPr>
          <w:ilvl w:val="0"/>
          <w:numId w:val="24"/>
        </w:numPr>
        <w:spacing w:after="200" w:line="276" w:lineRule="auto"/>
        <w:rPr>
          <w:rFonts w:cs="Arial"/>
          <w:szCs w:val="22"/>
          <w:lang w:eastAsia="en-US"/>
        </w:rPr>
      </w:pPr>
      <w:r w:rsidRPr="004D082D">
        <w:rPr>
          <w:rFonts w:cs="Arial"/>
          <w:szCs w:val="22"/>
          <w:lang w:eastAsia="en-US"/>
        </w:rPr>
        <w:t>High level literacy and numeracy skills</w:t>
      </w:r>
    </w:p>
    <w:p w:rsidR="00BB2C98" w:rsidRPr="004D082D" w:rsidRDefault="00BB2C98" w:rsidP="00BB2C98">
      <w:pPr>
        <w:numPr>
          <w:ilvl w:val="0"/>
          <w:numId w:val="24"/>
        </w:numPr>
        <w:spacing w:after="200" w:line="276" w:lineRule="auto"/>
        <w:rPr>
          <w:rFonts w:cs="Arial"/>
          <w:szCs w:val="22"/>
          <w:lang w:eastAsia="en-US"/>
        </w:rPr>
      </w:pPr>
      <w:r w:rsidRPr="004D082D">
        <w:rPr>
          <w:rFonts w:cs="Arial"/>
          <w:szCs w:val="22"/>
          <w:lang w:eastAsia="en-US"/>
        </w:rPr>
        <w:t>Ability to communicate effectively, verbally, in person and in writing</w:t>
      </w:r>
    </w:p>
    <w:p w:rsidR="00BB2C98" w:rsidRPr="004D082D" w:rsidRDefault="00BB2C98" w:rsidP="00BB2C98">
      <w:pPr>
        <w:numPr>
          <w:ilvl w:val="0"/>
          <w:numId w:val="24"/>
        </w:numPr>
        <w:spacing w:after="200" w:line="276" w:lineRule="auto"/>
        <w:rPr>
          <w:rFonts w:cs="Arial"/>
          <w:szCs w:val="22"/>
          <w:lang w:eastAsia="en-US"/>
        </w:rPr>
      </w:pPr>
      <w:r w:rsidRPr="004D082D">
        <w:rPr>
          <w:rFonts w:cs="Arial"/>
          <w:szCs w:val="22"/>
          <w:lang w:eastAsia="en-US"/>
        </w:rPr>
        <w:t>Ability to underst</w:t>
      </w:r>
      <w:r>
        <w:rPr>
          <w:rFonts w:cs="Arial"/>
          <w:szCs w:val="22"/>
          <w:lang w:eastAsia="en-US"/>
        </w:rPr>
        <w:t>and and interpret financial data</w:t>
      </w:r>
    </w:p>
    <w:p w:rsidR="00BB2C98" w:rsidRPr="004D082D" w:rsidRDefault="00BB2C98" w:rsidP="00BB2C98">
      <w:pPr>
        <w:numPr>
          <w:ilvl w:val="0"/>
          <w:numId w:val="24"/>
        </w:numPr>
        <w:spacing w:after="200" w:line="276" w:lineRule="auto"/>
        <w:rPr>
          <w:rFonts w:cs="Arial"/>
          <w:szCs w:val="22"/>
          <w:lang w:eastAsia="en-US"/>
        </w:rPr>
      </w:pPr>
      <w:r w:rsidRPr="004D082D">
        <w:rPr>
          <w:rFonts w:cs="Arial"/>
          <w:szCs w:val="22"/>
          <w:lang w:eastAsia="en-US"/>
        </w:rPr>
        <w:t>Able to demonstrate strong attention to detail and analytical approach</w:t>
      </w:r>
    </w:p>
    <w:p w:rsidR="00BB2C98" w:rsidRPr="004D082D" w:rsidRDefault="00BB2C98" w:rsidP="00BB2C98">
      <w:pPr>
        <w:numPr>
          <w:ilvl w:val="0"/>
          <w:numId w:val="24"/>
        </w:numPr>
        <w:spacing w:after="120" w:line="280" w:lineRule="atLeast"/>
        <w:rPr>
          <w:rFonts w:cs="Arial"/>
          <w:szCs w:val="22"/>
          <w:lang w:eastAsia="en-US"/>
        </w:rPr>
      </w:pPr>
      <w:r w:rsidRPr="004D082D">
        <w:rPr>
          <w:rFonts w:cs="Arial"/>
          <w:szCs w:val="22"/>
          <w:lang w:eastAsia="en-US"/>
        </w:rPr>
        <w:t>Ability to prioritise effectively and meet deadlines, particularly when faced with changing circumstances</w:t>
      </w:r>
    </w:p>
    <w:p w:rsidR="00BB2C98" w:rsidRPr="004D082D" w:rsidRDefault="00BB2C98" w:rsidP="00BB2C98">
      <w:pPr>
        <w:numPr>
          <w:ilvl w:val="0"/>
          <w:numId w:val="24"/>
        </w:numPr>
        <w:spacing w:after="120" w:line="280" w:lineRule="atLeast"/>
        <w:rPr>
          <w:rFonts w:cs="Arial"/>
          <w:szCs w:val="22"/>
          <w:lang w:eastAsia="en-US"/>
        </w:rPr>
      </w:pPr>
      <w:r w:rsidRPr="004D082D">
        <w:rPr>
          <w:rFonts w:cs="Arial"/>
          <w:szCs w:val="22"/>
          <w:lang w:eastAsia="en-US"/>
        </w:rPr>
        <w:t>Self-motivated; able to demonstrate energy and commitment, putting in the work necessary to meet deadlines and achieve results</w:t>
      </w:r>
    </w:p>
    <w:p w:rsidR="00BB2C98" w:rsidRPr="004D082D" w:rsidRDefault="00BB2C98" w:rsidP="00BB2C98">
      <w:pPr>
        <w:numPr>
          <w:ilvl w:val="0"/>
          <w:numId w:val="24"/>
        </w:numPr>
        <w:spacing w:after="120" w:line="280" w:lineRule="atLeast"/>
        <w:rPr>
          <w:rFonts w:cs="Arial"/>
          <w:szCs w:val="22"/>
          <w:lang w:eastAsia="en-US"/>
        </w:rPr>
      </w:pPr>
      <w:r w:rsidRPr="004D082D">
        <w:rPr>
          <w:rFonts w:cs="Arial"/>
          <w:szCs w:val="22"/>
          <w:lang w:eastAsia="en-US"/>
        </w:rPr>
        <w:t>Ability to work effectively both as part of a team and individually</w:t>
      </w:r>
    </w:p>
    <w:p w:rsidR="00BB2C98" w:rsidRDefault="00BB2C98" w:rsidP="00BB2C98"/>
    <w:p w:rsidR="00453122" w:rsidRDefault="00453122" w:rsidP="00BB2C98"/>
    <w:p w:rsidR="00453122" w:rsidRDefault="00453122" w:rsidP="00BB2C98"/>
    <w:p w:rsidR="00453122" w:rsidRDefault="00453122" w:rsidP="00BB2C98"/>
    <w:p w:rsidR="00453122" w:rsidRDefault="00453122" w:rsidP="00BB2C98"/>
    <w:p w:rsidR="00453122" w:rsidRDefault="00453122" w:rsidP="00BB2C98"/>
    <w:p w:rsidR="00453122" w:rsidRDefault="00453122" w:rsidP="00BB2C98"/>
    <w:p w:rsidR="00453122" w:rsidRDefault="00453122" w:rsidP="00453122"/>
    <w:p w:rsidR="00453122" w:rsidRPr="00F54AEC" w:rsidRDefault="00453122" w:rsidP="00453122">
      <w:pPr>
        <w:rPr>
          <w:rFonts w:cs="Arial"/>
          <w:b/>
          <w:szCs w:val="22"/>
        </w:rPr>
      </w:pPr>
      <w:r>
        <w:rPr>
          <w:rFonts w:cs="Arial"/>
          <w:b/>
          <w:szCs w:val="22"/>
        </w:rPr>
        <w:t>Cam</w:t>
      </w:r>
      <w:r w:rsidRPr="00F54AEC">
        <w:rPr>
          <w:rFonts w:cs="Arial"/>
          <w:b/>
          <w:szCs w:val="22"/>
        </w:rPr>
        <w:t>den Way Five Ways of Working</w:t>
      </w:r>
    </w:p>
    <w:p w:rsidR="00453122" w:rsidRPr="00F54AEC" w:rsidRDefault="00453122" w:rsidP="00453122">
      <w:pPr>
        <w:spacing w:before="100" w:beforeAutospacing="1" w:after="100" w:afterAutospacing="1" w:line="300" w:lineRule="atLeast"/>
        <w:rPr>
          <w:rFonts w:cs="Arial"/>
          <w:i/>
          <w:color w:val="343A41"/>
          <w:szCs w:val="22"/>
          <w:lang w:val="en-US"/>
        </w:rPr>
      </w:pPr>
      <w:r w:rsidRPr="00F54AEC">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453122" w:rsidRPr="00F54AEC" w:rsidRDefault="00453122" w:rsidP="00453122">
      <w:pPr>
        <w:spacing w:before="100" w:beforeAutospacing="1" w:after="100" w:afterAutospacing="1" w:line="300" w:lineRule="atLeast"/>
        <w:rPr>
          <w:rFonts w:cs="Arial"/>
          <w:color w:val="343A41"/>
          <w:szCs w:val="22"/>
          <w:lang w:val="en-US"/>
        </w:rPr>
      </w:pPr>
      <w:r w:rsidRPr="00F54AEC">
        <w:rPr>
          <w:rFonts w:cs="Arial"/>
          <w:color w:val="343A41"/>
          <w:szCs w:val="22"/>
          <w:lang w:val="en-US"/>
        </w:rPr>
        <w:t>The Camden Way illustrates the approach that should underpin everything we do through five ways of working: </w:t>
      </w:r>
    </w:p>
    <w:p w:rsidR="00453122" w:rsidRPr="00F54AEC" w:rsidRDefault="00453122" w:rsidP="00453122">
      <w:pPr>
        <w:spacing w:before="100" w:beforeAutospacing="1" w:after="100" w:afterAutospacing="1" w:line="300" w:lineRule="atLeast"/>
        <w:rPr>
          <w:rFonts w:cs="Arial"/>
          <w:color w:val="343A41"/>
          <w:szCs w:val="22"/>
          <w:lang w:val="en-US"/>
        </w:rPr>
      </w:pPr>
      <w:r w:rsidRPr="00F54AEC">
        <w:rPr>
          <w:rFonts w:cs="Arial"/>
          <w:color w:val="343A41"/>
          <w:szCs w:val="22"/>
          <w:lang w:val="en-US"/>
        </w:rPr>
        <w:t>•Deliver for the people of Camden</w:t>
      </w:r>
    </w:p>
    <w:p w:rsidR="00453122" w:rsidRPr="00F54AEC" w:rsidRDefault="00453122" w:rsidP="00453122">
      <w:pPr>
        <w:spacing w:before="100" w:beforeAutospacing="1" w:after="100" w:afterAutospacing="1" w:line="300" w:lineRule="atLeast"/>
        <w:rPr>
          <w:rFonts w:cs="Arial"/>
          <w:color w:val="343A41"/>
          <w:szCs w:val="22"/>
          <w:lang w:val="en-US"/>
        </w:rPr>
      </w:pPr>
      <w:r w:rsidRPr="00F54AEC">
        <w:rPr>
          <w:rFonts w:cs="Arial"/>
          <w:color w:val="343A41"/>
          <w:szCs w:val="22"/>
          <w:lang w:val="en-US"/>
        </w:rPr>
        <w:t>•Work as one team</w:t>
      </w:r>
    </w:p>
    <w:p w:rsidR="00453122" w:rsidRPr="00F54AEC" w:rsidRDefault="00453122" w:rsidP="00453122">
      <w:pPr>
        <w:spacing w:before="100" w:beforeAutospacing="1" w:after="100" w:afterAutospacing="1" w:line="300" w:lineRule="atLeast"/>
        <w:rPr>
          <w:rFonts w:cs="Arial"/>
          <w:color w:val="343A41"/>
          <w:szCs w:val="22"/>
          <w:lang w:val="en-US"/>
        </w:rPr>
      </w:pPr>
      <w:r w:rsidRPr="00F54AEC">
        <w:rPr>
          <w:rFonts w:cs="Arial"/>
          <w:color w:val="343A41"/>
          <w:szCs w:val="22"/>
          <w:lang w:val="en-US"/>
        </w:rPr>
        <w:t>•Take pride in getting it right</w:t>
      </w:r>
    </w:p>
    <w:p w:rsidR="00453122" w:rsidRPr="00F54AEC" w:rsidRDefault="00453122" w:rsidP="00453122">
      <w:pPr>
        <w:spacing w:before="100" w:beforeAutospacing="1" w:after="100" w:afterAutospacing="1" w:line="300" w:lineRule="atLeast"/>
        <w:rPr>
          <w:rFonts w:cs="Arial"/>
          <w:color w:val="343A41"/>
          <w:szCs w:val="22"/>
          <w:lang w:val="en-US"/>
        </w:rPr>
      </w:pPr>
      <w:r w:rsidRPr="00F54AEC">
        <w:rPr>
          <w:rFonts w:cs="Arial"/>
          <w:color w:val="343A41"/>
          <w:szCs w:val="22"/>
          <w:lang w:val="en-US"/>
        </w:rPr>
        <w:t>•Find better ways</w:t>
      </w:r>
    </w:p>
    <w:p w:rsidR="00453122" w:rsidRPr="00F54AEC" w:rsidRDefault="00453122" w:rsidP="00453122">
      <w:pPr>
        <w:spacing w:before="100" w:beforeAutospacing="1" w:after="100" w:afterAutospacing="1" w:line="300" w:lineRule="atLeast"/>
        <w:rPr>
          <w:rFonts w:cs="Arial"/>
          <w:color w:val="343A41"/>
          <w:szCs w:val="22"/>
          <w:lang w:val="en-US"/>
        </w:rPr>
      </w:pPr>
      <w:r w:rsidRPr="00F54AEC">
        <w:rPr>
          <w:rFonts w:cs="Arial"/>
          <w:color w:val="343A41"/>
          <w:szCs w:val="22"/>
          <w:lang w:val="en-US"/>
        </w:rPr>
        <w:t xml:space="preserve">•Take personal responsibility </w:t>
      </w:r>
    </w:p>
    <w:p w:rsidR="00453122" w:rsidRPr="00F54AEC" w:rsidRDefault="00453122" w:rsidP="00453122">
      <w:pPr>
        <w:rPr>
          <w:rFonts w:cs="Arial"/>
          <w:szCs w:val="22"/>
        </w:rPr>
      </w:pPr>
      <w:r w:rsidRPr="00F54AEC">
        <w:rPr>
          <w:rFonts w:cs="Arial"/>
          <w:szCs w:val="22"/>
        </w:rPr>
        <w:t>For further information on the Camden Way please visit:</w:t>
      </w:r>
    </w:p>
    <w:p w:rsidR="00453122" w:rsidRPr="00F54AEC" w:rsidRDefault="00453122" w:rsidP="00453122">
      <w:pPr>
        <w:rPr>
          <w:rFonts w:cs="Arial"/>
          <w:szCs w:val="22"/>
        </w:rPr>
      </w:pPr>
    </w:p>
    <w:p w:rsidR="00453122" w:rsidRPr="0069405C" w:rsidRDefault="00453122" w:rsidP="00453122">
      <w:pPr>
        <w:rPr>
          <w:rFonts w:cs="Arial"/>
          <w:szCs w:val="22"/>
        </w:rPr>
      </w:pPr>
      <w:hyperlink r:id="rId7" w:history="1">
        <w:r w:rsidRPr="00F54AEC">
          <w:rPr>
            <w:rStyle w:val="Hyperlink"/>
          </w:rPr>
          <w:t>https://camdengov.referrals.selectminds.com/togetherwearecamden/info/page1</w:t>
        </w:r>
      </w:hyperlink>
      <w:r>
        <w:t xml:space="preserve"> </w:t>
      </w:r>
    </w:p>
    <w:p w:rsidR="00453122" w:rsidRPr="0069405C" w:rsidRDefault="00453122" w:rsidP="00453122">
      <w:pPr>
        <w:rPr>
          <w:rFonts w:cs="Arial"/>
          <w:szCs w:val="22"/>
        </w:rPr>
      </w:pPr>
    </w:p>
    <w:p w:rsidR="00EB687D" w:rsidRPr="003F119C" w:rsidRDefault="00EB687D" w:rsidP="00EB687D">
      <w:pPr>
        <w:rPr>
          <w:rFonts w:cs="Arial"/>
        </w:rPr>
      </w:pPr>
    </w:p>
    <w:p w:rsidR="00C97F42" w:rsidRPr="003F119C" w:rsidRDefault="00C97F42" w:rsidP="00EB687D">
      <w:pPr>
        <w:rPr>
          <w:rFonts w:cs="Arial"/>
        </w:rPr>
      </w:pPr>
    </w:p>
    <w:p w:rsidR="00BE1BA8" w:rsidRPr="009202C6" w:rsidRDefault="00BE1BA8" w:rsidP="00EB687D">
      <w:pPr>
        <w:rPr>
          <w:rFonts w:cs="Arial"/>
        </w:rPr>
      </w:pPr>
    </w:p>
    <w:p w:rsidR="00BE1BA8" w:rsidRDefault="00BE1BA8" w:rsidP="00EB687D">
      <w:pPr>
        <w:rPr>
          <w:rFonts w:cs="Arial"/>
          <w:b/>
        </w:rPr>
      </w:pPr>
    </w:p>
    <w:p w:rsidR="00453122" w:rsidRDefault="00453122" w:rsidP="00EB687D">
      <w:pPr>
        <w:rPr>
          <w:rFonts w:cs="Arial"/>
          <w:b/>
        </w:rPr>
      </w:pPr>
    </w:p>
    <w:p w:rsidR="00453122" w:rsidRDefault="00453122" w:rsidP="00EB687D">
      <w:pPr>
        <w:rPr>
          <w:rFonts w:cs="Arial"/>
          <w:b/>
        </w:rPr>
      </w:pPr>
    </w:p>
    <w:p w:rsidR="00453122" w:rsidRDefault="00453122" w:rsidP="00EB687D">
      <w:pPr>
        <w:rPr>
          <w:rFonts w:cs="Arial"/>
          <w:b/>
        </w:rPr>
      </w:pPr>
    </w:p>
    <w:p w:rsidR="00453122" w:rsidRDefault="00453122" w:rsidP="00EB687D">
      <w:pPr>
        <w:rPr>
          <w:rFonts w:cs="Arial"/>
          <w:b/>
        </w:rPr>
      </w:pPr>
    </w:p>
    <w:p w:rsidR="00BE1BA8" w:rsidRDefault="00BE1BA8" w:rsidP="00EB687D">
      <w:pPr>
        <w:rPr>
          <w:b/>
        </w:rPr>
      </w:pPr>
    </w:p>
    <w:p w:rsidR="00BE1BA8" w:rsidRDefault="00BE1BA8" w:rsidP="00EB687D">
      <w:pPr>
        <w:rPr>
          <w:b/>
        </w:rPr>
      </w:pPr>
      <w:r w:rsidRPr="00BE1BA8">
        <w:rPr>
          <w:b/>
        </w:rPr>
        <w:t>Structure Chart</w:t>
      </w:r>
      <w:r>
        <w:rPr>
          <w:b/>
        </w:rPr>
        <w:t xml:space="preserve"> – please insert or attach an up to date structure chart showing this role</w:t>
      </w:r>
    </w:p>
    <w:p w:rsidR="00E9329B" w:rsidRDefault="00E9329B" w:rsidP="00EB687D">
      <w:pPr>
        <w:rPr>
          <w:b/>
        </w:rPr>
      </w:pPr>
    </w:p>
    <w:tbl>
      <w:tblPr>
        <w:tblW w:w="11200" w:type="dxa"/>
        <w:tblInd w:w="93" w:type="dxa"/>
        <w:tblLook w:val="04A0" w:firstRow="1" w:lastRow="0" w:firstColumn="1" w:lastColumn="0" w:noHBand="0" w:noVBand="1"/>
      </w:tblPr>
      <w:tblGrid>
        <w:gridCol w:w="2340"/>
        <w:gridCol w:w="420"/>
        <w:gridCol w:w="1960"/>
        <w:gridCol w:w="540"/>
        <w:gridCol w:w="1940"/>
        <w:gridCol w:w="640"/>
        <w:gridCol w:w="620"/>
        <w:gridCol w:w="2740"/>
      </w:tblGrid>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00"/>
            <w:vAlign w:val="bottom"/>
            <w:hideMark/>
          </w:tcPr>
          <w:p w:rsidR="00571579" w:rsidRPr="00571579" w:rsidRDefault="00571579" w:rsidP="00571579">
            <w:pPr>
              <w:rPr>
                <w:rFonts w:cs="Arial"/>
                <w:color w:val="000000"/>
                <w:sz w:val="24"/>
              </w:rPr>
            </w:pPr>
            <w:r w:rsidRPr="00571579">
              <w:rPr>
                <w:rFonts w:cs="Arial"/>
                <w:color w:val="000000"/>
                <w:sz w:val="24"/>
              </w:rPr>
              <w:t>Assignment and Sales Officer - Vacancy</w:t>
            </w: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571579" w:rsidRPr="00571579" w:rsidRDefault="00571579" w:rsidP="00571579">
            <w:pPr>
              <w:rPr>
                <w:rFonts w:cs="Arial"/>
                <w:color w:val="000000"/>
                <w:sz w:val="24"/>
              </w:rPr>
            </w:pPr>
          </w:p>
        </w:tc>
      </w:tr>
      <w:tr w:rsidR="00571579" w:rsidRPr="00571579" w:rsidTr="00571579">
        <w:trPr>
          <w:trHeight w:val="36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single" w:sz="4" w:space="0" w:color="auto"/>
              <w:bottom w:val="nil"/>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single" w:sz="4" w:space="0" w:color="auto"/>
              <w:bottom w:val="nil"/>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579" w:rsidRPr="00571579" w:rsidRDefault="00571579" w:rsidP="00571579">
            <w:pPr>
              <w:rPr>
                <w:rFonts w:cs="Arial"/>
                <w:color w:val="000000"/>
                <w:sz w:val="24"/>
              </w:rPr>
            </w:pPr>
            <w:r w:rsidRPr="00571579">
              <w:rPr>
                <w:rFonts w:cs="Arial"/>
                <w:color w:val="000000"/>
                <w:sz w:val="24"/>
              </w:rPr>
              <w:t>Assignment and Sales Officer</w:t>
            </w: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571579" w:rsidRPr="00571579" w:rsidRDefault="00571579" w:rsidP="00571579">
            <w:pPr>
              <w:rPr>
                <w:rFonts w:cs="Arial"/>
                <w:color w:val="000000"/>
                <w:sz w:val="24"/>
              </w:rPr>
            </w:pP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single" w:sz="4" w:space="0" w:color="auto"/>
              <w:bottom w:val="nil"/>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single" w:sz="4" w:space="0" w:color="auto"/>
              <w:bottom w:val="nil"/>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579" w:rsidRPr="00571579" w:rsidRDefault="00571579" w:rsidP="00571579">
            <w:pPr>
              <w:rPr>
                <w:rFonts w:cs="Arial"/>
                <w:color w:val="000000"/>
                <w:sz w:val="24"/>
              </w:rPr>
            </w:pPr>
            <w:r w:rsidRPr="00571579">
              <w:rPr>
                <w:rFonts w:cs="Arial"/>
                <w:color w:val="000000"/>
                <w:sz w:val="24"/>
              </w:rPr>
              <w:t>Assignment and Sales Officer</w:t>
            </w:r>
          </w:p>
        </w:tc>
      </w:tr>
      <w:tr w:rsidR="00571579" w:rsidRPr="00571579" w:rsidTr="00571579">
        <w:trPr>
          <w:trHeight w:val="300"/>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579" w:rsidRPr="00571579" w:rsidRDefault="00571579" w:rsidP="00571579">
            <w:pPr>
              <w:rPr>
                <w:rFonts w:cs="Arial"/>
                <w:color w:val="000000"/>
                <w:sz w:val="24"/>
              </w:rPr>
            </w:pPr>
            <w:r w:rsidRPr="00571579">
              <w:rPr>
                <w:rFonts w:cs="Arial"/>
                <w:color w:val="000000"/>
                <w:sz w:val="24"/>
              </w:rPr>
              <w:t xml:space="preserve">Head of leaseholder Services </w:t>
            </w:r>
          </w:p>
        </w:tc>
        <w:tc>
          <w:tcPr>
            <w:tcW w:w="420" w:type="dxa"/>
            <w:tcBorders>
              <w:top w:val="nil"/>
              <w:left w:val="nil"/>
              <w:bottom w:val="single" w:sz="4" w:space="0" w:color="auto"/>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579" w:rsidRPr="00571579" w:rsidRDefault="00571579" w:rsidP="00571579">
            <w:pPr>
              <w:rPr>
                <w:rFonts w:cs="Arial"/>
                <w:color w:val="000000"/>
                <w:sz w:val="24"/>
              </w:rPr>
            </w:pPr>
            <w:r w:rsidRPr="00571579">
              <w:rPr>
                <w:rFonts w:cs="Arial"/>
                <w:color w:val="000000"/>
                <w:sz w:val="24"/>
              </w:rPr>
              <w:t>Assignment and Sales Manager</w:t>
            </w:r>
          </w:p>
        </w:tc>
        <w:tc>
          <w:tcPr>
            <w:tcW w:w="540" w:type="dxa"/>
            <w:tcBorders>
              <w:top w:val="nil"/>
              <w:left w:val="nil"/>
              <w:bottom w:val="single" w:sz="4" w:space="0" w:color="auto"/>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579" w:rsidRPr="00571579" w:rsidRDefault="00571579" w:rsidP="00571579">
            <w:pPr>
              <w:rPr>
                <w:rFonts w:cs="Arial"/>
                <w:color w:val="000000"/>
                <w:sz w:val="24"/>
              </w:rPr>
            </w:pPr>
            <w:r w:rsidRPr="00571579">
              <w:rPr>
                <w:rFonts w:cs="Arial"/>
                <w:color w:val="000000"/>
                <w:sz w:val="24"/>
              </w:rPr>
              <w:t xml:space="preserve">Assignment and Sales Principal </w:t>
            </w:r>
          </w:p>
        </w:tc>
        <w:tc>
          <w:tcPr>
            <w:tcW w:w="640" w:type="dxa"/>
            <w:tcBorders>
              <w:top w:val="nil"/>
              <w:left w:val="nil"/>
              <w:bottom w:val="single" w:sz="4" w:space="0" w:color="auto"/>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571579" w:rsidRPr="00571579" w:rsidRDefault="00571579" w:rsidP="00571579">
            <w:pPr>
              <w:rPr>
                <w:rFonts w:cs="Arial"/>
                <w:color w:val="000000"/>
                <w:sz w:val="24"/>
              </w:rPr>
            </w:pPr>
          </w:p>
        </w:tc>
      </w:tr>
      <w:tr w:rsidR="00571579" w:rsidRPr="00571579" w:rsidTr="00571579">
        <w:trPr>
          <w:trHeight w:val="300"/>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single" w:sz="4" w:space="0" w:color="auto"/>
              <w:bottom w:val="nil"/>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single" w:sz="4" w:space="0" w:color="auto"/>
              <w:bottom w:val="nil"/>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579" w:rsidRPr="00571579" w:rsidRDefault="00571579" w:rsidP="00571579">
            <w:pPr>
              <w:rPr>
                <w:rFonts w:cs="Arial"/>
                <w:color w:val="000000"/>
                <w:sz w:val="24"/>
              </w:rPr>
            </w:pPr>
            <w:r w:rsidRPr="00571579">
              <w:rPr>
                <w:rFonts w:cs="Arial"/>
                <w:color w:val="000000"/>
                <w:sz w:val="24"/>
              </w:rPr>
              <w:t>Assignment and Sales Officer</w:t>
            </w: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571579" w:rsidRPr="00571579" w:rsidRDefault="00571579" w:rsidP="00571579">
            <w:pPr>
              <w:rPr>
                <w:rFonts w:cs="Arial"/>
                <w:color w:val="000000"/>
                <w:sz w:val="24"/>
              </w:rPr>
            </w:pP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single" w:sz="4" w:space="0" w:color="auto"/>
              <w:bottom w:val="nil"/>
              <w:right w:val="nil"/>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71579" w:rsidRPr="00571579" w:rsidRDefault="00571579" w:rsidP="00571579">
            <w:pPr>
              <w:rPr>
                <w:rFonts w:cs="Arial"/>
                <w:color w:val="000000"/>
                <w:sz w:val="24"/>
              </w:rPr>
            </w:pPr>
            <w:r w:rsidRPr="00571579">
              <w:rPr>
                <w:rFonts w:cs="Arial"/>
                <w:color w:val="000000"/>
                <w:sz w:val="24"/>
              </w:rPr>
              <w:t> </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579" w:rsidRPr="00571579" w:rsidRDefault="00571579" w:rsidP="00571579">
            <w:pPr>
              <w:rPr>
                <w:rFonts w:cs="Arial"/>
                <w:color w:val="000000"/>
                <w:sz w:val="24"/>
              </w:rPr>
            </w:pPr>
            <w:r w:rsidRPr="00571579">
              <w:rPr>
                <w:rFonts w:cs="Arial"/>
                <w:color w:val="000000"/>
                <w:sz w:val="24"/>
              </w:rPr>
              <w:t>Assignment and Sales Officer</w:t>
            </w:r>
          </w:p>
        </w:tc>
      </w:tr>
      <w:tr w:rsidR="00571579" w:rsidRPr="00571579" w:rsidTr="00571579">
        <w:trPr>
          <w:trHeight w:val="300"/>
        </w:trPr>
        <w:tc>
          <w:tcPr>
            <w:tcW w:w="23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4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6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5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19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4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620" w:type="dxa"/>
            <w:tcBorders>
              <w:top w:val="nil"/>
              <w:left w:val="nil"/>
              <w:bottom w:val="nil"/>
              <w:right w:val="nil"/>
            </w:tcBorders>
            <w:shd w:val="clear" w:color="auto" w:fill="auto"/>
            <w:noWrap/>
            <w:vAlign w:val="bottom"/>
            <w:hideMark/>
          </w:tcPr>
          <w:p w:rsidR="00571579" w:rsidRPr="00571579" w:rsidRDefault="00571579" w:rsidP="00571579">
            <w:pPr>
              <w:rPr>
                <w:rFonts w:cs="Arial"/>
                <w:color w:val="000000"/>
                <w:sz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571579" w:rsidRPr="00571579" w:rsidRDefault="00571579" w:rsidP="00571579">
            <w:pPr>
              <w:rPr>
                <w:rFonts w:cs="Arial"/>
                <w:color w:val="000000"/>
                <w:sz w:val="24"/>
              </w:rPr>
            </w:pPr>
          </w:p>
        </w:tc>
      </w:tr>
    </w:tbl>
    <w:p w:rsidR="00571579" w:rsidRDefault="00571579" w:rsidP="00EB687D">
      <w:pPr>
        <w:rPr>
          <w:b/>
        </w:rPr>
      </w:pPr>
    </w:p>
    <w:sectPr w:rsidR="00571579"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CDB787B"/>
    <w:multiLevelType w:val="hybridMultilevel"/>
    <w:tmpl w:val="9742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45E2534"/>
    <w:multiLevelType w:val="hybridMultilevel"/>
    <w:tmpl w:val="E3EEA3D4"/>
    <w:lvl w:ilvl="0" w:tplc="0DA00526">
      <w:start w:val="1"/>
      <w:numFmt w:val="bullet"/>
      <w:lvlText w:val="•"/>
      <w:lvlJc w:val="left"/>
      <w:pPr>
        <w:tabs>
          <w:tab w:val="num" w:pos="360"/>
        </w:tabs>
        <w:ind w:left="360" w:hanging="360"/>
      </w:pPr>
      <w:rPr>
        <w:rFonts w:ascii="Helvetica 55 Roman" w:hAnsi="Helvetica 55 Roman"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A104DE"/>
    <w:multiLevelType w:val="hybridMultilevel"/>
    <w:tmpl w:val="E8BE57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D602578"/>
    <w:multiLevelType w:val="hybridMultilevel"/>
    <w:tmpl w:val="576A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3"/>
  </w:num>
  <w:num w:numId="4">
    <w:abstractNumId w:val="21"/>
  </w:num>
  <w:num w:numId="5">
    <w:abstractNumId w:val="1"/>
  </w:num>
  <w:num w:numId="6">
    <w:abstractNumId w:val="6"/>
  </w:num>
  <w:num w:numId="7">
    <w:abstractNumId w:val="19"/>
  </w:num>
  <w:num w:numId="8">
    <w:abstractNumId w:val="14"/>
  </w:num>
  <w:num w:numId="9">
    <w:abstractNumId w:val="5"/>
  </w:num>
  <w:num w:numId="10">
    <w:abstractNumId w:val="11"/>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10"/>
  </w:num>
  <w:num w:numId="22">
    <w:abstractNumId w:val="18"/>
  </w:num>
  <w:num w:numId="23">
    <w:abstractNumId w:val="7"/>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5741C"/>
    <w:rsid w:val="001860D8"/>
    <w:rsid w:val="0019186D"/>
    <w:rsid w:val="001918B6"/>
    <w:rsid w:val="001A0765"/>
    <w:rsid w:val="001A0F55"/>
    <w:rsid w:val="001D7D3F"/>
    <w:rsid w:val="001E0218"/>
    <w:rsid w:val="001F178A"/>
    <w:rsid w:val="00206A7F"/>
    <w:rsid w:val="002276F6"/>
    <w:rsid w:val="002335E9"/>
    <w:rsid w:val="00241AA7"/>
    <w:rsid w:val="00253840"/>
    <w:rsid w:val="00253888"/>
    <w:rsid w:val="0026753A"/>
    <w:rsid w:val="00281B56"/>
    <w:rsid w:val="00287409"/>
    <w:rsid w:val="002902CB"/>
    <w:rsid w:val="002976AB"/>
    <w:rsid w:val="002A4F5F"/>
    <w:rsid w:val="002A5E19"/>
    <w:rsid w:val="002B66D4"/>
    <w:rsid w:val="002C06AA"/>
    <w:rsid w:val="002E6F4B"/>
    <w:rsid w:val="002E7A75"/>
    <w:rsid w:val="00301899"/>
    <w:rsid w:val="00303FA0"/>
    <w:rsid w:val="003056BE"/>
    <w:rsid w:val="0032261C"/>
    <w:rsid w:val="0034154B"/>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119C"/>
    <w:rsid w:val="003F5019"/>
    <w:rsid w:val="00406285"/>
    <w:rsid w:val="004119E1"/>
    <w:rsid w:val="00414C76"/>
    <w:rsid w:val="00420030"/>
    <w:rsid w:val="00430DD4"/>
    <w:rsid w:val="00434258"/>
    <w:rsid w:val="0044247C"/>
    <w:rsid w:val="0044515E"/>
    <w:rsid w:val="00446667"/>
    <w:rsid w:val="00453122"/>
    <w:rsid w:val="0045427B"/>
    <w:rsid w:val="00457CD5"/>
    <w:rsid w:val="00465945"/>
    <w:rsid w:val="00482BEE"/>
    <w:rsid w:val="00493519"/>
    <w:rsid w:val="004B3955"/>
    <w:rsid w:val="004B6948"/>
    <w:rsid w:val="004C1DAF"/>
    <w:rsid w:val="004C4178"/>
    <w:rsid w:val="004C6BA6"/>
    <w:rsid w:val="004E4337"/>
    <w:rsid w:val="0050456B"/>
    <w:rsid w:val="005047B8"/>
    <w:rsid w:val="00505AA1"/>
    <w:rsid w:val="00505C34"/>
    <w:rsid w:val="005149FA"/>
    <w:rsid w:val="005208A4"/>
    <w:rsid w:val="00522E90"/>
    <w:rsid w:val="00523105"/>
    <w:rsid w:val="005330D6"/>
    <w:rsid w:val="00545AAE"/>
    <w:rsid w:val="0054661D"/>
    <w:rsid w:val="005514E7"/>
    <w:rsid w:val="00553E58"/>
    <w:rsid w:val="00555816"/>
    <w:rsid w:val="0055789D"/>
    <w:rsid w:val="00571579"/>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93F31"/>
    <w:rsid w:val="007A6B99"/>
    <w:rsid w:val="007A7EB9"/>
    <w:rsid w:val="007B0D8C"/>
    <w:rsid w:val="007C6F29"/>
    <w:rsid w:val="007D25B4"/>
    <w:rsid w:val="007D7F77"/>
    <w:rsid w:val="00800BF4"/>
    <w:rsid w:val="00802681"/>
    <w:rsid w:val="00804F4D"/>
    <w:rsid w:val="00805B34"/>
    <w:rsid w:val="00806272"/>
    <w:rsid w:val="00815B53"/>
    <w:rsid w:val="00821286"/>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202C6"/>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34355"/>
    <w:rsid w:val="00B44BEE"/>
    <w:rsid w:val="00B467F0"/>
    <w:rsid w:val="00B53918"/>
    <w:rsid w:val="00B53C74"/>
    <w:rsid w:val="00B60815"/>
    <w:rsid w:val="00B75B7F"/>
    <w:rsid w:val="00B77231"/>
    <w:rsid w:val="00B9448F"/>
    <w:rsid w:val="00B97A74"/>
    <w:rsid w:val="00BB1709"/>
    <w:rsid w:val="00BB1B95"/>
    <w:rsid w:val="00BB2C98"/>
    <w:rsid w:val="00BB3268"/>
    <w:rsid w:val="00BB444A"/>
    <w:rsid w:val="00BB72E2"/>
    <w:rsid w:val="00BC4DBB"/>
    <w:rsid w:val="00BD52A2"/>
    <w:rsid w:val="00BD6060"/>
    <w:rsid w:val="00BE1BA8"/>
    <w:rsid w:val="00BE3913"/>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8744A"/>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9329B"/>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6767D3"/>
  <w15:docId w15:val="{AFBA3716-9C4F-4E26-9E6B-92FD7B5F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customStyle="1" w:styleId="FooterChar">
    <w:name w:val="Footer Char"/>
    <w:basedOn w:val="DefaultParagraphFont"/>
    <w:link w:val="Footer"/>
    <w:rsid w:val="005330D6"/>
    <w:rPr>
      <w:rFonts w:ascii="Arial" w:hAnsi="Arial"/>
      <w:sz w:val="22"/>
      <w:szCs w:val="24"/>
    </w:rPr>
  </w:style>
  <w:style w:type="paragraph" w:styleId="ListParagraph">
    <w:name w:val="List Paragraph"/>
    <w:basedOn w:val="Normal"/>
    <w:uiPriority w:val="34"/>
    <w:qFormat/>
    <w:rsid w:val="00BB2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0340188">
      <w:bodyDiv w:val="1"/>
      <w:marLeft w:val="0"/>
      <w:marRight w:val="0"/>
      <w:marTop w:val="0"/>
      <w:marBottom w:val="0"/>
      <w:divBdr>
        <w:top w:val="none" w:sz="0" w:space="0" w:color="auto"/>
        <w:left w:val="none" w:sz="0" w:space="0" w:color="auto"/>
        <w:bottom w:val="none" w:sz="0" w:space="0" w:color="auto"/>
        <w:right w:val="none" w:sz="0" w:space="0" w:color="auto"/>
      </w:divBdr>
    </w:div>
    <w:div w:id="21108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548</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2018-08-30T14:28:00Z</dcterms:created>
  <dcterms:modified xsi:type="dcterms:W3CDTF">2018-08-30T14:38:00Z</dcterms:modified>
</cp:coreProperties>
</file>