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37D4" w:rsidRDefault="001037D4" w:rsidP="001037D4">
      <w:pPr>
        <w:rPr>
          <w:b/>
          <w:sz w:val="28"/>
          <w:szCs w:val="28"/>
        </w:rPr>
      </w:pPr>
      <w:r>
        <w:rPr>
          <w:b/>
          <w:sz w:val="28"/>
          <w:szCs w:val="28"/>
        </w:rPr>
        <w:t>The Italian Hospital Chapel</w:t>
      </w:r>
    </w:p>
    <w:p w:rsidR="001037D4" w:rsidRPr="00787064" w:rsidRDefault="001037D4" w:rsidP="001037D4">
      <w:r w:rsidRPr="00787064">
        <w:t xml:space="preserve">The Italian Hospital (Queen Square, Bloomsbury) closed in 1990 and the property was bought by the Great Ormond Street Hospital Charity.  Since 1991, Great Ormond Street Hospital (GOSH) has used the building for non-clinical </w:t>
      </w:r>
      <w:r w:rsidR="007E25F4" w:rsidRPr="00787064">
        <w:t>functions</w:t>
      </w:r>
      <w:r w:rsidR="00953D23" w:rsidRPr="00787064">
        <w:t>.</w:t>
      </w:r>
    </w:p>
    <w:p w:rsidR="001037D4" w:rsidRPr="00787064" w:rsidRDefault="001037D4" w:rsidP="001037D4">
      <w:r w:rsidRPr="00787064">
        <w:t>The original</w:t>
      </w:r>
      <w:r w:rsidR="007E25F4" w:rsidRPr="00787064">
        <w:t xml:space="preserve"> chapel of the Italian Hospital, located on the top (3</w:t>
      </w:r>
      <w:r w:rsidR="007E25F4" w:rsidRPr="00787064">
        <w:rPr>
          <w:vertAlign w:val="superscript"/>
        </w:rPr>
        <w:t>rd</w:t>
      </w:r>
      <w:r w:rsidR="007E25F4" w:rsidRPr="00787064">
        <w:t xml:space="preserve">) floor, </w:t>
      </w:r>
      <w:r w:rsidRPr="00787064">
        <w:t xml:space="preserve">was retained but has not been used for </w:t>
      </w:r>
      <w:r w:rsidR="00953D23" w:rsidRPr="00787064">
        <w:t>formal</w:t>
      </w:r>
      <w:r w:rsidRPr="00787064">
        <w:t xml:space="preserve"> Christian worship during GOSH’s ownership of the building.  The space continues to be made available to staff and parents that are resident in the building although there is little evidence that many people choose to use the space</w:t>
      </w:r>
      <w:r w:rsidR="007E25F4" w:rsidRPr="00787064">
        <w:t xml:space="preserve"> and the focus of Christian prayer and worship for GOSH is the historic chapel of St Christopher in the main hospital building</w:t>
      </w:r>
      <w:r w:rsidRPr="00787064">
        <w:t>.</w:t>
      </w:r>
    </w:p>
    <w:p w:rsidR="00CA7D4B" w:rsidRPr="00787064" w:rsidRDefault="001037D4" w:rsidP="001037D4">
      <w:r w:rsidRPr="00787064">
        <w:t>GOSH is in the process of investigating future use of the Italian Hospital as an outpatient facility and the chapel space is requi</w:t>
      </w:r>
      <w:r w:rsidR="00596A97" w:rsidRPr="00787064">
        <w:t>red for an alternative function</w:t>
      </w:r>
      <w:r w:rsidRPr="00787064">
        <w:t>.  Whilst the plans would include retention of the historic fabric of the space (</w:t>
      </w:r>
      <w:r w:rsidR="007E25F4" w:rsidRPr="00787064">
        <w:t xml:space="preserve">including </w:t>
      </w:r>
      <w:r w:rsidRPr="00787064">
        <w:t>stained glass windows, decorative columns</w:t>
      </w:r>
      <w:r w:rsidR="00596A97" w:rsidRPr="00787064">
        <w:t>, carved frieze</w:t>
      </w:r>
      <w:r w:rsidRPr="00787064">
        <w:t xml:space="preserve"> and feature domed ceiling) </w:t>
      </w:r>
      <w:r w:rsidR="00A92747">
        <w:t>GOSH would like to relocate the altar, so that it can be brought back into ecclesial use</w:t>
      </w:r>
      <w:r w:rsidR="00CA7D4B">
        <w:t>.  In its current home, this will not happen.</w:t>
      </w:r>
      <w:r w:rsidR="00A92747">
        <w:t xml:space="preserve">  Relocation of the altar will be subject to listed building consent from Camden Borough Council.</w:t>
      </w:r>
    </w:p>
    <w:p w:rsidR="001037D4" w:rsidRPr="00787064" w:rsidRDefault="001037D4" w:rsidP="001037D4">
      <w:r w:rsidRPr="00787064">
        <w:t>The alt</w:t>
      </w:r>
      <w:r w:rsidR="00D91830" w:rsidRPr="00787064">
        <w:t>ar is approximately 2850mm x 255</w:t>
      </w:r>
      <w:r w:rsidRPr="00787064">
        <w:t xml:space="preserve">0mm </w:t>
      </w:r>
      <w:r w:rsidR="008B2659" w:rsidRPr="00787064">
        <w:t>at its widest</w:t>
      </w:r>
      <w:r w:rsidR="00D91830" w:rsidRPr="00787064">
        <w:t xml:space="preserve"> and, at its tallest, reaches 25</w:t>
      </w:r>
      <w:r w:rsidRPr="00787064">
        <w:t>00mm in height (see image</w:t>
      </w:r>
      <w:r w:rsidR="00953D23" w:rsidRPr="00787064">
        <w:t>s</w:t>
      </w:r>
      <w:r w:rsidR="003C2F13" w:rsidRPr="00787064">
        <w:t xml:space="preserve"> and sketch</w:t>
      </w:r>
      <w:r w:rsidRPr="00787064">
        <w:t xml:space="preserve"> below).</w:t>
      </w:r>
      <w:r w:rsidR="00953D23" w:rsidRPr="00787064">
        <w:t xml:space="preserve">  The relic </w:t>
      </w:r>
      <w:r w:rsidR="007F5091">
        <w:t>appears to remain in situ</w:t>
      </w:r>
      <w:r w:rsidR="00953D23" w:rsidRPr="00787064">
        <w:t>.</w:t>
      </w:r>
    </w:p>
    <w:p w:rsidR="00197D5C" w:rsidRPr="00787064" w:rsidRDefault="00197D5C" w:rsidP="001037D4">
      <w:r w:rsidRPr="00787064">
        <w:t xml:space="preserve">Having established that </w:t>
      </w:r>
      <w:r w:rsidR="00CA7D4B">
        <w:t xml:space="preserve">neither </w:t>
      </w:r>
      <w:r w:rsidRPr="00787064">
        <w:t xml:space="preserve">the Italian Church in Clerkenwell </w:t>
      </w:r>
      <w:r w:rsidR="00CA7D4B">
        <w:t xml:space="preserve">nor our local parish church of St Anselm and St Cecilia </w:t>
      </w:r>
      <w:r w:rsidRPr="00787064">
        <w:t>can accommodate the altar, GOSH is seeking to find a church that would like to have it</w:t>
      </w:r>
      <w:r w:rsidR="00A92747">
        <w:t>, if removal is permitted</w:t>
      </w:r>
      <w:r w:rsidRPr="00787064">
        <w:t xml:space="preserve">.  The logistics and costs associated with the removal and relocation of the altar </w:t>
      </w:r>
      <w:r w:rsidR="00596A97" w:rsidRPr="00787064">
        <w:t>will be the responsibility of</w:t>
      </w:r>
      <w:r w:rsidRPr="00787064">
        <w:t xml:space="preserve"> whichever church agrees to have it.</w:t>
      </w:r>
    </w:p>
    <w:p w:rsidR="001037D4" w:rsidRDefault="00953D23" w:rsidP="001037D4">
      <w:pPr>
        <w:rPr>
          <w:sz w:val="24"/>
          <w:szCs w:val="24"/>
        </w:rPr>
      </w:pPr>
      <w:r>
        <w:rPr>
          <w:noProof/>
          <w:sz w:val="24"/>
          <w:szCs w:val="24"/>
          <w:lang w:eastAsia="en-GB"/>
        </w:rPr>
        <w:drawing>
          <wp:inline distT="0" distB="0" distL="0" distR="0">
            <wp:extent cx="5985867" cy="336232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170227_093556974.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85867" cy="3362325"/>
                    </a:xfrm>
                    <a:prstGeom prst="rect">
                      <a:avLst/>
                    </a:prstGeom>
                  </pic:spPr>
                </pic:pic>
              </a:graphicData>
            </a:graphic>
          </wp:inline>
        </w:drawing>
      </w:r>
    </w:p>
    <w:p w:rsidR="00787064" w:rsidRDefault="00787064">
      <w:pPr>
        <w:rPr>
          <w:b/>
          <w:sz w:val="24"/>
          <w:szCs w:val="24"/>
        </w:rPr>
      </w:pPr>
      <w:r>
        <w:rPr>
          <w:b/>
          <w:sz w:val="24"/>
          <w:szCs w:val="24"/>
        </w:rPr>
        <w:br w:type="page"/>
      </w:r>
    </w:p>
    <w:p w:rsidR="003C2F13" w:rsidRPr="003C2F13" w:rsidRDefault="003C2F13" w:rsidP="001037D4">
      <w:pPr>
        <w:rPr>
          <w:b/>
          <w:sz w:val="24"/>
          <w:szCs w:val="24"/>
        </w:rPr>
      </w:pPr>
      <w:r>
        <w:rPr>
          <w:b/>
          <w:sz w:val="24"/>
          <w:szCs w:val="24"/>
        </w:rPr>
        <w:lastRenderedPageBreak/>
        <w:t>Plan View (not to scale)</w:t>
      </w:r>
    </w:p>
    <w:p w:rsidR="003C2F13" w:rsidRDefault="003C2F13" w:rsidP="002C1575">
      <w:pPr>
        <w:tabs>
          <w:tab w:val="left" w:pos="2029"/>
        </w:tabs>
      </w:pPr>
      <w:r>
        <w:rPr>
          <w:noProof/>
          <w:lang w:eastAsia="en-GB"/>
        </w:rPr>
        <w:drawing>
          <wp:inline distT="0" distB="0" distL="0" distR="0" wp14:anchorId="660ECE7D" wp14:editId="61147164">
            <wp:extent cx="5648325" cy="445920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48950" cy="4459698"/>
                    </a:xfrm>
                    <a:prstGeom prst="rect">
                      <a:avLst/>
                    </a:prstGeom>
                    <a:noFill/>
                    <a:ln>
                      <a:noFill/>
                    </a:ln>
                  </pic:spPr>
                </pic:pic>
              </a:graphicData>
            </a:graphic>
          </wp:inline>
        </w:drawing>
      </w:r>
    </w:p>
    <w:p w:rsidR="003C2F13" w:rsidRDefault="003C2F13" w:rsidP="002C1575">
      <w:pPr>
        <w:tabs>
          <w:tab w:val="left" w:pos="2029"/>
        </w:tabs>
        <w:rPr>
          <w:b/>
          <w:sz w:val="24"/>
          <w:szCs w:val="24"/>
        </w:rPr>
      </w:pPr>
      <w:r>
        <w:rPr>
          <w:b/>
          <w:sz w:val="24"/>
          <w:szCs w:val="24"/>
        </w:rPr>
        <w:t>Images of Design Details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4"/>
        <w:gridCol w:w="4568"/>
      </w:tblGrid>
      <w:tr w:rsidR="003C2F13" w:rsidTr="00810B35">
        <w:trPr>
          <w:trHeight w:val="2693"/>
          <w:jc w:val="center"/>
        </w:trPr>
        <w:tc>
          <w:tcPr>
            <w:tcW w:w="6161" w:type="dxa"/>
            <w:vAlign w:val="center"/>
          </w:tcPr>
          <w:p w:rsidR="003C2F13" w:rsidRDefault="003C2F13" w:rsidP="003C2F13">
            <w:pPr>
              <w:tabs>
                <w:tab w:val="left" w:pos="2029"/>
              </w:tabs>
              <w:jc w:val="center"/>
              <w:rPr>
                <w:b/>
                <w:sz w:val="24"/>
                <w:szCs w:val="24"/>
              </w:rPr>
            </w:pPr>
            <w:r>
              <w:rPr>
                <w:b/>
                <w:noProof/>
                <w:sz w:val="24"/>
                <w:szCs w:val="24"/>
                <w:lang w:eastAsia="en-GB"/>
              </w:rPr>
              <w:drawing>
                <wp:inline distT="0" distB="0" distL="0" distR="0" wp14:anchorId="0828D542" wp14:editId="2189FDD9">
                  <wp:extent cx="2730098" cy="15335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170227_093632556.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733935" cy="1535680"/>
                          </a:xfrm>
                          <a:prstGeom prst="rect">
                            <a:avLst/>
                          </a:prstGeom>
                        </pic:spPr>
                      </pic:pic>
                    </a:graphicData>
                  </a:graphic>
                </wp:inline>
              </w:drawing>
            </w:r>
          </w:p>
        </w:tc>
        <w:tc>
          <w:tcPr>
            <w:tcW w:w="3081" w:type="dxa"/>
            <w:vAlign w:val="center"/>
          </w:tcPr>
          <w:p w:rsidR="003C2F13" w:rsidRDefault="003C2F13" w:rsidP="003C2F13">
            <w:pPr>
              <w:tabs>
                <w:tab w:val="left" w:pos="2029"/>
              </w:tabs>
              <w:jc w:val="center"/>
              <w:rPr>
                <w:b/>
                <w:sz w:val="24"/>
                <w:szCs w:val="24"/>
              </w:rPr>
            </w:pPr>
            <w:r>
              <w:rPr>
                <w:b/>
                <w:noProof/>
                <w:sz w:val="24"/>
                <w:szCs w:val="24"/>
                <w:lang w:eastAsia="en-GB"/>
              </w:rPr>
              <w:drawing>
                <wp:inline distT="0" distB="0" distL="0" distR="0" wp14:anchorId="45DC4280" wp14:editId="2DF00C15">
                  <wp:extent cx="2764013" cy="15525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170227_093651443.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61364" cy="1551087"/>
                          </a:xfrm>
                          <a:prstGeom prst="rect">
                            <a:avLst/>
                          </a:prstGeom>
                        </pic:spPr>
                      </pic:pic>
                    </a:graphicData>
                  </a:graphic>
                </wp:inline>
              </w:drawing>
            </w:r>
          </w:p>
        </w:tc>
      </w:tr>
      <w:tr w:rsidR="003C2F13" w:rsidTr="00810B35">
        <w:trPr>
          <w:trHeight w:val="2689"/>
          <w:jc w:val="center"/>
        </w:trPr>
        <w:tc>
          <w:tcPr>
            <w:tcW w:w="6161" w:type="dxa"/>
            <w:vAlign w:val="center"/>
          </w:tcPr>
          <w:p w:rsidR="003C2F13" w:rsidRDefault="00C5064C" w:rsidP="003C2F13">
            <w:pPr>
              <w:tabs>
                <w:tab w:val="left" w:pos="2029"/>
              </w:tabs>
              <w:jc w:val="center"/>
              <w:rPr>
                <w:b/>
                <w:sz w:val="24"/>
                <w:szCs w:val="24"/>
              </w:rPr>
            </w:pPr>
            <w:r>
              <w:rPr>
                <w:b/>
                <w:noProof/>
                <w:sz w:val="24"/>
                <w:szCs w:val="24"/>
                <w:lang w:eastAsia="en-GB"/>
              </w:rPr>
              <w:drawing>
                <wp:inline distT="0" distB="0" distL="0" distR="0" wp14:anchorId="6D0C4476" wp14:editId="0AAB63F9">
                  <wp:extent cx="2771659" cy="1556870"/>
                  <wp:effectExtent l="0" t="0" r="0" b="571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170227_093733102.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786765" cy="1565355"/>
                          </a:xfrm>
                          <a:prstGeom prst="rect">
                            <a:avLst/>
                          </a:prstGeom>
                        </pic:spPr>
                      </pic:pic>
                    </a:graphicData>
                  </a:graphic>
                </wp:inline>
              </w:drawing>
            </w:r>
          </w:p>
        </w:tc>
        <w:tc>
          <w:tcPr>
            <w:tcW w:w="3081" w:type="dxa"/>
            <w:vAlign w:val="center"/>
          </w:tcPr>
          <w:p w:rsidR="003C2F13" w:rsidRDefault="00810B35" w:rsidP="003C2F13">
            <w:pPr>
              <w:tabs>
                <w:tab w:val="left" w:pos="2029"/>
              </w:tabs>
              <w:jc w:val="center"/>
              <w:rPr>
                <w:b/>
                <w:sz w:val="24"/>
                <w:szCs w:val="24"/>
              </w:rPr>
            </w:pPr>
            <w:r>
              <w:rPr>
                <w:b/>
                <w:noProof/>
                <w:sz w:val="24"/>
                <w:szCs w:val="24"/>
                <w:lang w:eastAsia="en-GB"/>
              </w:rPr>
              <w:drawing>
                <wp:inline distT="0" distB="0" distL="0" distR="0" wp14:anchorId="72AEC98B" wp14:editId="3676BFA0">
                  <wp:extent cx="2743200" cy="1542553"/>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TAR_RELIC.jpg"/>
                          <pic:cNvPicPr/>
                        </pic:nvPicPr>
                        <pic:blipFill rotWithShape="1">
                          <a:blip r:embed="rId13" cstate="print">
                            <a:extLst>
                              <a:ext uri="{28A0092B-C50C-407E-A947-70E740481C1C}">
                                <a14:useLocalDpi xmlns:a14="http://schemas.microsoft.com/office/drawing/2010/main" val="0"/>
                              </a:ext>
                            </a:extLst>
                          </a:blip>
                          <a:srcRect t="11969" b="13049"/>
                          <a:stretch/>
                        </pic:blipFill>
                        <pic:spPr bwMode="auto">
                          <a:xfrm>
                            <a:off x="0" y="0"/>
                            <a:ext cx="2760645" cy="1552363"/>
                          </a:xfrm>
                          <a:prstGeom prst="rect">
                            <a:avLst/>
                          </a:prstGeom>
                          <a:ln>
                            <a:noFill/>
                          </a:ln>
                          <a:extLst>
                            <a:ext uri="{53640926-AAD7-44D8-BBD7-CCE9431645EC}">
                              <a14:shadowObscured xmlns:a14="http://schemas.microsoft.com/office/drawing/2010/main"/>
                            </a:ext>
                          </a:extLst>
                        </pic:spPr>
                      </pic:pic>
                    </a:graphicData>
                  </a:graphic>
                </wp:inline>
              </w:drawing>
            </w:r>
          </w:p>
        </w:tc>
      </w:tr>
      <w:tr w:rsidR="00810B35" w:rsidTr="00810B35">
        <w:trPr>
          <w:trHeight w:val="3622"/>
          <w:jc w:val="center"/>
        </w:trPr>
        <w:tc>
          <w:tcPr>
            <w:tcW w:w="9242" w:type="dxa"/>
            <w:gridSpan w:val="2"/>
            <w:vAlign w:val="center"/>
          </w:tcPr>
          <w:p w:rsidR="00810B35" w:rsidRDefault="00810B35" w:rsidP="003C2F13">
            <w:pPr>
              <w:tabs>
                <w:tab w:val="left" w:pos="2029"/>
              </w:tabs>
              <w:jc w:val="center"/>
              <w:rPr>
                <w:b/>
                <w:noProof/>
                <w:sz w:val="24"/>
                <w:szCs w:val="24"/>
                <w:lang w:eastAsia="en-GB"/>
              </w:rPr>
            </w:pPr>
            <w:r>
              <w:rPr>
                <w:b/>
                <w:noProof/>
                <w:sz w:val="24"/>
                <w:szCs w:val="24"/>
                <w:lang w:eastAsia="en-GB"/>
              </w:rPr>
              <w:lastRenderedPageBreak/>
              <w:drawing>
                <wp:inline distT="0" distB="0" distL="0" distR="0" wp14:anchorId="3571B2E9" wp14:editId="65E95B00">
                  <wp:extent cx="3705308" cy="2081311"/>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170227_093641700_HDR.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704415" cy="2080810"/>
                          </a:xfrm>
                          <a:prstGeom prst="rect">
                            <a:avLst/>
                          </a:prstGeom>
                        </pic:spPr>
                      </pic:pic>
                    </a:graphicData>
                  </a:graphic>
                </wp:inline>
              </w:drawing>
            </w:r>
          </w:p>
        </w:tc>
      </w:tr>
      <w:tr w:rsidR="003C2F13" w:rsidTr="00810B35">
        <w:trPr>
          <w:trHeight w:val="5245"/>
          <w:jc w:val="center"/>
        </w:trPr>
        <w:tc>
          <w:tcPr>
            <w:tcW w:w="6161" w:type="dxa"/>
            <w:vAlign w:val="center"/>
          </w:tcPr>
          <w:p w:rsidR="003C2F13" w:rsidRDefault="00953D23" w:rsidP="003C2F13">
            <w:pPr>
              <w:tabs>
                <w:tab w:val="left" w:pos="2029"/>
              </w:tabs>
              <w:jc w:val="center"/>
              <w:rPr>
                <w:b/>
                <w:sz w:val="24"/>
                <w:szCs w:val="24"/>
              </w:rPr>
            </w:pPr>
            <w:r>
              <w:rPr>
                <w:b/>
                <w:noProof/>
                <w:sz w:val="24"/>
                <w:szCs w:val="24"/>
                <w:lang w:eastAsia="en-GB"/>
              </w:rPr>
              <w:drawing>
                <wp:inline distT="0" distB="0" distL="0" distR="0" wp14:anchorId="3180A9FF" wp14:editId="30065A21">
                  <wp:extent cx="1786542" cy="3180522"/>
                  <wp:effectExtent l="0" t="0" r="4445" b="127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170227_093659965.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790568" cy="3187689"/>
                          </a:xfrm>
                          <a:prstGeom prst="rect">
                            <a:avLst/>
                          </a:prstGeom>
                        </pic:spPr>
                      </pic:pic>
                    </a:graphicData>
                  </a:graphic>
                </wp:inline>
              </w:drawing>
            </w:r>
          </w:p>
        </w:tc>
        <w:tc>
          <w:tcPr>
            <w:tcW w:w="3081" w:type="dxa"/>
            <w:vAlign w:val="center"/>
          </w:tcPr>
          <w:p w:rsidR="003C2F13" w:rsidRDefault="00953D23" w:rsidP="003C2F13">
            <w:pPr>
              <w:tabs>
                <w:tab w:val="left" w:pos="2029"/>
              </w:tabs>
              <w:jc w:val="center"/>
              <w:rPr>
                <w:b/>
                <w:sz w:val="24"/>
                <w:szCs w:val="24"/>
              </w:rPr>
            </w:pPr>
            <w:r>
              <w:rPr>
                <w:b/>
                <w:noProof/>
                <w:sz w:val="24"/>
                <w:szCs w:val="24"/>
                <w:lang w:eastAsia="en-GB"/>
              </w:rPr>
              <w:drawing>
                <wp:inline distT="0" distB="0" distL="0" distR="0" wp14:anchorId="7EBC6A31" wp14:editId="1D42E193">
                  <wp:extent cx="1786540" cy="3180521"/>
                  <wp:effectExtent l="0" t="0" r="4445" b="127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170227_093706550_HDR.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800971" cy="3206212"/>
                          </a:xfrm>
                          <a:prstGeom prst="rect">
                            <a:avLst/>
                          </a:prstGeom>
                        </pic:spPr>
                      </pic:pic>
                    </a:graphicData>
                  </a:graphic>
                </wp:inline>
              </w:drawing>
            </w:r>
          </w:p>
        </w:tc>
      </w:tr>
      <w:tr w:rsidR="00953D23" w:rsidTr="00810B35">
        <w:trPr>
          <w:trHeight w:val="5465"/>
          <w:jc w:val="center"/>
        </w:trPr>
        <w:tc>
          <w:tcPr>
            <w:tcW w:w="6161" w:type="dxa"/>
            <w:vAlign w:val="center"/>
          </w:tcPr>
          <w:p w:rsidR="00953D23" w:rsidRDefault="00953D23" w:rsidP="003C2F13">
            <w:pPr>
              <w:tabs>
                <w:tab w:val="left" w:pos="2029"/>
              </w:tabs>
              <w:jc w:val="center"/>
              <w:rPr>
                <w:b/>
                <w:noProof/>
                <w:sz w:val="24"/>
                <w:szCs w:val="24"/>
                <w:lang w:eastAsia="en-GB"/>
              </w:rPr>
            </w:pPr>
            <w:r>
              <w:rPr>
                <w:b/>
                <w:noProof/>
                <w:sz w:val="24"/>
                <w:szCs w:val="24"/>
                <w:lang w:eastAsia="en-GB"/>
              </w:rPr>
              <w:drawing>
                <wp:inline distT="0" distB="0" distL="0" distR="0" wp14:anchorId="241AFDBE" wp14:editId="3A853AD0">
                  <wp:extent cx="1757239" cy="3128356"/>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170227_093829354.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764331" cy="3140981"/>
                          </a:xfrm>
                          <a:prstGeom prst="rect">
                            <a:avLst/>
                          </a:prstGeom>
                        </pic:spPr>
                      </pic:pic>
                    </a:graphicData>
                  </a:graphic>
                </wp:inline>
              </w:drawing>
            </w:r>
          </w:p>
        </w:tc>
        <w:tc>
          <w:tcPr>
            <w:tcW w:w="3081" w:type="dxa"/>
            <w:vAlign w:val="center"/>
          </w:tcPr>
          <w:p w:rsidR="00953D23" w:rsidRDefault="00953D23" w:rsidP="003C2F13">
            <w:pPr>
              <w:tabs>
                <w:tab w:val="left" w:pos="2029"/>
              </w:tabs>
              <w:jc w:val="center"/>
              <w:rPr>
                <w:b/>
                <w:noProof/>
                <w:sz w:val="24"/>
                <w:szCs w:val="24"/>
                <w:lang w:eastAsia="en-GB"/>
              </w:rPr>
            </w:pPr>
            <w:r>
              <w:rPr>
                <w:b/>
                <w:noProof/>
                <w:sz w:val="24"/>
                <w:szCs w:val="24"/>
                <w:lang w:eastAsia="en-GB"/>
              </w:rPr>
              <w:drawing>
                <wp:inline distT="0" distB="0" distL="0" distR="0" wp14:anchorId="242E20C5" wp14:editId="18ABEBED">
                  <wp:extent cx="1773142" cy="3156668"/>
                  <wp:effectExtent l="0" t="0" r="0" b="571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170127_144926472.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773596" cy="3157476"/>
                          </a:xfrm>
                          <a:prstGeom prst="rect">
                            <a:avLst/>
                          </a:prstGeom>
                        </pic:spPr>
                      </pic:pic>
                    </a:graphicData>
                  </a:graphic>
                </wp:inline>
              </w:drawing>
            </w:r>
          </w:p>
        </w:tc>
      </w:tr>
    </w:tbl>
    <w:p w:rsidR="009F385C" w:rsidRDefault="009F385C">
      <w:pPr>
        <w:rPr>
          <w:sz w:val="24"/>
          <w:szCs w:val="24"/>
        </w:rPr>
      </w:pPr>
      <w:r>
        <w:rPr>
          <w:sz w:val="24"/>
          <w:szCs w:val="24"/>
        </w:rPr>
        <w:lastRenderedPageBreak/>
        <w:t>The Italian Hospital provided healthcare to the Italian community of London from the late 19</w:t>
      </w:r>
      <w:r w:rsidRPr="009F385C">
        <w:rPr>
          <w:sz w:val="24"/>
          <w:szCs w:val="24"/>
          <w:vertAlign w:val="superscript"/>
        </w:rPr>
        <w:t>th</w:t>
      </w:r>
      <w:r>
        <w:rPr>
          <w:sz w:val="24"/>
          <w:szCs w:val="24"/>
        </w:rPr>
        <w:t xml:space="preserve"> century until 1990, when the building transferred to GOSH.  The image below shows the chapel in 1903, when the hospital was administered by the Sisters of Charity of St Vincent de Paul.  The emblem of the order </w:t>
      </w:r>
      <w:r w:rsidR="00810B35" w:rsidRPr="00810B35">
        <w:rPr>
          <w:sz w:val="24"/>
          <w:szCs w:val="24"/>
        </w:rPr>
        <w:t xml:space="preserve">(from the miraculous medal given to St Catherine </w:t>
      </w:r>
      <w:proofErr w:type="spellStart"/>
      <w:r w:rsidR="00810B35" w:rsidRPr="00810B35">
        <w:rPr>
          <w:sz w:val="24"/>
          <w:szCs w:val="24"/>
        </w:rPr>
        <w:t>Labouré</w:t>
      </w:r>
      <w:proofErr w:type="spellEnd"/>
      <w:r w:rsidR="00810B35" w:rsidRPr="00810B35">
        <w:rPr>
          <w:sz w:val="24"/>
          <w:szCs w:val="24"/>
        </w:rPr>
        <w:t xml:space="preserve"> by the Virgin Mary in 1830) </w:t>
      </w:r>
      <w:r>
        <w:rPr>
          <w:sz w:val="24"/>
          <w:szCs w:val="24"/>
        </w:rPr>
        <w:t xml:space="preserve">features in the altar carvings and in a stained glass window in the chapel.  The sisters that were resident in the hospital used the chapel for praying the </w:t>
      </w:r>
      <w:r w:rsidR="00A92747">
        <w:rPr>
          <w:sz w:val="24"/>
          <w:szCs w:val="24"/>
        </w:rPr>
        <w:t>liturgy of the hours</w:t>
      </w:r>
      <w:bookmarkStart w:id="0" w:name="_GoBack"/>
      <w:bookmarkEnd w:id="0"/>
      <w:r>
        <w:rPr>
          <w:sz w:val="24"/>
          <w:szCs w:val="24"/>
        </w:rPr>
        <w:t xml:space="preserve"> as well as for prayer and worship for patients and families.</w:t>
      </w:r>
    </w:p>
    <w:p w:rsidR="009F385C" w:rsidRPr="009F385C" w:rsidRDefault="009F385C">
      <w:pPr>
        <w:rPr>
          <w:sz w:val="24"/>
          <w:szCs w:val="24"/>
        </w:rPr>
      </w:pPr>
      <w:r>
        <w:rPr>
          <w:sz w:val="24"/>
          <w:szCs w:val="24"/>
        </w:rPr>
        <w:t>Although a small tabernacle is incorporated into the reredos of the altar, the location of the key is not known.</w:t>
      </w:r>
    </w:p>
    <w:p w:rsidR="009F385C" w:rsidRDefault="009F385C" w:rsidP="009F385C">
      <w:pPr>
        <w:jc w:val="center"/>
        <w:rPr>
          <w:b/>
          <w:sz w:val="24"/>
          <w:szCs w:val="24"/>
        </w:rPr>
      </w:pPr>
      <w:r>
        <w:rPr>
          <w:b/>
          <w:noProof/>
          <w:sz w:val="24"/>
          <w:szCs w:val="24"/>
          <w:lang w:eastAsia="en-GB"/>
        </w:rPr>
        <w:drawing>
          <wp:inline distT="0" distB="0" distL="0" distR="0">
            <wp:extent cx="4286250" cy="3505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e chapel Sep 1903 - Oct 1903.jpg"/>
                    <pic:cNvPicPr/>
                  </pic:nvPicPr>
                  <pic:blipFill>
                    <a:blip r:embed="rId19">
                      <a:extLst>
                        <a:ext uri="{28A0092B-C50C-407E-A947-70E740481C1C}">
                          <a14:useLocalDpi xmlns:a14="http://schemas.microsoft.com/office/drawing/2010/main" val="0"/>
                        </a:ext>
                      </a:extLst>
                    </a:blip>
                    <a:stretch>
                      <a:fillRect/>
                    </a:stretch>
                  </pic:blipFill>
                  <pic:spPr>
                    <a:xfrm>
                      <a:off x="0" y="0"/>
                      <a:ext cx="4286250" cy="3505200"/>
                    </a:xfrm>
                    <a:prstGeom prst="rect">
                      <a:avLst/>
                    </a:prstGeom>
                  </pic:spPr>
                </pic:pic>
              </a:graphicData>
            </a:graphic>
          </wp:inline>
        </w:drawing>
      </w:r>
    </w:p>
    <w:p w:rsidR="009F385C" w:rsidRDefault="009F385C" w:rsidP="009F385C">
      <w:pPr>
        <w:rPr>
          <w:b/>
          <w:sz w:val="24"/>
          <w:szCs w:val="24"/>
        </w:rPr>
      </w:pPr>
    </w:p>
    <w:p w:rsidR="003C2F13" w:rsidRDefault="009F385C" w:rsidP="009F385C">
      <w:pPr>
        <w:rPr>
          <w:b/>
          <w:sz w:val="24"/>
          <w:szCs w:val="24"/>
        </w:rPr>
      </w:pPr>
      <w:r>
        <w:rPr>
          <w:b/>
          <w:sz w:val="24"/>
          <w:szCs w:val="24"/>
        </w:rPr>
        <w:t>F</w:t>
      </w:r>
      <w:r w:rsidR="00197D5C">
        <w:rPr>
          <w:b/>
          <w:sz w:val="24"/>
          <w:szCs w:val="24"/>
        </w:rPr>
        <w:t>urther Information</w:t>
      </w:r>
    </w:p>
    <w:p w:rsidR="00197D5C" w:rsidRDefault="00197D5C" w:rsidP="002C1575">
      <w:pPr>
        <w:tabs>
          <w:tab w:val="left" w:pos="2029"/>
        </w:tabs>
      </w:pPr>
      <w:r>
        <w:t>To obtain further information or to arrange a viewing, please contact:</w:t>
      </w:r>
    </w:p>
    <w:p w:rsidR="00197D5C" w:rsidRPr="00596A97" w:rsidRDefault="00197D5C" w:rsidP="002C1575">
      <w:pPr>
        <w:tabs>
          <w:tab w:val="left" w:pos="2029"/>
        </w:tabs>
        <w:rPr>
          <w:sz w:val="28"/>
          <w:szCs w:val="28"/>
        </w:rPr>
      </w:pPr>
      <w:r w:rsidRPr="00596A97">
        <w:rPr>
          <w:sz w:val="28"/>
          <w:szCs w:val="28"/>
        </w:rPr>
        <w:t>Crispin Walkling-Lea</w:t>
      </w:r>
    </w:p>
    <w:p w:rsidR="00197D5C" w:rsidRPr="00596A97" w:rsidRDefault="00197D5C" w:rsidP="00596A97">
      <w:pPr>
        <w:tabs>
          <w:tab w:val="left" w:pos="2029"/>
        </w:tabs>
        <w:spacing w:after="0"/>
        <w:rPr>
          <w:sz w:val="28"/>
          <w:szCs w:val="28"/>
        </w:rPr>
      </w:pPr>
      <w:r w:rsidRPr="00596A97">
        <w:rPr>
          <w:sz w:val="28"/>
          <w:szCs w:val="28"/>
        </w:rPr>
        <w:t>Head of Healthcare Planning</w:t>
      </w:r>
    </w:p>
    <w:p w:rsidR="00197D5C" w:rsidRPr="00596A97" w:rsidRDefault="00197D5C" w:rsidP="00596A97">
      <w:pPr>
        <w:tabs>
          <w:tab w:val="left" w:pos="2029"/>
        </w:tabs>
        <w:spacing w:after="0"/>
        <w:rPr>
          <w:sz w:val="28"/>
          <w:szCs w:val="28"/>
        </w:rPr>
      </w:pPr>
      <w:r w:rsidRPr="00596A97">
        <w:rPr>
          <w:sz w:val="28"/>
          <w:szCs w:val="28"/>
        </w:rPr>
        <w:t>Development &amp; Property Services</w:t>
      </w:r>
    </w:p>
    <w:p w:rsidR="00197D5C" w:rsidRPr="00596A97" w:rsidRDefault="00197D5C" w:rsidP="002C1575">
      <w:pPr>
        <w:tabs>
          <w:tab w:val="left" w:pos="2029"/>
        </w:tabs>
        <w:rPr>
          <w:sz w:val="28"/>
          <w:szCs w:val="28"/>
        </w:rPr>
      </w:pPr>
      <w:r w:rsidRPr="00596A97">
        <w:rPr>
          <w:sz w:val="28"/>
          <w:szCs w:val="28"/>
        </w:rPr>
        <w:t>Great Ormond Street Hospital for Children NHS Trust</w:t>
      </w:r>
    </w:p>
    <w:p w:rsidR="00197D5C" w:rsidRPr="00596A97" w:rsidRDefault="00197D5C" w:rsidP="00596A97">
      <w:pPr>
        <w:spacing w:after="0"/>
        <w:rPr>
          <w:sz w:val="28"/>
          <w:szCs w:val="28"/>
        </w:rPr>
      </w:pPr>
      <w:r w:rsidRPr="00596A97">
        <w:rPr>
          <w:sz w:val="28"/>
          <w:szCs w:val="28"/>
        </w:rPr>
        <w:t>E-mail:</w:t>
      </w:r>
      <w:r w:rsidRPr="00596A97">
        <w:rPr>
          <w:sz w:val="28"/>
          <w:szCs w:val="28"/>
        </w:rPr>
        <w:tab/>
      </w:r>
      <w:hyperlink r:id="rId20" w:history="1">
        <w:r w:rsidRPr="00596A97">
          <w:rPr>
            <w:rStyle w:val="Hyperlink"/>
            <w:sz w:val="28"/>
            <w:szCs w:val="28"/>
          </w:rPr>
          <w:t>Crispin.Walkling-Lea@gosh.nhs.uk</w:t>
        </w:r>
      </w:hyperlink>
    </w:p>
    <w:p w:rsidR="00197D5C" w:rsidRPr="00596A97" w:rsidRDefault="00197D5C" w:rsidP="00596A97">
      <w:pPr>
        <w:spacing w:after="0"/>
        <w:rPr>
          <w:sz w:val="28"/>
          <w:szCs w:val="28"/>
        </w:rPr>
      </w:pPr>
      <w:r w:rsidRPr="00596A97">
        <w:rPr>
          <w:sz w:val="28"/>
          <w:szCs w:val="28"/>
        </w:rPr>
        <w:t>Tel:</w:t>
      </w:r>
      <w:r w:rsidRPr="00596A97">
        <w:rPr>
          <w:sz w:val="28"/>
          <w:szCs w:val="28"/>
        </w:rPr>
        <w:tab/>
      </w:r>
      <w:r w:rsidR="00596A97">
        <w:rPr>
          <w:sz w:val="28"/>
          <w:szCs w:val="28"/>
        </w:rPr>
        <w:tab/>
      </w:r>
      <w:r w:rsidRPr="00596A97">
        <w:rPr>
          <w:sz w:val="28"/>
          <w:szCs w:val="28"/>
        </w:rPr>
        <w:t>020 7405 9200 ext. 6351</w:t>
      </w:r>
    </w:p>
    <w:p w:rsidR="00596A97" w:rsidRPr="00596A97" w:rsidRDefault="00197D5C">
      <w:pPr>
        <w:rPr>
          <w:sz w:val="28"/>
          <w:szCs w:val="28"/>
        </w:rPr>
      </w:pPr>
      <w:r w:rsidRPr="00596A97">
        <w:rPr>
          <w:sz w:val="28"/>
          <w:szCs w:val="28"/>
        </w:rPr>
        <w:t>Mob:</w:t>
      </w:r>
      <w:r w:rsidRPr="00596A97">
        <w:rPr>
          <w:sz w:val="28"/>
          <w:szCs w:val="28"/>
        </w:rPr>
        <w:tab/>
      </w:r>
      <w:r w:rsidR="00596A97">
        <w:rPr>
          <w:sz w:val="28"/>
          <w:szCs w:val="28"/>
        </w:rPr>
        <w:tab/>
      </w:r>
      <w:r w:rsidR="006E0E5E">
        <w:rPr>
          <w:sz w:val="28"/>
          <w:szCs w:val="28"/>
        </w:rPr>
        <w:t>07590 625486</w:t>
      </w:r>
    </w:p>
    <w:sectPr w:rsidR="00596A97" w:rsidRPr="00596A97" w:rsidSect="007934F4">
      <w:headerReference w:type="default" r:id="rId21"/>
      <w:footerReference w:type="default" r:id="rId22"/>
      <w:pgSz w:w="11906" w:h="16838"/>
      <w:pgMar w:top="1087" w:right="1440" w:bottom="1135" w:left="1440" w:header="284" w:footer="10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3159" w:rsidRDefault="00763159" w:rsidP="00373A0A">
      <w:pPr>
        <w:spacing w:after="0" w:line="240" w:lineRule="auto"/>
      </w:pPr>
      <w:r>
        <w:separator/>
      </w:r>
    </w:p>
  </w:endnote>
  <w:endnote w:type="continuationSeparator" w:id="0">
    <w:p w:rsidR="00763159" w:rsidRDefault="00763159" w:rsidP="00373A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double" w:sz="4"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802"/>
      <w:gridCol w:w="4677"/>
      <w:gridCol w:w="1763"/>
    </w:tblGrid>
    <w:tr w:rsidR="007915BE" w:rsidRPr="007915BE" w:rsidTr="007915BE">
      <w:tc>
        <w:tcPr>
          <w:tcW w:w="2802" w:type="dxa"/>
          <w:vAlign w:val="center"/>
        </w:tcPr>
        <w:p w:rsidR="007915BE" w:rsidRPr="007915BE" w:rsidRDefault="007915BE" w:rsidP="007915BE">
          <w:pPr>
            <w:rPr>
              <w:color w:val="7F7F7F" w:themeColor="text1" w:themeTint="80"/>
              <w:sz w:val="16"/>
              <w:szCs w:val="16"/>
            </w:rPr>
          </w:pPr>
          <w:r w:rsidRPr="007915BE">
            <w:rPr>
              <w:color w:val="7F7F7F" w:themeColor="text1" w:themeTint="80"/>
              <w:sz w:val="16"/>
              <w:szCs w:val="16"/>
            </w:rPr>
            <w:t>Crispin Walkling-Lea</w:t>
          </w:r>
        </w:p>
        <w:p w:rsidR="007915BE" w:rsidRPr="007915BE" w:rsidRDefault="007915BE" w:rsidP="007915BE">
          <w:pPr>
            <w:rPr>
              <w:color w:val="7F7F7F" w:themeColor="text1" w:themeTint="80"/>
              <w:sz w:val="16"/>
              <w:szCs w:val="16"/>
            </w:rPr>
          </w:pPr>
          <w:r w:rsidRPr="007915BE">
            <w:rPr>
              <w:color w:val="7F7F7F" w:themeColor="text1" w:themeTint="80"/>
              <w:sz w:val="16"/>
              <w:szCs w:val="16"/>
            </w:rPr>
            <w:t>Head of Healthcare Planning</w:t>
          </w:r>
        </w:p>
      </w:tc>
      <w:tc>
        <w:tcPr>
          <w:tcW w:w="4677" w:type="dxa"/>
          <w:vAlign w:val="center"/>
        </w:tcPr>
        <w:p w:rsidR="007915BE" w:rsidRPr="007915BE" w:rsidRDefault="009F385C" w:rsidP="00014E97">
          <w:pPr>
            <w:rPr>
              <w:color w:val="7F7F7F" w:themeColor="text1" w:themeTint="80"/>
              <w:sz w:val="16"/>
              <w:szCs w:val="16"/>
            </w:rPr>
          </w:pPr>
          <w:r>
            <w:rPr>
              <w:color w:val="7F7F7F" w:themeColor="text1" w:themeTint="80"/>
              <w:sz w:val="16"/>
              <w:szCs w:val="16"/>
            </w:rPr>
            <w:t>May</w:t>
          </w:r>
          <w:r w:rsidR="00014E97">
            <w:rPr>
              <w:color w:val="7F7F7F" w:themeColor="text1" w:themeTint="80"/>
              <w:sz w:val="16"/>
              <w:szCs w:val="16"/>
            </w:rPr>
            <w:t xml:space="preserve"> </w:t>
          </w:r>
          <w:r w:rsidR="00984ED3" w:rsidRPr="007915BE">
            <w:rPr>
              <w:color w:val="7F7F7F" w:themeColor="text1" w:themeTint="80"/>
              <w:sz w:val="16"/>
              <w:szCs w:val="16"/>
            </w:rPr>
            <w:t>201</w:t>
          </w:r>
          <w:r w:rsidR="00014E97">
            <w:rPr>
              <w:color w:val="7F7F7F" w:themeColor="text1" w:themeTint="80"/>
              <w:sz w:val="16"/>
              <w:szCs w:val="16"/>
            </w:rPr>
            <w:t>7</w:t>
          </w:r>
        </w:p>
      </w:tc>
      <w:tc>
        <w:tcPr>
          <w:tcW w:w="1763" w:type="dxa"/>
          <w:vAlign w:val="center"/>
        </w:tcPr>
        <w:p w:rsidR="007915BE" w:rsidRPr="007915BE" w:rsidRDefault="00094AA8" w:rsidP="007915BE">
          <w:pPr>
            <w:rPr>
              <w:color w:val="7F7F7F" w:themeColor="text1" w:themeTint="80"/>
              <w:sz w:val="16"/>
              <w:szCs w:val="16"/>
            </w:rPr>
          </w:pPr>
          <w:r w:rsidRPr="00094AA8">
            <w:rPr>
              <w:color w:val="7F7F7F" w:themeColor="text1" w:themeTint="80"/>
              <w:sz w:val="16"/>
              <w:szCs w:val="16"/>
            </w:rPr>
            <w:t xml:space="preserve">Page | </w:t>
          </w:r>
          <w:r w:rsidRPr="00094AA8">
            <w:rPr>
              <w:color w:val="7F7F7F" w:themeColor="text1" w:themeTint="80"/>
              <w:sz w:val="16"/>
              <w:szCs w:val="16"/>
            </w:rPr>
            <w:fldChar w:fldCharType="begin"/>
          </w:r>
          <w:r w:rsidRPr="00094AA8">
            <w:rPr>
              <w:color w:val="7F7F7F" w:themeColor="text1" w:themeTint="80"/>
              <w:sz w:val="16"/>
              <w:szCs w:val="16"/>
            </w:rPr>
            <w:instrText xml:space="preserve"> PAGE   \* MERGEFORMAT </w:instrText>
          </w:r>
          <w:r w:rsidRPr="00094AA8">
            <w:rPr>
              <w:color w:val="7F7F7F" w:themeColor="text1" w:themeTint="80"/>
              <w:sz w:val="16"/>
              <w:szCs w:val="16"/>
            </w:rPr>
            <w:fldChar w:fldCharType="separate"/>
          </w:r>
          <w:r w:rsidR="00A92747">
            <w:rPr>
              <w:noProof/>
              <w:color w:val="7F7F7F" w:themeColor="text1" w:themeTint="80"/>
              <w:sz w:val="16"/>
              <w:szCs w:val="16"/>
            </w:rPr>
            <w:t>4</w:t>
          </w:r>
          <w:r w:rsidRPr="00094AA8">
            <w:rPr>
              <w:noProof/>
              <w:color w:val="7F7F7F" w:themeColor="text1" w:themeTint="80"/>
              <w:sz w:val="16"/>
              <w:szCs w:val="16"/>
            </w:rPr>
            <w:fldChar w:fldCharType="end"/>
          </w:r>
        </w:p>
      </w:tc>
    </w:tr>
  </w:tbl>
  <w:p w:rsidR="00D77374" w:rsidRPr="00505B14" w:rsidRDefault="00D77374" w:rsidP="00D77374">
    <w:pPr>
      <w:spacing w:after="0"/>
      <w:rPr>
        <w:sz w:val="16"/>
        <w:szCs w:val="16"/>
      </w:rPr>
    </w:pPr>
    <w:r>
      <w:rPr>
        <w:sz w:val="16"/>
        <w:szCs w:val="16"/>
      </w:rPr>
      <w:tab/>
    </w:r>
    <w:r>
      <w:rPr>
        <w:sz w:val="16"/>
        <w:szCs w:val="16"/>
      </w:rPr>
      <w:tab/>
    </w:r>
    <w:r>
      <w:rPr>
        <w:sz w:val="16"/>
        <w:szCs w:val="16"/>
      </w:rPr>
      <w:tab/>
    </w:r>
    <w:r>
      <w:rPr>
        <w:sz w:val="16"/>
        <w:szCs w:val="16"/>
      </w:rPr>
      <w:tab/>
    </w:r>
  </w:p>
  <w:p w:rsidR="00D77374" w:rsidRDefault="00D7737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3159" w:rsidRDefault="00763159" w:rsidP="00373A0A">
      <w:pPr>
        <w:spacing w:after="0" w:line="240" w:lineRule="auto"/>
      </w:pPr>
      <w:r>
        <w:separator/>
      </w:r>
    </w:p>
  </w:footnote>
  <w:footnote w:type="continuationSeparator" w:id="0">
    <w:p w:rsidR="00763159" w:rsidRDefault="00763159" w:rsidP="00373A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double" w:sz="4" w:space="0" w:color="auto"/>
        <w:right w:val="none" w:sz="0" w:space="0" w:color="auto"/>
        <w:insideH w:val="double" w:sz="4" w:space="0" w:color="auto"/>
        <w:insideV w:val="double" w:sz="4" w:space="0" w:color="auto"/>
      </w:tblBorders>
      <w:tblLook w:val="04A0" w:firstRow="1" w:lastRow="0" w:firstColumn="1" w:lastColumn="0" w:noHBand="0" w:noVBand="1"/>
    </w:tblPr>
    <w:tblGrid>
      <w:gridCol w:w="9242"/>
    </w:tblGrid>
    <w:tr w:rsidR="007915BE" w:rsidRPr="007915BE" w:rsidTr="007915BE">
      <w:trPr>
        <w:trHeight w:val="705"/>
      </w:trPr>
      <w:tc>
        <w:tcPr>
          <w:tcW w:w="9242" w:type="dxa"/>
          <w:vAlign w:val="center"/>
        </w:tcPr>
        <w:p w:rsidR="007915BE" w:rsidRPr="007915BE" w:rsidRDefault="007915BE" w:rsidP="007915BE">
          <w:pPr>
            <w:pStyle w:val="Header"/>
            <w:jc w:val="center"/>
            <w:rPr>
              <w:color w:val="7F7F7F" w:themeColor="text1" w:themeTint="80"/>
            </w:rPr>
          </w:pPr>
          <w:r w:rsidRPr="007915BE">
            <w:rPr>
              <w:color w:val="7F7F7F" w:themeColor="text1" w:themeTint="80"/>
            </w:rPr>
            <w:t>Great Ormond Street Hospital for Children NHS Foundation Trust</w:t>
          </w:r>
        </w:p>
        <w:p w:rsidR="007915BE" w:rsidRPr="007915BE" w:rsidRDefault="007915BE" w:rsidP="007915BE">
          <w:pPr>
            <w:pStyle w:val="Header"/>
            <w:jc w:val="center"/>
            <w:rPr>
              <w:color w:val="7F7F7F" w:themeColor="text1" w:themeTint="80"/>
            </w:rPr>
          </w:pPr>
          <w:r w:rsidRPr="007915BE">
            <w:rPr>
              <w:color w:val="7F7F7F" w:themeColor="text1" w:themeTint="80"/>
            </w:rPr>
            <w:t>Development and Property Services</w:t>
          </w:r>
        </w:p>
      </w:tc>
    </w:tr>
  </w:tbl>
  <w:p w:rsidR="00373A0A" w:rsidRDefault="00373A0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735C3"/>
    <w:multiLevelType w:val="hybridMultilevel"/>
    <w:tmpl w:val="7748911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nsid w:val="09F5333C"/>
    <w:multiLevelType w:val="hybridMultilevel"/>
    <w:tmpl w:val="374A63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A313B3B"/>
    <w:multiLevelType w:val="hybridMultilevel"/>
    <w:tmpl w:val="07826F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F7247E3"/>
    <w:multiLevelType w:val="hybridMultilevel"/>
    <w:tmpl w:val="ED9C42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C3A1FDE"/>
    <w:multiLevelType w:val="hybridMultilevel"/>
    <w:tmpl w:val="58E47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8502C9A"/>
    <w:multiLevelType w:val="hybridMultilevel"/>
    <w:tmpl w:val="7C6A83D8"/>
    <w:lvl w:ilvl="0" w:tplc="0809000F">
      <w:start w:val="1"/>
      <w:numFmt w:val="decimal"/>
      <w:lvlText w:val="%1."/>
      <w:lvlJc w:val="left"/>
      <w:pPr>
        <w:ind w:left="720" w:hanging="360"/>
      </w:p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3E233A1"/>
    <w:multiLevelType w:val="hybridMultilevel"/>
    <w:tmpl w:val="CD3865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B3E0C21"/>
    <w:multiLevelType w:val="hybridMultilevel"/>
    <w:tmpl w:val="EA5A41A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478C17DD"/>
    <w:multiLevelType w:val="hybridMultilevel"/>
    <w:tmpl w:val="7B3875D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49557B7A"/>
    <w:multiLevelType w:val="hybridMultilevel"/>
    <w:tmpl w:val="374A63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4CBD3FB0"/>
    <w:multiLevelType w:val="hybridMultilevel"/>
    <w:tmpl w:val="06707A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D9927A6"/>
    <w:multiLevelType w:val="hybridMultilevel"/>
    <w:tmpl w:val="9E7ED5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2B074CB"/>
    <w:multiLevelType w:val="hybridMultilevel"/>
    <w:tmpl w:val="8B6410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559A4DD4"/>
    <w:multiLevelType w:val="hybridMultilevel"/>
    <w:tmpl w:val="EE8029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5F382822"/>
    <w:multiLevelType w:val="hybridMultilevel"/>
    <w:tmpl w:val="CEC04846"/>
    <w:lvl w:ilvl="0" w:tplc="0809001B">
      <w:start w:val="1"/>
      <w:numFmt w:val="lowerRoman"/>
      <w:lvlText w:val="%1."/>
      <w:lvlJc w:val="righ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nsid w:val="647B1880"/>
    <w:multiLevelType w:val="hybridMultilevel"/>
    <w:tmpl w:val="2342E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6C7C0CEA"/>
    <w:multiLevelType w:val="hybridMultilevel"/>
    <w:tmpl w:val="2A24256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722A083C"/>
    <w:multiLevelType w:val="hybridMultilevel"/>
    <w:tmpl w:val="78220D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7A22328F"/>
    <w:multiLevelType w:val="hybridMultilevel"/>
    <w:tmpl w:val="398AC082"/>
    <w:lvl w:ilvl="0" w:tplc="4AF61B56">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8"/>
  </w:num>
  <w:num w:numId="3">
    <w:abstractNumId w:val="1"/>
  </w:num>
  <w:num w:numId="4">
    <w:abstractNumId w:val="17"/>
  </w:num>
  <w:num w:numId="5">
    <w:abstractNumId w:val="3"/>
  </w:num>
  <w:num w:numId="6">
    <w:abstractNumId w:val="12"/>
  </w:num>
  <w:num w:numId="7">
    <w:abstractNumId w:val="9"/>
  </w:num>
  <w:num w:numId="8">
    <w:abstractNumId w:val="8"/>
  </w:num>
  <w:num w:numId="9">
    <w:abstractNumId w:val="4"/>
  </w:num>
  <w:num w:numId="10">
    <w:abstractNumId w:val="5"/>
  </w:num>
  <w:num w:numId="11">
    <w:abstractNumId w:val="2"/>
  </w:num>
  <w:num w:numId="12">
    <w:abstractNumId w:val="7"/>
  </w:num>
  <w:num w:numId="13">
    <w:abstractNumId w:val="13"/>
  </w:num>
  <w:num w:numId="14">
    <w:abstractNumId w:val="16"/>
  </w:num>
  <w:num w:numId="15">
    <w:abstractNumId w:val="14"/>
  </w:num>
  <w:num w:numId="16">
    <w:abstractNumId w:val="0"/>
  </w:num>
  <w:num w:numId="17">
    <w:abstractNumId w:val="11"/>
  </w:num>
  <w:num w:numId="18">
    <w:abstractNumId w:val="10"/>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4E6D"/>
    <w:rsid w:val="00000D5A"/>
    <w:rsid w:val="00014E97"/>
    <w:rsid w:val="000246F2"/>
    <w:rsid w:val="00060863"/>
    <w:rsid w:val="00083889"/>
    <w:rsid w:val="00094AA8"/>
    <w:rsid w:val="000C20CD"/>
    <w:rsid w:val="000C4CA5"/>
    <w:rsid w:val="000D629C"/>
    <w:rsid w:val="00101525"/>
    <w:rsid w:val="001037D4"/>
    <w:rsid w:val="001107B6"/>
    <w:rsid w:val="00131050"/>
    <w:rsid w:val="00134373"/>
    <w:rsid w:val="00165F1C"/>
    <w:rsid w:val="00191544"/>
    <w:rsid w:val="00197D5C"/>
    <w:rsid w:val="001A0911"/>
    <w:rsid w:val="001A217C"/>
    <w:rsid w:val="001A357D"/>
    <w:rsid w:val="001C2034"/>
    <w:rsid w:val="001D4F1D"/>
    <w:rsid w:val="001D662B"/>
    <w:rsid w:val="001F4541"/>
    <w:rsid w:val="00204E6D"/>
    <w:rsid w:val="00225832"/>
    <w:rsid w:val="002454A0"/>
    <w:rsid w:val="00265B10"/>
    <w:rsid w:val="00284D1C"/>
    <w:rsid w:val="002C1575"/>
    <w:rsid w:val="002C2C06"/>
    <w:rsid w:val="002D6D2C"/>
    <w:rsid w:val="002E4EC9"/>
    <w:rsid w:val="00301FF2"/>
    <w:rsid w:val="003300BF"/>
    <w:rsid w:val="00331F14"/>
    <w:rsid w:val="0033799A"/>
    <w:rsid w:val="003614CB"/>
    <w:rsid w:val="00373A0A"/>
    <w:rsid w:val="003B097D"/>
    <w:rsid w:val="003B3079"/>
    <w:rsid w:val="003B30BA"/>
    <w:rsid w:val="003B4C18"/>
    <w:rsid w:val="003B5276"/>
    <w:rsid w:val="003B67FE"/>
    <w:rsid w:val="003C2F13"/>
    <w:rsid w:val="003C4273"/>
    <w:rsid w:val="003E4601"/>
    <w:rsid w:val="003E5AF7"/>
    <w:rsid w:val="003F5486"/>
    <w:rsid w:val="004079AF"/>
    <w:rsid w:val="00414892"/>
    <w:rsid w:val="00436FAF"/>
    <w:rsid w:val="004464D4"/>
    <w:rsid w:val="00453E0A"/>
    <w:rsid w:val="00472E2F"/>
    <w:rsid w:val="00473E26"/>
    <w:rsid w:val="00483D50"/>
    <w:rsid w:val="00491C80"/>
    <w:rsid w:val="004A18CC"/>
    <w:rsid w:val="004A58D6"/>
    <w:rsid w:val="004B0807"/>
    <w:rsid w:val="004C67E5"/>
    <w:rsid w:val="004E355A"/>
    <w:rsid w:val="004E7CCA"/>
    <w:rsid w:val="004F1BA9"/>
    <w:rsid w:val="00505B14"/>
    <w:rsid w:val="00517059"/>
    <w:rsid w:val="005313A8"/>
    <w:rsid w:val="005507FE"/>
    <w:rsid w:val="005517E3"/>
    <w:rsid w:val="00563BEF"/>
    <w:rsid w:val="00565FE2"/>
    <w:rsid w:val="00566093"/>
    <w:rsid w:val="005747FE"/>
    <w:rsid w:val="00582A92"/>
    <w:rsid w:val="0059255F"/>
    <w:rsid w:val="00596A97"/>
    <w:rsid w:val="005B3596"/>
    <w:rsid w:val="005B66DF"/>
    <w:rsid w:val="005D69C3"/>
    <w:rsid w:val="005D7D83"/>
    <w:rsid w:val="005E2730"/>
    <w:rsid w:val="005F087A"/>
    <w:rsid w:val="005F12A6"/>
    <w:rsid w:val="00600F39"/>
    <w:rsid w:val="006104B8"/>
    <w:rsid w:val="0063408B"/>
    <w:rsid w:val="00644C86"/>
    <w:rsid w:val="0066169E"/>
    <w:rsid w:val="00676262"/>
    <w:rsid w:val="006817A2"/>
    <w:rsid w:val="006A1626"/>
    <w:rsid w:val="006B0E87"/>
    <w:rsid w:val="006B32CD"/>
    <w:rsid w:val="006C21A7"/>
    <w:rsid w:val="006C6911"/>
    <w:rsid w:val="006C6A94"/>
    <w:rsid w:val="006E0E5E"/>
    <w:rsid w:val="00715CF6"/>
    <w:rsid w:val="007471AB"/>
    <w:rsid w:val="00763159"/>
    <w:rsid w:val="007643D3"/>
    <w:rsid w:val="007675B6"/>
    <w:rsid w:val="00787064"/>
    <w:rsid w:val="007915BE"/>
    <w:rsid w:val="007934F4"/>
    <w:rsid w:val="007A1059"/>
    <w:rsid w:val="007A5407"/>
    <w:rsid w:val="007C6ED0"/>
    <w:rsid w:val="007E25F4"/>
    <w:rsid w:val="007E5F9B"/>
    <w:rsid w:val="007E69E3"/>
    <w:rsid w:val="007F5091"/>
    <w:rsid w:val="00804799"/>
    <w:rsid w:val="00810B35"/>
    <w:rsid w:val="0085167B"/>
    <w:rsid w:val="008556CF"/>
    <w:rsid w:val="008623C5"/>
    <w:rsid w:val="00865FF0"/>
    <w:rsid w:val="0087019A"/>
    <w:rsid w:val="00875B64"/>
    <w:rsid w:val="008847A7"/>
    <w:rsid w:val="00887F64"/>
    <w:rsid w:val="008920CA"/>
    <w:rsid w:val="00895E91"/>
    <w:rsid w:val="008A223F"/>
    <w:rsid w:val="008B2659"/>
    <w:rsid w:val="008B422C"/>
    <w:rsid w:val="008E69F3"/>
    <w:rsid w:val="008E6B70"/>
    <w:rsid w:val="008F2150"/>
    <w:rsid w:val="00910A4E"/>
    <w:rsid w:val="00953D23"/>
    <w:rsid w:val="00960877"/>
    <w:rsid w:val="0096351E"/>
    <w:rsid w:val="00967385"/>
    <w:rsid w:val="009807A7"/>
    <w:rsid w:val="00982224"/>
    <w:rsid w:val="00984ED3"/>
    <w:rsid w:val="00985253"/>
    <w:rsid w:val="009D7AA4"/>
    <w:rsid w:val="009F385C"/>
    <w:rsid w:val="00A00C90"/>
    <w:rsid w:val="00A07D3B"/>
    <w:rsid w:val="00A12BBF"/>
    <w:rsid w:val="00A25C46"/>
    <w:rsid w:val="00A304B8"/>
    <w:rsid w:val="00A30B0D"/>
    <w:rsid w:val="00A57AA5"/>
    <w:rsid w:val="00A852C0"/>
    <w:rsid w:val="00A92747"/>
    <w:rsid w:val="00AB2FC4"/>
    <w:rsid w:val="00AD537A"/>
    <w:rsid w:val="00AE752A"/>
    <w:rsid w:val="00B064EE"/>
    <w:rsid w:val="00B07C14"/>
    <w:rsid w:val="00B07FD4"/>
    <w:rsid w:val="00B3230A"/>
    <w:rsid w:val="00B42482"/>
    <w:rsid w:val="00BD12F3"/>
    <w:rsid w:val="00BE0ECE"/>
    <w:rsid w:val="00BF2988"/>
    <w:rsid w:val="00BF5974"/>
    <w:rsid w:val="00C12532"/>
    <w:rsid w:val="00C1425C"/>
    <w:rsid w:val="00C179EB"/>
    <w:rsid w:val="00C2012A"/>
    <w:rsid w:val="00C409B5"/>
    <w:rsid w:val="00C5064C"/>
    <w:rsid w:val="00C514B9"/>
    <w:rsid w:val="00C53D5E"/>
    <w:rsid w:val="00C54930"/>
    <w:rsid w:val="00C80A0B"/>
    <w:rsid w:val="00C95FB5"/>
    <w:rsid w:val="00C963B2"/>
    <w:rsid w:val="00CA0309"/>
    <w:rsid w:val="00CA7D4B"/>
    <w:rsid w:val="00CB3DF8"/>
    <w:rsid w:val="00CB40F3"/>
    <w:rsid w:val="00D13BB5"/>
    <w:rsid w:val="00D141E8"/>
    <w:rsid w:val="00D152DB"/>
    <w:rsid w:val="00D56AAA"/>
    <w:rsid w:val="00D633C8"/>
    <w:rsid w:val="00D77374"/>
    <w:rsid w:val="00D83084"/>
    <w:rsid w:val="00D90169"/>
    <w:rsid w:val="00D91830"/>
    <w:rsid w:val="00DA1D5B"/>
    <w:rsid w:val="00DD3CFE"/>
    <w:rsid w:val="00DD73EA"/>
    <w:rsid w:val="00E170E2"/>
    <w:rsid w:val="00E17E1B"/>
    <w:rsid w:val="00E17FEA"/>
    <w:rsid w:val="00E3638B"/>
    <w:rsid w:val="00E56364"/>
    <w:rsid w:val="00E56682"/>
    <w:rsid w:val="00E61251"/>
    <w:rsid w:val="00E83848"/>
    <w:rsid w:val="00E86466"/>
    <w:rsid w:val="00EF105A"/>
    <w:rsid w:val="00F01E6F"/>
    <w:rsid w:val="00F03248"/>
    <w:rsid w:val="00F0644E"/>
    <w:rsid w:val="00F13AB1"/>
    <w:rsid w:val="00F27511"/>
    <w:rsid w:val="00F30B4A"/>
    <w:rsid w:val="00F407B6"/>
    <w:rsid w:val="00F938CB"/>
    <w:rsid w:val="00FA2198"/>
    <w:rsid w:val="00FF75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37D4"/>
  </w:style>
  <w:style w:type="paragraph" w:styleId="Heading1">
    <w:name w:val="heading 1"/>
    <w:basedOn w:val="Normal"/>
    <w:next w:val="Normal"/>
    <w:link w:val="Heading1Char"/>
    <w:uiPriority w:val="9"/>
    <w:qFormat/>
    <w:rsid w:val="000C20C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C20C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D662B"/>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1D662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04E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4E6D"/>
    <w:rPr>
      <w:rFonts w:ascii="Tahoma" w:hAnsi="Tahoma" w:cs="Tahoma"/>
      <w:sz w:val="16"/>
      <w:szCs w:val="16"/>
    </w:rPr>
  </w:style>
  <w:style w:type="paragraph" w:styleId="ListParagraph">
    <w:name w:val="List Paragraph"/>
    <w:basedOn w:val="Normal"/>
    <w:uiPriority w:val="34"/>
    <w:qFormat/>
    <w:rsid w:val="006C6A94"/>
    <w:pPr>
      <w:ind w:left="720"/>
      <w:contextualSpacing/>
    </w:pPr>
  </w:style>
  <w:style w:type="paragraph" w:styleId="Header">
    <w:name w:val="header"/>
    <w:basedOn w:val="Normal"/>
    <w:link w:val="HeaderChar"/>
    <w:uiPriority w:val="99"/>
    <w:unhideWhenUsed/>
    <w:rsid w:val="00373A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3A0A"/>
  </w:style>
  <w:style w:type="paragraph" w:styleId="Footer">
    <w:name w:val="footer"/>
    <w:basedOn w:val="Normal"/>
    <w:link w:val="FooterChar"/>
    <w:uiPriority w:val="99"/>
    <w:unhideWhenUsed/>
    <w:rsid w:val="00373A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73A0A"/>
  </w:style>
  <w:style w:type="table" w:styleId="TableGrid">
    <w:name w:val="Table Grid"/>
    <w:basedOn w:val="TableNormal"/>
    <w:uiPriority w:val="59"/>
    <w:rsid w:val="008047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1D4F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B0807"/>
    <w:rPr>
      <w:sz w:val="16"/>
      <w:szCs w:val="16"/>
    </w:rPr>
  </w:style>
  <w:style w:type="paragraph" w:styleId="CommentText">
    <w:name w:val="annotation text"/>
    <w:basedOn w:val="Normal"/>
    <w:link w:val="CommentTextChar"/>
    <w:uiPriority w:val="99"/>
    <w:semiHidden/>
    <w:unhideWhenUsed/>
    <w:rsid w:val="004B0807"/>
    <w:pPr>
      <w:spacing w:line="240" w:lineRule="auto"/>
    </w:pPr>
    <w:rPr>
      <w:sz w:val="20"/>
      <w:szCs w:val="20"/>
    </w:rPr>
  </w:style>
  <w:style w:type="character" w:customStyle="1" w:styleId="CommentTextChar">
    <w:name w:val="Comment Text Char"/>
    <w:basedOn w:val="DefaultParagraphFont"/>
    <w:link w:val="CommentText"/>
    <w:uiPriority w:val="99"/>
    <w:semiHidden/>
    <w:rsid w:val="004B0807"/>
    <w:rPr>
      <w:sz w:val="20"/>
      <w:szCs w:val="20"/>
    </w:rPr>
  </w:style>
  <w:style w:type="paragraph" w:styleId="CommentSubject">
    <w:name w:val="annotation subject"/>
    <w:basedOn w:val="CommentText"/>
    <w:next w:val="CommentText"/>
    <w:link w:val="CommentSubjectChar"/>
    <w:uiPriority w:val="99"/>
    <w:semiHidden/>
    <w:unhideWhenUsed/>
    <w:rsid w:val="004B0807"/>
    <w:rPr>
      <w:b/>
      <w:bCs/>
    </w:rPr>
  </w:style>
  <w:style w:type="character" w:customStyle="1" w:styleId="CommentSubjectChar">
    <w:name w:val="Comment Subject Char"/>
    <w:basedOn w:val="CommentTextChar"/>
    <w:link w:val="CommentSubject"/>
    <w:uiPriority w:val="99"/>
    <w:semiHidden/>
    <w:rsid w:val="004B0807"/>
    <w:rPr>
      <w:b/>
      <w:bCs/>
      <w:sz w:val="20"/>
      <w:szCs w:val="20"/>
    </w:rPr>
  </w:style>
  <w:style w:type="character" w:customStyle="1" w:styleId="Heading1Char">
    <w:name w:val="Heading 1 Char"/>
    <w:basedOn w:val="DefaultParagraphFont"/>
    <w:link w:val="Heading1"/>
    <w:uiPriority w:val="9"/>
    <w:rsid w:val="000C20C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0C20C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1D662B"/>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1D662B"/>
    <w:rPr>
      <w:rFonts w:asciiTheme="majorHAnsi" w:eastAsiaTheme="majorEastAsia" w:hAnsiTheme="majorHAnsi" w:cstheme="majorBidi"/>
      <w:b/>
      <w:bCs/>
      <w:i/>
      <w:iCs/>
      <w:color w:val="4F81BD" w:themeColor="accent1"/>
    </w:rPr>
  </w:style>
  <w:style w:type="character" w:styleId="Hyperlink">
    <w:name w:val="Hyperlink"/>
    <w:basedOn w:val="DefaultParagraphFont"/>
    <w:uiPriority w:val="99"/>
    <w:unhideWhenUsed/>
    <w:rsid w:val="00197D5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37D4"/>
  </w:style>
  <w:style w:type="paragraph" w:styleId="Heading1">
    <w:name w:val="heading 1"/>
    <w:basedOn w:val="Normal"/>
    <w:next w:val="Normal"/>
    <w:link w:val="Heading1Char"/>
    <w:uiPriority w:val="9"/>
    <w:qFormat/>
    <w:rsid w:val="000C20C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C20C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D662B"/>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1D662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04E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4E6D"/>
    <w:rPr>
      <w:rFonts w:ascii="Tahoma" w:hAnsi="Tahoma" w:cs="Tahoma"/>
      <w:sz w:val="16"/>
      <w:szCs w:val="16"/>
    </w:rPr>
  </w:style>
  <w:style w:type="paragraph" w:styleId="ListParagraph">
    <w:name w:val="List Paragraph"/>
    <w:basedOn w:val="Normal"/>
    <w:uiPriority w:val="34"/>
    <w:qFormat/>
    <w:rsid w:val="006C6A94"/>
    <w:pPr>
      <w:ind w:left="720"/>
      <w:contextualSpacing/>
    </w:pPr>
  </w:style>
  <w:style w:type="paragraph" w:styleId="Header">
    <w:name w:val="header"/>
    <w:basedOn w:val="Normal"/>
    <w:link w:val="HeaderChar"/>
    <w:uiPriority w:val="99"/>
    <w:unhideWhenUsed/>
    <w:rsid w:val="00373A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3A0A"/>
  </w:style>
  <w:style w:type="paragraph" w:styleId="Footer">
    <w:name w:val="footer"/>
    <w:basedOn w:val="Normal"/>
    <w:link w:val="FooterChar"/>
    <w:uiPriority w:val="99"/>
    <w:unhideWhenUsed/>
    <w:rsid w:val="00373A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73A0A"/>
  </w:style>
  <w:style w:type="table" w:styleId="TableGrid">
    <w:name w:val="Table Grid"/>
    <w:basedOn w:val="TableNormal"/>
    <w:uiPriority w:val="59"/>
    <w:rsid w:val="008047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1D4F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B0807"/>
    <w:rPr>
      <w:sz w:val="16"/>
      <w:szCs w:val="16"/>
    </w:rPr>
  </w:style>
  <w:style w:type="paragraph" w:styleId="CommentText">
    <w:name w:val="annotation text"/>
    <w:basedOn w:val="Normal"/>
    <w:link w:val="CommentTextChar"/>
    <w:uiPriority w:val="99"/>
    <w:semiHidden/>
    <w:unhideWhenUsed/>
    <w:rsid w:val="004B0807"/>
    <w:pPr>
      <w:spacing w:line="240" w:lineRule="auto"/>
    </w:pPr>
    <w:rPr>
      <w:sz w:val="20"/>
      <w:szCs w:val="20"/>
    </w:rPr>
  </w:style>
  <w:style w:type="character" w:customStyle="1" w:styleId="CommentTextChar">
    <w:name w:val="Comment Text Char"/>
    <w:basedOn w:val="DefaultParagraphFont"/>
    <w:link w:val="CommentText"/>
    <w:uiPriority w:val="99"/>
    <w:semiHidden/>
    <w:rsid w:val="004B0807"/>
    <w:rPr>
      <w:sz w:val="20"/>
      <w:szCs w:val="20"/>
    </w:rPr>
  </w:style>
  <w:style w:type="paragraph" w:styleId="CommentSubject">
    <w:name w:val="annotation subject"/>
    <w:basedOn w:val="CommentText"/>
    <w:next w:val="CommentText"/>
    <w:link w:val="CommentSubjectChar"/>
    <w:uiPriority w:val="99"/>
    <w:semiHidden/>
    <w:unhideWhenUsed/>
    <w:rsid w:val="004B0807"/>
    <w:rPr>
      <w:b/>
      <w:bCs/>
    </w:rPr>
  </w:style>
  <w:style w:type="character" w:customStyle="1" w:styleId="CommentSubjectChar">
    <w:name w:val="Comment Subject Char"/>
    <w:basedOn w:val="CommentTextChar"/>
    <w:link w:val="CommentSubject"/>
    <w:uiPriority w:val="99"/>
    <w:semiHidden/>
    <w:rsid w:val="004B0807"/>
    <w:rPr>
      <w:b/>
      <w:bCs/>
      <w:sz w:val="20"/>
      <w:szCs w:val="20"/>
    </w:rPr>
  </w:style>
  <w:style w:type="character" w:customStyle="1" w:styleId="Heading1Char">
    <w:name w:val="Heading 1 Char"/>
    <w:basedOn w:val="DefaultParagraphFont"/>
    <w:link w:val="Heading1"/>
    <w:uiPriority w:val="9"/>
    <w:rsid w:val="000C20C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0C20C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1D662B"/>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1D662B"/>
    <w:rPr>
      <w:rFonts w:asciiTheme="majorHAnsi" w:eastAsiaTheme="majorEastAsia" w:hAnsiTheme="majorHAnsi" w:cstheme="majorBidi"/>
      <w:b/>
      <w:bCs/>
      <w:i/>
      <w:iCs/>
      <w:color w:val="4F81BD" w:themeColor="accent1"/>
    </w:rPr>
  </w:style>
  <w:style w:type="character" w:styleId="Hyperlink">
    <w:name w:val="Hyperlink"/>
    <w:basedOn w:val="DefaultParagraphFont"/>
    <w:uiPriority w:val="99"/>
    <w:unhideWhenUsed/>
    <w:rsid w:val="00197D5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3" Type="http://schemas.microsoft.com/office/2007/relationships/stylesWithEffects" Target="stylesWithEffect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hyperlink" Target="mailto:Crispin.Walkling-Lea@gosh.nhs.uk"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image" Target="media/image12.jp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jpe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456</Words>
  <Characters>2603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Great Ormond Street Hospital</Company>
  <LinksUpToDate>false</LinksUpToDate>
  <CharactersWithSpaces>3053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Valerio Roncaioli</dc:creator>
  <cp:lastModifiedBy>Crispin Walkling-Lea</cp:lastModifiedBy>
  <cp:revision>3</cp:revision>
  <dcterms:created xsi:type="dcterms:W3CDTF">2018-06-28T15:02:00Z</dcterms:created>
  <dcterms:modified xsi:type="dcterms:W3CDTF">2018-06-28T15:06:00Z</dcterms:modified>
</cp:coreProperties>
</file>