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7D" w:rsidRPr="00195C89" w:rsidRDefault="00864C7D" w:rsidP="00060F19">
      <w:pPr>
        <w:pStyle w:val="PlainText"/>
        <w:rPr>
          <w:b/>
          <w:sz w:val="22"/>
        </w:rPr>
      </w:pPr>
    </w:p>
    <w:p w:rsidR="00864C7D" w:rsidRPr="00195C89" w:rsidRDefault="00864C7D" w:rsidP="00060F19">
      <w:pPr>
        <w:pStyle w:val="PlainText"/>
        <w:rPr>
          <w:b/>
          <w:sz w:val="22"/>
        </w:rPr>
      </w:pPr>
      <w:r w:rsidRPr="00195C89">
        <w:rPr>
          <w:b/>
          <w:sz w:val="22"/>
        </w:rPr>
        <w:t>Lead Local Flood Authority comments</w:t>
      </w:r>
    </w:p>
    <w:p w:rsidR="00864C7D" w:rsidRPr="00195C89" w:rsidRDefault="00864C7D" w:rsidP="00060F19">
      <w:pPr>
        <w:pStyle w:val="PlainText"/>
        <w:rPr>
          <w:b/>
          <w:sz w:val="22"/>
        </w:rPr>
      </w:pPr>
    </w:p>
    <w:p w:rsidR="00864C7D" w:rsidRPr="00195C89" w:rsidRDefault="00864C7D" w:rsidP="00864C7D">
      <w:pPr>
        <w:rPr>
          <w:rFonts w:ascii="Arial" w:hAnsi="Arial" w:cs="Arial"/>
          <w:b/>
          <w:sz w:val="20"/>
        </w:rPr>
      </w:pPr>
    </w:p>
    <w:tbl>
      <w:tblPr>
        <w:tblStyle w:val="TableGrid"/>
        <w:tblpPr w:leftFromText="180" w:rightFromText="180" w:vertAnchor="page" w:horzAnchor="margin" w:tblpY="2545"/>
        <w:tblW w:w="0" w:type="auto"/>
        <w:tblLook w:val="04A0" w:firstRow="1" w:lastRow="0" w:firstColumn="1" w:lastColumn="0" w:noHBand="0" w:noVBand="1"/>
      </w:tblPr>
      <w:tblGrid>
        <w:gridCol w:w="3979"/>
        <w:gridCol w:w="5037"/>
      </w:tblGrid>
      <w:tr w:rsidR="00864C7D" w:rsidRPr="00195C89" w:rsidTr="00864C7D">
        <w:tc>
          <w:tcPr>
            <w:tcW w:w="4077" w:type="dxa"/>
          </w:tcPr>
          <w:p w:rsidR="00864C7D" w:rsidRPr="00195C89" w:rsidRDefault="00864C7D" w:rsidP="00864C7D">
            <w:pPr>
              <w:rPr>
                <w:rFonts w:ascii="Arial" w:hAnsi="Arial" w:cs="Arial"/>
                <w:sz w:val="20"/>
              </w:rPr>
            </w:pPr>
            <w:r w:rsidRPr="00195C89">
              <w:rPr>
                <w:rFonts w:ascii="Arial" w:hAnsi="Arial" w:cs="Arial"/>
                <w:sz w:val="20"/>
              </w:rPr>
              <w:t>Scheme Address</w:t>
            </w:r>
          </w:p>
        </w:tc>
        <w:tc>
          <w:tcPr>
            <w:tcW w:w="5165" w:type="dxa"/>
          </w:tcPr>
          <w:p w:rsidR="00864C7D" w:rsidRPr="00195C89" w:rsidRDefault="00195C89" w:rsidP="00864C7D">
            <w:pPr>
              <w:rPr>
                <w:rFonts w:ascii="Arial" w:hAnsi="Arial" w:cs="Arial"/>
                <w:sz w:val="20"/>
              </w:rPr>
            </w:pPr>
            <w:r>
              <w:rPr>
                <w:rFonts w:ascii="Arial" w:hAnsi="Arial" w:cs="Arial"/>
                <w:sz w:val="20"/>
              </w:rPr>
              <w:t xml:space="preserve">46 </w:t>
            </w:r>
            <w:proofErr w:type="spellStart"/>
            <w:r>
              <w:rPr>
                <w:rFonts w:ascii="Arial" w:hAnsi="Arial" w:cs="Arial"/>
                <w:sz w:val="20"/>
              </w:rPr>
              <w:t>Holmedale</w:t>
            </w:r>
            <w:proofErr w:type="spellEnd"/>
            <w:r>
              <w:rPr>
                <w:rFonts w:ascii="Arial" w:hAnsi="Arial" w:cs="Arial"/>
                <w:sz w:val="20"/>
              </w:rPr>
              <w:t xml:space="preserve"> Road, </w:t>
            </w:r>
            <w:r w:rsidR="00095983">
              <w:t xml:space="preserve"> </w:t>
            </w:r>
            <w:r w:rsidR="00095983" w:rsidRPr="00095983">
              <w:rPr>
                <w:rFonts w:ascii="Arial" w:hAnsi="Arial" w:cs="Arial"/>
                <w:sz w:val="20"/>
              </w:rPr>
              <w:t>NW6 1BL</w:t>
            </w:r>
          </w:p>
        </w:tc>
      </w:tr>
      <w:tr w:rsidR="00864C7D" w:rsidRPr="00195C89" w:rsidTr="00864C7D">
        <w:tc>
          <w:tcPr>
            <w:tcW w:w="4077" w:type="dxa"/>
          </w:tcPr>
          <w:p w:rsidR="00864C7D" w:rsidRPr="00195C89" w:rsidRDefault="00864C7D" w:rsidP="00864C7D">
            <w:pPr>
              <w:rPr>
                <w:rFonts w:ascii="Arial" w:hAnsi="Arial" w:cs="Arial"/>
                <w:sz w:val="20"/>
              </w:rPr>
            </w:pPr>
            <w:r w:rsidRPr="00195C89">
              <w:rPr>
                <w:rFonts w:ascii="Arial" w:hAnsi="Arial" w:cs="Arial"/>
                <w:sz w:val="20"/>
              </w:rPr>
              <w:t>Planning Reference</w:t>
            </w:r>
          </w:p>
        </w:tc>
        <w:tc>
          <w:tcPr>
            <w:tcW w:w="5165" w:type="dxa"/>
          </w:tcPr>
          <w:p w:rsidR="00864C7D" w:rsidRPr="00195C89" w:rsidRDefault="00095983" w:rsidP="00864C7D">
            <w:pPr>
              <w:rPr>
                <w:rFonts w:ascii="Arial" w:hAnsi="Arial" w:cs="Arial"/>
                <w:sz w:val="20"/>
              </w:rPr>
            </w:pPr>
            <w:r w:rsidRPr="00095983">
              <w:rPr>
                <w:rFonts w:ascii="Arial" w:hAnsi="Arial" w:cs="Arial"/>
                <w:sz w:val="20"/>
              </w:rPr>
              <w:t>2018/0599/P</w:t>
            </w:r>
          </w:p>
        </w:tc>
      </w:tr>
      <w:tr w:rsidR="00864C7D" w:rsidRPr="00195C89" w:rsidTr="00864C7D">
        <w:tc>
          <w:tcPr>
            <w:tcW w:w="4077" w:type="dxa"/>
          </w:tcPr>
          <w:p w:rsidR="00864C7D" w:rsidRPr="00195C89" w:rsidRDefault="00864C7D" w:rsidP="00864C7D">
            <w:pPr>
              <w:rPr>
                <w:rFonts w:ascii="Arial" w:hAnsi="Arial" w:cs="Arial"/>
                <w:sz w:val="20"/>
              </w:rPr>
            </w:pPr>
            <w:r w:rsidRPr="00195C89">
              <w:rPr>
                <w:rFonts w:ascii="Arial" w:hAnsi="Arial" w:cs="Arial"/>
                <w:sz w:val="20"/>
              </w:rPr>
              <w:t>Date</w:t>
            </w:r>
          </w:p>
        </w:tc>
        <w:tc>
          <w:tcPr>
            <w:tcW w:w="5165" w:type="dxa"/>
          </w:tcPr>
          <w:p w:rsidR="00864C7D" w:rsidRPr="00195C89" w:rsidRDefault="00095983" w:rsidP="00864C7D">
            <w:pPr>
              <w:rPr>
                <w:rFonts w:ascii="Arial" w:hAnsi="Arial" w:cs="Arial"/>
                <w:sz w:val="20"/>
              </w:rPr>
            </w:pPr>
            <w:r>
              <w:rPr>
                <w:rFonts w:ascii="Arial" w:hAnsi="Arial" w:cs="Arial"/>
                <w:sz w:val="20"/>
              </w:rPr>
              <w:t>21/06/2018</w:t>
            </w:r>
          </w:p>
        </w:tc>
      </w:tr>
    </w:tbl>
    <w:p w:rsidR="00864C7D" w:rsidRPr="00195C89" w:rsidRDefault="00864C7D" w:rsidP="00864C7D">
      <w:pPr>
        <w:rPr>
          <w:rFonts w:ascii="Arial" w:hAnsi="Arial" w:cs="Arial"/>
          <w:b/>
          <w:noProof/>
          <w:sz w:val="20"/>
          <w:lang w:eastAsia="en-GB"/>
        </w:rPr>
      </w:pPr>
      <w:r w:rsidRPr="00195C89">
        <w:rPr>
          <w:rFonts w:ascii="Arial" w:hAnsi="Arial" w:cs="Arial"/>
          <w:b/>
          <w:noProof/>
          <w:sz w:val="20"/>
          <w:lang w:eastAsia="en-GB"/>
        </w:rPr>
        <w:t xml:space="preserve"> </w:t>
      </w:r>
      <w:r w:rsidRPr="00195C89">
        <w:rPr>
          <w:rFonts w:ascii="Arial" w:hAnsi="Arial" w:cs="Arial"/>
          <w:b/>
          <w:noProof/>
          <w:sz w:val="20"/>
          <w:lang w:eastAsia="en-GB"/>
        </w:rPr>
        <w:drawing>
          <wp:anchor distT="0" distB="0" distL="114300" distR="114300" simplePos="0" relativeHeight="251659264" behindDoc="0" locked="0" layoutInCell="1" allowOverlap="1" wp14:anchorId="52404857" wp14:editId="07240A66">
            <wp:simplePos x="914400" y="1098550"/>
            <wp:positionH relativeFrom="margin">
              <wp:align>right</wp:align>
            </wp:positionH>
            <wp:positionV relativeFrom="margin">
              <wp:align>top</wp:align>
            </wp:positionV>
            <wp:extent cx="1593850" cy="32004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logo-n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6153" cy="320613"/>
                    </a:xfrm>
                    <a:prstGeom prst="rect">
                      <a:avLst/>
                    </a:prstGeom>
                  </pic:spPr>
                </pic:pic>
              </a:graphicData>
            </a:graphic>
            <wp14:sizeRelH relativeFrom="margin">
              <wp14:pctWidth>0</wp14:pctWidth>
            </wp14:sizeRelH>
            <wp14:sizeRelV relativeFrom="margin">
              <wp14:pctHeight>0</wp14:pctHeight>
            </wp14:sizeRelV>
          </wp:anchor>
        </w:drawing>
      </w:r>
    </w:p>
    <w:p w:rsidR="006A0FCF" w:rsidRPr="00195C89" w:rsidRDefault="006A0FCF" w:rsidP="006A0FCF">
      <w:pPr>
        <w:pStyle w:val="PlainText"/>
        <w:rPr>
          <w:sz w:val="22"/>
        </w:rPr>
      </w:pPr>
      <w:r w:rsidRPr="00195C89">
        <w:rPr>
          <w:sz w:val="22"/>
        </w:rPr>
        <w:t>This site is in an area identified in Camden’s Strategic Flood Risk Assessment as being at risk of surface water flooding.</w:t>
      </w:r>
    </w:p>
    <w:p w:rsidR="00195C89" w:rsidRPr="00195C89" w:rsidRDefault="00195C89" w:rsidP="006A0FCF">
      <w:pPr>
        <w:pStyle w:val="PlainText"/>
        <w:rPr>
          <w:sz w:val="22"/>
        </w:rPr>
      </w:pPr>
      <w:r w:rsidRPr="00195C89">
        <w:rPr>
          <w:noProof/>
          <w:sz w:val="22"/>
          <w:lang w:eastAsia="en-GB"/>
        </w:rPr>
        <w:drawing>
          <wp:inline distT="0" distB="0" distL="0" distR="0">
            <wp:extent cx="2762250" cy="2008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943" cy="2015539"/>
                    </a:xfrm>
                    <a:prstGeom prst="rect">
                      <a:avLst/>
                    </a:prstGeom>
                    <a:noFill/>
                    <a:ln>
                      <a:noFill/>
                    </a:ln>
                  </pic:spPr>
                </pic:pic>
              </a:graphicData>
            </a:graphic>
          </wp:inline>
        </w:drawing>
      </w:r>
    </w:p>
    <w:p w:rsidR="006A0FCF" w:rsidRDefault="00195C89" w:rsidP="006A0FCF">
      <w:pPr>
        <w:pStyle w:val="PlainText"/>
        <w:rPr>
          <w:sz w:val="22"/>
        </w:rPr>
      </w:pPr>
      <w:r w:rsidRPr="00195C89">
        <w:rPr>
          <w:sz w:val="22"/>
        </w:rPr>
        <w:t xml:space="preserve">The map extract above taken from the SFRA shows that </w:t>
      </w:r>
      <w:proofErr w:type="spellStart"/>
      <w:r w:rsidRPr="00195C89">
        <w:rPr>
          <w:sz w:val="22"/>
        </w:rPr>
        <w:t>Holmedale</w:t>
      </w:r>
      <w:proofErr w:type="spellEnd"/>
      <w:r w:rsidRPr="00195C89">
        <w:rPr>
          <w:sz w:val="22"/>
        </w:rPr>
        <w:t xml:space="preserve"> Road was flooded in 2002 (roads marked green).</w:t>
      </w:r>
    </w:p>
    <w:p w:rsidR="0031213B" w:rsidRDefault="0031213B" w:rsidP="006A0FCF">
      <w:pPr>
        <w:pStyle w:val="PlainText"/>
        <w:rPr>
          <w:sz w:val="22"/>
        </w:rPr>
      </w:pPr>
      <w:r>
        <w:rPr>
          <w:sz w:val="22"/>
        </w:rPr>
        <w:t xml:space="preserve">The BGS map of the borough also from the </w:t>
      </w:r>
      <w:proofErr w:type="gramStart"/>
      <w:r>
        <w:rPr>
          <w:sz w:val="22"/>
        </w:rPr>
        <w:t>SFRA,</w:t>
      </w:r>
      <w:proofErr w:type="gramEnd"/>
      <w:r>
        <w:rPr>
          <w:sz w:val="22"/>
        </w:rPr>
        <w:t xml:space="preserve"> shows the site in an area with opportunities for bespoke infiltration SuDS (darker purple in extract below):</w:t>
      </w:r>
    </w:p>
    <w:p w:rsidR="0031213B" w:rsidRDefault="0031213B" w:rsidP="006A0FCF">
      <w:pPr>
        <w:pStyle w:val="PlainText"/>
        <w:rPr>
          <w:sz w:val="22"/>
        </w:rPr>
      </w:pPr>
      <w:r>
        <w:rPr>
          <w:noProof/>
          <w:sz w:val="22"/>
          <w:lang w:eastAsia="en-GB"/>
        </w:rPr>
        <w:drawing>
          <wp:inline distT="0" distB="0" distL="0" distR="0">
            <wp:extent cx="2343150"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p w:rsidR="006A0FCF" w:rsidRDefault="006A0FCF" w:rsidP="00060F19">
      <w:pPr>
        <w:pStyle w:val="PlainText"/>
        <w:rPr>
          <w:sz w:val="22"/>
        </w:rPr>
      </w:pPr>
    </w:p>
    <w:p w:rsidR="00195C89" w:rsidRPr="00195C89" w:rsidRDefault="00195C89" w:rsidP="00060F19">
      <w:pPr>
        <w:pStyle w:val="PlainText"/>
        <w:rPr>
          <w:b/>
          <w:sz w:val="22"/>
        </w:rPr>
      </w:pPr>
      <w:r w:rsidRPr="00195C89">
        <w:rPr>
          <w:b/>
          <w:sz w:val="22"/>
        </w:rPr>
        <w:t>Policy</w:t>
      </w:r>
    </w:p>
    <w:p w:rsidR="00886739" w:rsidRPr="00195C89" w:rsidRDefault="00195C89" w:rsidP="00886739">
      <w:pPr>
        <w:autoSpaceDE w:val="0"/>
        <w:autoSpaceDN w:val="0"/>
        <w:adjustRightInd w:val="0"/>
        <w:rPr>
          <w:rFonts w:ascii="Arial" w:hAnsi="Arial" w:cs="Arial"/>
          <w:color w:val="4F81BD" w:themeColor="accent1"/>
          <w:szCs w:val="24"/>
        </w:rPr>
      </w:pPr>
      <w:r w:rsidRPr="00195C89">
        <w:rPr>
          <w:rFonts w:ascii="Arial" w:hAnsi="Arial" w:cs="Arial"/>
          <w:color w:val="4F81BD" w:themeColor="accent1"/>
          <w:szCs w:val="24"/>
        </w:rPr>
        <w:t>CC3</w:t>
      </w:r>
      <w:r w:rsidR="00060F19" w:rsidRPr="00195C89">
        <w:rPr>
          <w:rFonts w:ascii="Arial" w:hAnsi="Arial" w:cs="Arial"/>
          <w:color w:val="4F81BD" w:themeColor="accent1"/>
          <w:szCs w:val="24"/>
        </w:rPr>
        <w:t xml:space="preserve"> </w:t>
      </w:r>
      <w:r w:rsidR="00886739" w:rsidRPr="00195C89">
        <w:rPr>
          <w:rFonts w:ascii="Arial" w:hAnsi="Arial" w:cs="Arial"/>
          <w:color w:val="4F81BD" w:themeColor="accent1"/>
          <w:szCs w:val="24"/>
        </w:rPr>
        <w:t>requires that where</w:t>
      </w:r>
      <w:r w:rsidR="00060F19" w:rsidRPr="00195C89">
        <w:rPr>
          <w:rFonts w:ascii="Arial" w:hAnsi="Arial" w:cs="Arial"/>
          <w:color w:val="4F81BD" w:themeColor="accent1"/>
          <w:szCs w:val="24"/>
        </w:rPr>
        <w:t xml:space="preserve"> a site </w:t>
      </w:r>
      <w:proofErr w:type="gramStart"/>
      <w:r w:rsidR="00060F19" w:rsidRPr="00195C89">
        <w:rPr>
          <w:rFonts w:ascii="Arial" w:hAnsi="Arial" w:cs="Arial"/>
          <w:color w:val="4F81BD" w:themeColor="accent1"/>
          <w:szCs w:val="24"/>
        </w:rPr>
        <w:t>is known</w:t>
      </w:r>
      <w:proofErr w:type="gramEnd"/>
      <w:r w:rsidR="00060F19" w:rsidRPr="00195C89">
        <w:rPr>
          <w:rFonts w:ascii="Arial" w:hAnsi="Arial" w:cs="Arial"/>
          <w:color w:val="4F81BD" w:themeColor="accent1"/>
          <w:szCs w:val="24"/>
        </w:rPr>
        <w:t xml:space="preserve"> to have a particular drainage issue, development should not place additional strain on</w:t>
      </w:r>
      <w:r w:rsidR="00886739" w:rsidRPr="00195C89">
        <w:rPr>
          <w:rFonts w:ascii="Arial" w:hAnsi="Arial" w:cs="Arial"/>
          <w:color w:val="4F81BD" w:themeColor="accent1"/>
          <w:szCs w:val="24"/>
        </w:rPr>
        <w:t xml:space="preserve"> adjoining sites or</w:t>
      </w:r>
      <w:r w:rsidR="00060F19" w:rsidRPr="00195C89">
        <w:rPr>
          <w:rFonts w:ascii="Arial" w:hAnsi="Arial" w:cs="Arial"/>
          <w:color w:val="4F81BD" w:themeColor="accent1"/>
          <w:szCs w:val="24"/>
        </w:rPr>
        <w:t xml:space="preserve"> the existing drainage infrastructure.</w:t>
      </w:r>
      <w:r w:rsidR="00886739" w:rsidRPr="00195C89">
        <w:rPr>
          <w:rFonts w:ascii="Arial" w:hAnsi="Arial" w:cs="Arial"/>
          <w:color w:val="4F81BD" w:themeColor="accent1"/>
          <w:szCs w:val="24"/>
        </w:rPr>
        <w:t xml:space="preserve"> It also requires that the development is designed to cope with being flooded.</w:t>
      </w:r>
    </w:p>
    <w:p w:rsidR="00060F19" w:rsidRDefault="00060F19" w:rsidP="00060F19">
      <w:pPr>
        <w:autoSpaceDE w:val="0"/>
        <w:autoSpaceDN w:val="0"/>
        <w:rPr>
          <w:rFonts w:ascii="Arial" w:hAnsi="Arial" w:cs="Arial"/>
          <w:color w:val="4F81BD" w:themeColor="accent1"/>
          <w:szCs w:val="24"/>
        </w:rPr>
      </w:pPr>
    </w:p>
    <w:p w:rsidR="00951E4A" w:rsidRPr="00951E4A" w:rsidRDefault="00195C89" w:rsidP="00951E4A">
      <w:pPr>
        <w:autoSpaceDE w:val="0"/>
        <w:autoSpaceDN w:val="0"/>
        <w:adjustRightInd w:val="0"/>
        <w:rPr>
          <w:rFonts w:ascii="Arial" w:hAnsi="Arial" w:cs="Arial"/>
          <w:color w:val="4F81BD" w:themeColor="accent1"/>
          <w:szCs w:val="24"/>
        </w:rPr>
      </w:pPr>
      <w:proofErr w:type="gramStart"/>
      <w:r>
        <w:rPr>
          <w:rFonts w:ascii="Arial" w:hAnsi="Arial" w:cs="Arial"/>
          <w:color w:val="4F81BD" w:themeColor="accent1"/>
          <w:szCs w:val="24"/>
        </w:rPr>
        <w:t>8.63</w:t>
      </w:r>
      <w:proofErr w:type="gramEnd"/>
      <w:r>
        <w:rPr>
          <w:rFonts w:ascii="Arial" w:hAnsi="Arial" w:cs="Arial"/>
          <w:color w:val="4F81BD" w:themeColor="accent1"/>
          <w:szCs w:val="24"/>
        </w:rPr>
        <w:t xml:space="preserve"> requires</w:t>
      </w:r>
      <w:r w:rsidR="004113A1">
        <w:rPr>
          <w:rFonts w:ascii="Arial" w:hAnsi="Arial" w:cs="Arial"/>
          <w:color w:val="4F81BD" w:themeColor="accent1"/>
          <w:szCs w:val="24"/>
        </w:rPr>
        <w:t xml:space="preserve"> a</w:t>
      </w:r>
      <w:r>
        <w:rPr>
          <w:rFonts w:ascii="Arial" w:hAnsi="Arial" w:cs="Arial"/>
          <w:color w:val="4F81BD" w:themeColor="accent1"/>
          <w:szCs w:val="24"/>
        </w:rPr>
        <w:t xml:space="preserve"> Flood Risk Assessment for </w:t>
      </w:r>
      <w:r w:rsidRPr="00195C89">
        <w:rPr>
          <w:rFonts w:ascii="Arial" w:hAnsi="Arial" w:cs="Arial"/>
          <w:color w:val="4F81BD" w:themeColor="accent1"/>
          <w:szCs w:val="24"/>
        </w:rPr>
        <w:t>all basement development on streets identified as being at flood risk</w:t>
      </w:r>
      <w:r w:rsidR="00951E4A">
        <w:rPr>
          <w:rFonts w:ascii="Arial" w:hAnsi="Arial" w:cs="Arial"/>
          <w:color w:val="4F81BD" w:themeColor="accent1"/>
          <w:szCs w:val="24"/>
        </w:rPr>
        <w:t xml:space="preserve">. </w:t>
      </w:r>
      <w:r w:rsidR="00951E4A" w:rsidRPr="00951E4A">
        <w:rPr>
          <w:rFonts w:ascii="Arial" w:hAnsi="Arial" w:cs="Arial"/>
          <w:color w:val="4F81BD" w:themeColor="accent1"/>
          <w:szCs w:val="24"/>
        </w:rPr>
        <w:t xml:space="preserve">A Flood Risk Assessment should identify how a development </w:t>
      </w:r>
      <w:proofErr w:type="gramStart"/>
      <w:r w:rsidR="00951E4A" w:rsidRPr="00951E4A">
        <w:rPr>
          <w:rFonts w:ascii="Arial" w:hAnsi="Arial" w:cs="Arial"/>
          <w:color w:val="4F81BD" w:themeColor="accent1"/>
          <w:szCs w:val="24"/>
        </w:rPr>
        <w:t>will be designed</w:t>
      </w:r>
      <w:proofErr w:type="gramEnd"/>
      <w:r w:rsidR="00951E4A" w:rsidRPr="00951E4A">
        <w:rPr>
          <w:rFonts w:ascii="Arial" w:hAnsi="Arial" w:cs="Arial"/>
          <w:color w:val="4F81BD" w:themeColor="accent1"/>
          <w:szCs w:val="24"/>
        </w:rPr>
        <w:t xml:space="preserve"> to</w:t>
      </w:r>
      <w:r w:rsidR="00951E4A" w:rsidRPr="00951E4A">
        <w:rPr>
          <w:rFonts w:ascii="Arial" w:hAnsi="Arial" w:cs="Arial"/>
          <w:color w:val="4F81BD" w:themeColor="accent1"/>
          <w:szCs w:val="24"/>
        </w:rPr>
        <w:t xml:space="preserve"> </w:t>
      </w:r>
      <w:r w:rsidR="00951E4A" w:rsidRPr="00951E4A">
        <w:rPr>
          <w:rFonts w:ascii="Arial" w:hAnsi="Arial" w:cs="Arial"/>
          <w:color w:val="4F81BD" w:themeColor="accent1"/>
          <w:szCs w:val="24"/>
        </w:rPr>
        <w:t>cope with flooding and how the risk will be mitigated without increasing the risk</w:t>
      </w:r>
    </w:p>
    <w:p w:rsidR="00195C89" w:rsidRPr="00195C89" w:rsidRDefault="00951E4A" w:rsidP="00951E4A">
      <w:pPr>
        <w:autoSpaceDE w:val="0"/>
        <w:autoSpaceDN w:val="0"/>
        <w:rPr>
          <w:rFonts w:ascii="Arial" w:hAnsi="Arial" w:cs="Arial"/>
          <w:color w:val="548DD4" w:themeColor="text2" w:themeTint="99"/>
          <w:szCs w:val="24"/>
        </w:rPr>
      </w:pPr>
      <w:proofErr w:type="gramStart"/>
      <w:r w:rsidRPr="00951E4A">
        <w:rPr>
          <w:rFonts w:ascii="Arial" w:hAnsi="Arial" w:cs="Arial"/>
          <w:color w:val="4F81BD" w:themeColor="accent1"/>
          <w:szCs w:val="24"/>
        </w:rPr>
        <w:t>elsewhere</w:t>
      </w:r>
      <w:proofErr w:type="gramEnd"/>
      <w:r w:rsidRPr="00951E4A">
        <w:rPr>
          <w:rFonts w:ascii="Arial" w:hAnsi="Arial" w:cs="Arial"/>
          <w:color w:val="4F81BD" w:themeColor="accent1"/>
          <w:szCs w:val="24"/>
        </w:rPr>
        <w:t>.</w:t>
      </w:r>
      <w:r w:rsidRPr="00951E4A">
        <w:rPr>
          <w:rFonts w:ascii="Arial" w:hAnsi="Arial" w:cs="Arial"/>
          <w:color w:val="4F81BD" w:themeColor="accent1"/>
          <w:szCs w:val="24"/>
        </w:rPr>
        <w:t xml:space="preserve"> Recommendations in the FRA </w:t>
      </w:r>
      <w:proofErr w:type="gramStart"/>
      <w:r w:rsidRPr="00951E4A">
        <w:rPr>
          <w:rFonts w:ascii="Arial" w:hAnsi="Arial" w:cs="Arial"/>
          <w:color w:val="4F81BD" w:themeColor="accent1"/>
          <w:szCs w:val="24"/>
        </w:rPr>
        <w:t>will be secured</w:t>
      </w:r>
      <w:proofErr w:type="gramEnd"/>
      <w:r w:rsidRPr="00951E4A">
        <w:rPr>
          <w:rFonts w:ascii="Arial" w:hAnsi="Arial" w:cs="Arial"/>
          <w:color w:val="4F81BD" w:themeColor="accent1"/>
          <w:szCs w:val="24"/>
        </w:rPr>
        <w:t xml:space="preserve"> by planning condition.</w:t>
      </w:r>
    </w:p>
    <w:p w:rsidR="00195C89" w:rsidRDefault="00195C89" w:rsidP="00060F19">
      <w:pPr>
        <w:autoSpaceDE w:val="0"/>
        <w:autoSpaceDN w:val="0"/>
        <w:rPr>
          <w:rFonts w:ascii="Arial" w:hAnsi="Arial" w:cs="Arial"/>
          <w:color w:val="4F81BD" w:themeColor="accent1"/>
          <w:szCs w:val="24"/>
        </w:rPr>
      </w:pPr>
    </w:p>
    <w:p w:rsidR="00951E4A" w:rsidRPr="00951E4A" w:rsidRDefault="00951E4A" w:rsidP="00951E4A">
      <w:pPr>
        <w:autoSpaceDE w:val="0"/>
        <w:autoSpaceDN w:val="0"/>
        <w:rPr>
          <w:rFonts w:ascii="Arial" w:hAnsi="Arial" w:cs="Arial"/>
          <w:color w:val="4F81BD" w:themeColor="accent1"/>
          <w:szCs w:val="24"/>
        </w:rPr>
      </w:pPr>
      <w:proofErr w:type="gramStart"/>
      <w:r>
        <w:rPr>
          <w:rFonts w:ascii="Arial" w:hAnsi="Arial" w:cs="Arial"/>
          <w:color w:val="4F81BD" w:themeColor="accent1"/>
          <w:szCs w:val="24"/>
        </w:rPr>
        <w:t>8.67</w:t>
      </w:r>
      <w:proofErr w:type="gramEnd"/>
      <w:r>
        <w:rPr>
          <w:rFonts w:ascii="Arial" w:hAnsi="Arial" w:cs="Arial"/>
          <w:color w:val="4F81BD" w:themeColor="accent1"/>
          <w:szCs w:val="24"/>
        </w:rPr>
        <w:t xml:space="preserve"> states that a</w:t>
      </w:r>
      <w:r w:rsidRPr="00951E4A">
        <w:rPr>
          <w:rFonts w:ascii="Arial" w:hAnsi="Arial" w:cs="Arial"/>
          <w:color w:val="4F81BD" w:themeColor="accent1"/>
          <w:szCs w:val="24"/>
        </w:rPr>
        <w:t xml:space="preserve"> drainage report should be submitted with all basement</w:t>
      </w:r>
      <w:r>
        <w:rPr>
          <w:rFonts w:ascii="Arial" w:hAnsi="Arial" w:cs="Arial"/>
          <w:color w:val="4F81BD" w:themeColor="accent1"/>
          <w:szCs w:val="24"/>
        </w:rPr>
        <w:t xml:space="preserve"> </w:t>
      </w:r>
      <w:r w:rsidRPr="00951E4A">
        <w:rPr>
          <w:rFonts w:ascii="Arial" w:hAnsi="Arial" w:cs="Arial"/>
          <w:color w:val="4F81BD" w:themeColor="accent1"/>
          <w:szCs w:val="24"/>
        </w:rPr>
        <w:t>developments and other vulnerable development in areas identified at risk of</w:t>
      </w:r>
      <w:r>
        <w:rPr>
          <w:rFonts w:ascii="Arial" w:hAnsi="Arial" w:cs="Arial"/>
          <w:color w:val="4F81BD" w:themeColor="accent1"/>
          <w:szCs w:val="24"/>
        </w:rPr>
        <w:t xml:space="preserve"> </w:t>
      </w:r>
      <w:r w:rsidRPr="00951E4A">
        <w:rPr>
          <w:rFonts w:ascii="Arial" w:hAnsi="Arial" w:cs="Arial"/>
          <w:color w:val="4F81BD" w:themeColor="accent1"/>
          <w:szCs w:val="24"/>
        </w:rPr>
        <w:t>flooding. This should include:</w:t>
      </w:r>
    </w:p>
    <w:p w:rsidR="00951E4A" w:rsidRPr="00951E4A" w:rsidRDefault="00951E4A" w:rsidP="00951E4A">
      <w:pPr>
        <w:autoSpaceDE w:val="0"/>
        <w:autoSpaceDN w:val="0"/>
        <w:ind w:left="720"/>
        <w:rPr>
          <w:rFonts w:ascii="Arial" w:hAnsi="Arial" w:cs="Arial"/>
          <w:color w:val="4F81BD" w:themeColor="accent1"/>
          <w:szCs w:val="24"/>
        </w:rPr>
      </w:pPr>
      <w:r w:rsidRPr="00951E4A">
        <w:rPr>
          <w:rFonts w:ascii="Arial" w:hAnsi="Arial" w:cs="Arial"/>
          <w:color w:val="4F81BD" w:themeColor="accent1"/>
          <w:szCs w:val="24"/>
        </w:rPr>
        <w:t xml:space="preserve">• </w:t>
      </w:r>
      <w:proofErr w:type="gramStart"/>
      <w:r w:rsidRPr="00951E4A">
        <w:rPr>
          <w:rFonts w:ascii="Arial" w:hAnsi="Arial" w:cs="Arial"/>
          <w:color w:val="4F81BD" w:themeColor="accent1"/>
          <w:szCs w:val="24"/>
        </w:rPr>
        <w:t>identification</w:t>
      </w:r>
      <w:proofErr w:type="gramEnd"/>
      <w:r w:rsidRPr="00951E4A">
        <w:rPr>
          <w:rFonts w:ascii="Arial" w:hAnsi="Arial" w:cs="Arial"/>
          <w:color w:val="4F81BD" w:themeColor="accent1"/>
          <w:szCs w:val="24"/>
        </w:rPr>
        <w:t xml:space="preserve"> of flood risk;</w:t>
      </w:r>
    </w:p>
    <w:p w:rsidR="00951E4A" w:rsidRPr="00951E4A" w:rsidRDefault="00951E4A" w:rsidP="00951E4A">
      <w:pPr>
        <w:autoSpaceDE w:val="0"/>
        <w:autoSpaceDN w:val="0"/>
        <w:ind w:left="720"/>
        <w:rPr>
          <w:rFonts w:ascii="Arial" w:hAnsi="Arial" w:cs="Arial"/>
          <w:color w:val="4F81BD" w:themeColor="accent1"/>
          <w:szCs w:val="24"/>
        </w:rPr>
      </w:pPr>
      <w:r w:rsidRPr="00951E4A">
        <w:rPr>
          <w:rFonts w:ascii="Arial" w:hAnsi="Arial" w:cs="Arial"/>
          <w:color w:val="4F81BD" w:themeColor="accent1"/>
          <w:szCs w:val="24"/>
        </w:rPr>
        <w:t xml:space="preserve">• </w:t>
      </w:r>
      <w:proofErr w:type="gramStart"/>
      <w:r w:rsidRPr="00951E4A">
        <w:rPr>
          <w:rFonts w:ascii="Arial" w:hAnsi="Arial" w:cs="Arial"/>
          <w:color w:val="4F81BD" w:themeColor="accent1"/>
          <w:szCs w:val="24"/>
        </w:rPr>
        <w:t>assessment</w:t>
      </w:r>
      <w:proofErr w:type="gramEnd"/>
      <w:r w:rsidRPr="00951E4A">
        <w:rPr>
          <w:rFonts w:ascii="Arial" w:hAnsi="Arial" w:cs="Arial"/>
          <w:color w:val="4F81BD" w:themeColor="accent1"/>
          <w:szCs w:val="24"/>
        </w:rPr>
        <w:t xml:space="preserve"> of existing run-off rates;</w:t>
      </w:r>
    </w:p>
    <w:p w:rsidR="00951E4A" w:rsidRPr="00951E4A" w:rsidRDefault="00951E4A" w:rsidP="00951E4A">
      <w:pPr>
        <w:autoSpaceDE w:val="0"/>
        <w:autoSpaceDN w:val="0"/>
        <w:ind w:left="720"/>
        <w:rPr>
          <w:rFonts w:ascii="Arial" w:hAnsi="Arial" w:cs="Arial"/>
          <w:color w:val="4F81BD" w:themeColor="accent1"/>
          <w:szCs w:val="24"/>
        </w:rPr>
      </w:pPr>
      <w:r w:rsidRPr="00951E4A">
        <w:rPr>
          <w:rFonts w:ascii="Arial" w:hAnsi="Arial" w:cs="Arial"/>
          <w:color w:val="4F81BD" w:themeColor="accent1"/>
          <w:szCs w:val="24"/>
        </w:rPr>
        <w:t xml:space="preserve">• </w:t>
      </w:r>
      <w:proofErr w:type="gramStart"/>
      <w:r w:rsidRPr="00951E4A">
        <w:rPr>
          <w:rFonts w:ascii="Arial" w:hAnsi="Arial" w:cs="Arial"/>
          <w:color w:val="4F81BD" w:themeColor="accent1"/>
          <w:szCs w:val="24"/>
        </w:rPr>
        <w:t>calculation</w:t>
      </w:r>
      <w:proofErr w:type="gramEnd"/>
      <w:r w:rsidRPr="00951E4A">
        <w:rPr>
          <w:rFonts w:ascii="Arial" w:hAnsi="Arial" w:cs="Arial"/>
          <w:color w:val="4F81BD" w:themeColor="accent1"/>
          <w:szCs w:val="24"/>
        </w:rPr>
        <w:t xml:space="preserve"> of greenfield run-off rates;</w:t>
      </w:r>
    </w:p>
    <w:p w:rsidR="00951E4A" w:rsidRPr="00951E4A" w:rsidRDefault="00951E4A" w:rsidP="00951E4A">
      <w:pPr>
        <w:autoSpaceDE w:val="0"/>
        <w:autoSpaceDN w:val="0"/>
        <w:ind w:left="720"/>
        <w:rPr>
          <w:rFonts w:ascii="Arial" w:hAnsi="Arial" w:cs="Arial"/>
          <w:color w:val="4F81BD" w:themeColor="accent1"/>
          <w:szCs w:val="24"/>
        </w:rPr>
      </w:pPr>
      <w:r w:rsidRPr="00951E4A">
        <w:rPr>
          <w:rFonts w:ascii="Arial" w:hAnsi="Arial" w:cs="Arial"/>
          <w:color w:val="4F81BD" w:themeColor="accent1"/>
          <w:szCs w:val="24"/>
        </w:rPr>
        <w:t xml:space="preserve">• </w:t>
      </w:r>
      <w:proofErr w:type="gramStart"/>
      <w:r w:rsidRPr="00951E4A">
        <w:rPr>
          <w:rFonts w:ascii="Arial" w:hAnsi="Arial" w:cs="Arial"/>
          <w:color w:val="4F81BD" w:themeColor="accent1"/>
          <w:szCs w:val="24"/>
        </w:rPr>
        <w:t>identification</w:t>
      </w:r>
      <w:proofErr w:type="gramEnd"/>
      <w:r w:rsidRPr="00951E4A">
        <w:rPr>
          <w:rFonts w:ascii="Arial" w:hAnsi="Arial" w:cs="Arial"/>
          <w:color w:val="4F81BD" w:themeColor="accent1"/>
          <w:szCs w:val="24"/>
        </w:rPr>
        <w:t xml:space="preserve"> of measures, in line with the drainage hierarchy, to reduce runoff</w:t>
      </w:r>
    </w:p>
    <w:p w:rsidR="00951E4A" w:rsidRPr="00951E4A" w:rsidRDefault="00951E4A" w:rsidP="00951E4A">
      <w:pPr>
        <w:autoSpaceDE w:val="0"/>
        <w:autoSpaceDN w:val="0"/>
        <w:ind w:left="720"/>
        <w:rPr>
          <w:rFonts w:ascii="Arial" w:hAnsi="Arial" w:cs="Arial"/>
          <w:color w:val="4F81BD" w:themeColor="accent1"/>
          <w:szCs w:val="24"/>
        </w:rPr>
      </w:pPr>
      <w:proofErr w:type="gramStart"/>
      <w:r w:rsidRPr="00951E4A">
        <w:rPr>
          <w:rFonts w:ascii="Arial" w:hAnsi="Arial" w:cs="Arial"/>
          <w:color w:val="4F81BD" w:themeColor="accent1"/>
          <w:szCs w:val="24"/>
        </w:rPr>
        <w:t>rates</w:t>
      </w:r>
      <w:proofErr w:type="gramEnd"/>
      <w:r w:rsidRPr="00951E4A">
        <w:rPr>
          <w:rFonts w:ascii="Arial" w:hAnsi="Arial" w:cs="Arial"/>
          <w:color w:val="4F81BD" w:themeColor="accent1"/>
          <w:szCs w:val="24"/>
        </w:rPr>
        <w:t>; and</w:t>
      </w:r>
    </w:p>
    <w:p w:rsidR="00951E4A" w:rsidRPr="00195C89" w:rsidRDefault="00951E4A" w:rsidP="00951E4A">
      <w:pPr>
        <w:autoSpaceDE w:val="0"/>
        <w:autoSpaceDN w:val="0"/>
        <w:ind w:left="720"/>
        <w:rPr>
          <w:rFonts w:ascii="Arial" w:hAnsi="Arial" w:cs="Arial"/>
          <w:color w:val="4F81BD" w:themeColor="accent1"/>
          <w:szCs w:val="24"/>
        </w:rPr>
      </w:pPr>
      <w:r w:rsidRPr="00951E4A">
        <w:rPr>
          <w:rFonts w:ascii="Arial" w:hAnsi="Arial" w:cs="Arial"/>
          <w:color w:val="4F81BD" w:themeColor="accent1"/>
          <w:szCs w:val="24"/>
        </w:rPr>
        <w:lastRenderedPageBreak/>
        <w:t xml:space="preserve">• </w:t>
      </w:r>
      <w:proofErr w:type="gramStart"/>
      <w:r w:rsidRPr="00951E4A">
        <w:rPr>
          <w:rFonts w:ascii="Arial" w:hAnsi="Arial" w:cs="Arial"/>
          <w:color w:val="4F81BD" w:themeColor="accent1"/>
          <w:szCs w:val="24"/>
        </w:rPr>
        <w:t>calculation</w:t>
      </w:r>
      <w:proofErr w:type="gramEnd"/>
      <w:r w:rsidRPr="00951E4A">
        <w:rPr>
          <w:rFonts w:ascii="Arial" w:hAnsi="Arial" w:cs="Arial"/>
          <w:color w:val="4F81BD" w:themeColor="accent1"/>
          <w:szCs w:val="24"/>
        </w:rPr>
        <w:t xml:space="preserve"> of proposed run-off rates.</w:t>
      </w:r>
    </w:p>
    <w:p w:rsidR="00951E4A" w:rsidRDefault="00951E4A" w:rsidP="00060F19">
      <w:pPr>
        <w:autoSpaceDE w:val="0"/>
        <w:autoSpaceDN w:val="0"/>
        <w:rPr>
          <w:rFonts w:ascii="Arial" w:hAnsi="Arial" w:cs="Arial"/>
          <w:color w:val="4F81BD" w:themeColor="accent1"/>
          <w:szCs w:val="24"/>
        </w:rPr>
      </w:pPr>
    </w:p>
    <w:p w:rsidR="00060F19" w:rsidRPr="00195C89" w:rsidRDefault="00951E4A" w:rsidP="00060F19">
      <w:pPr>
        <w:autoSpaceDE w:val="0"/>
        <w:autoSpaceDN w:val="0"/>
        <w:rPr>
          <w:rFonts w:ascii="Arial" w:hAnsi="Arial" w:cs="Arial"/>
          <w:color w:val="4F81BD" w:themeColor="accent1"/>
          <w:szCs w:val="24"/>
        </w:rPr>
      </w:pPr>
      <w:r>
        <w:rPr>
          <w:rFonts w:ascii="Arial" w:hAnsi="Arial" w:cs="Arial"/>
          <w:color w:val="4F81BD" w:themeColor="accent1"/>
          <w:szCs w:val="24"/>
        </w:rPr>
        <w:t>D</w:t>
      </w:r>
      <w:r w:rsidR="00060F19" w:rsidRPr="00195C89">
        <w:rPr>
          <w:rFonts w:ascii="Arial" w:hAnsi="Arial" w:cs="Arial"/>
          <w:color w:val="4F81BD" w:themeColor="accent1"/>
          <w:szCs w:val="24"/>
        </w:rPr>
        <w:t xml:space="preserve">evelopments </w:t>
      </w:r>
      <w:r>
        <w:rPr>
          <w:rFonts w:ascii="Arial" w:hAnsi="Arial" w:cs="Arial"/>
          <w:color w:val="4F81BD" w:themeColor="accent1"/>
          <w:szCs w:val="24"/>
        </w:rPr>
        <w:t xml:space="preserve">are required </w:t>
      </w:r>
      <w:r w:rsidR="00060F19" w:rsidRPr="00195C89">
        <w:rPr>
          <w:rFonts w:ascii="Arial" w:hAnsi="Arial" w:cs="Arial"/>
          <w:color w:val="4F81BD" w:themeColor="accent1"/>
          <w:szCs w:val="24"/>
        </w:rPr>
        <w:t>to reduce their water consumption, the pressure on the combined sewer network and the risk of flooding by:</w:t>
      </w:r>
    </w:p>
    <w:p w:rsidR="006A0FCF" w:rsidRPr="00195C89" w:rsidRDefault="006A0FCF" w:rsidP="00060F19">
      <w:pPr>
        <w:autoSpaceDE w:val="0"/>
        <w:autoSpaceDN w:val="0"/>
        <w:rPr>
          <w:rFonts w:ascii="Arial" w:hAnsi="Arial" w:cs="Arial"/>
          <w:color w:val="4F81BD" w:themeColor="accent1"/>
          <w:szCs w:val="24"/>
        </w:rPr>
      </w:pPr>
    </w:p>
    <w:p w:rsidR="006A0FCF" w:rsidRPr="00195C89" w:rsidRDefault="00060F19" w:rsidP="006A0FCF">
      <w:pPr>
        <w:pStyle w:val="ListParagraph"/>
        <w:numPr>
          <w:ilvl w:val="0"/>
          <w:numId w:val="1"/>
        </w:numPr>
        <w:autoSpaceDE w:val="0"/>
        <w:autoSpaceDN w:val="0"/>
        <w:rPr>
          <w:rFonts w:ascii="Arial" w:hAnsi="Arial" w:cs="Arial"/>
          <w:color w:val="4F81BD" w:themeColor="accent1"/>
          <w:szCs w:val="24"/>
        </w:rPr>
      </w:pPr>
      <w:r w:rsidRPr="00195C89">
        <w:rPr>
          <w:rFonts w:ascii="Arial" w:hAnsi="Arial" w:cs="Arial"/>
          <w:color w:val="4F81BD" w:themeColor="accent1"/>
          <w:szCs w:val="24"/>
        </w:rPr>
        <w:t>incorporating water efficient features and equipment and capturing, retaining and re-using surface water and grey water on-site;</w:t>
      </w:r>
    </w:p>
    <w:p w:rsidR="006A0FCF" w:rsidRPr="00195C89" w:rsidRDefault="006A0FCF" w:rsidP="006A0FCF">
      <w:pPr>
        <w:pStyle w:val="ListParagraph"/>
        <w:autoSpaceDE w:val="0"/>
        <w:autoSpaceDN w:val="0"/>
        <w:rPr>
          <w:rFonts w:ascii="Arial" w:hAnsi="Arial" w:cs="Arial"/>
          <w:color w:val="4F81BD" w:themeColor="accent1"/>
          <w:szCs w:val="24"/>
        </w:rPr>
      </w:pPr>
    </w:p>
    <w:p w:rsidR="006A0FCF" w:rsidRPr="00195C89" w:rsidRDefault="00060F19" w:rsidP="006A0FCF">
      <w:pPr>
        <w:pStyle w:val="ListParagraph"/>
        <w:numPr>
          <w:ilvl w:val="0"/>
          <w:numId w:val="1"/>
        </w:numPr>
        <w:autoSpaceDE w:val="0"/>
        <w:autoSpaceDN w:val="0"/>
        <w:adjustRightInd w:val="0"/>
        <w:rPr>
          <w:rFonts w:ascii="Arial" w:hAnsi="Arial" w:cs="Arial"/>
          <w:color w:val="4F81BD" w:themeColor="accent1"/>
          <w:szCs w:val="24"/>
        </w:rPr>
      </w:pPr>
      <w:r w:rsidRPr="00195C89">
        <w:rPr>
          <w:rFonts w:ascii="Arial" w:hAnsi="Arial" w:cs="Arial"/>
          <w:color w:val="4F81BD" w:themeColor="accent1"/>
          <w:szCs w:val="24"/>
        </w:rPr>
        <w:t>limiting the amount and rate of run-off and waste water entering the combined storm water and sewer network through the methods outlined in part a) and other sustainable urban drainage methods to reduce the risk of flooding</w:t>
      </w:r>
    </w:p>
    <w:p w:rsidR="006A0FCF" w:rsidRPr="00195C89" w:rsidRDefault="006A0FCF" w:rsidP="006A0FCF">
      <w:pPr>
        <w:pStyle w:val="ListParagraph"/>
        <w:autoSpaceDE w:val="0"/>
        <w:autoSpaceDN w:val="0"/>
        <w:adjustRightInd w:val="0"/>
        <w:rPr>
          <w:rFonts w:ascii="Arial" w:hAnsi="Arial" w:cs="Arial"/>
          <w:color w:val="4F81BD" w:themeColor="accent1"/>
          <w:szCs w:val="24"/>
        </w:rPr>
      </w:pPr>
    </w:p>
    <w:p w:rsidR="00060F19" w:rsidRPr="00195C89" w:rsidRDefault="006A0FCF" w:rsidP="006A0FCF">
      <w:pPr>
        <w:pStyle w:val="ListParagraph"/>
        <w:numPr>
          <w:ilvl w:val="0"/>
          <w:numId w:val="1"/>
        </w:numPr>
        <w:autoSpaceDE w:val="0"/>
        <w:autoSpaceDN w:val="0"/>
        <w:adjustRightInd w:val="0"/>
        <w:rPr>
          <w:rFonts w:ascii="Arial" w:hAnsi="Arial" w:cs="Arial"/>
          <w:color w:val="4F81BD" w:themeColor="accent1"/>
          <w:szCs w:val="24"/>
        </w:rPr>
      </w:pPr>
      <w:r w:rsidRPr="00195C89">
        <w:rPr>
          <w:rFonts w:ascii="Arial" w:hAnsi="Arial" w:cs="Arial"/>
          <w:color w:val="4F81BD" w:themeColor="accent1"/>
          <w:szCs w:val="24"/>
        </w:rPr>
        <w:t>reducing the pressure placed on the combined storm water and sewer network from foul water and surface water run-off and ensuring developments in the areas identified.... as being at risk of surface water flooding are designed to cope with the potential flooding</w:t>
      </w:r>
    </w:p>
    <w:p w:rsidR="00060F19" w:rsidRDefault="00060F19" w:rsidP="00060F19">
      <w:pPr>
        <w:pStyle w:val="PlainText"/>
        <w:rPr>
          <w:sz w:val="22"/>
        </w:rPr>
      </w:pPr>
    </w:p>
    <w:p w:rsidR="00A14416" w:rsidRPr="00195C89" w:rsidRDefault="00A14416" w:rsidP="00A14416">
      <w:pPr>
        <w:rPr>
          <w:rFonts w:ascii="Arial" w:hAnsi="Arial" w:cs="Arial"/>
          <w:i/>
          <w:szCs w:val="24"/>
        </w:rPr>
      </w:pPr>
      <w:r w:rsidRPr="00195C89">
        <w:rPr>
          <w:rFonts w:ascii="Arial" w:hAnsi="Arial" w:cs="Arial"/>
          <w:i/>
          <w:szCs w:val="24"/>
        </w:rPr>
        <w:t>The applicant must demonstrate how methods outlined in a), b) and c) above will be included in the proposals to ensure:</w:t>
      </w:r>
    </w:p>
    <w:p w:rsidR="00A14416" w:rsidRPr="00195C89" w:rsidRDefault="00A14416" w:rsidP="00A14416">
      <w:pPr>
        <w:pStyle w:val="ListParagraph"/>
        <w:numPr>
          <w:ilvl w:val="1"/>
          <w:numId w:val="5"/>
        </w:numPr>
        <w:tabs>
          <w:tab w:val="clear" w:pos="1440"/>
          <w:tab w:val="num" w:pos="709"/>
        </w:tabs>
        <w:ind w:left="709" w:hanging="283"/>
        <w:rPr>
          <w:rFonts w:ascii="Arial" w:hAnsi="Arial" w:cs="Arial"/>
          <w:i/>
          <w:szCs w:val="24"/>
        </w:rPr>
      </w:pPr>
      <w:r w:rsidRPr="00195C89">
        <w:rPr>
          <w:rFonts w:ascii="Arial" w:hAnsi="Arial" w:cs="Arial"/>
          <w:i/>
          <w:szCs w:val="24"/>
        </w:rPr>
        <w:t>there is no additional strain on adjoining sites or the existing drainage infrastructure</w:t>
      </w:r>
    </w:p>
    <w:p w:rsidR="00A14416" w:rsidRPr="00195C89" w:rsidRDefault="00A14416" w:rsidP="00A14416">
      <w:pPr>
        <w:pStyle w:val="ListParagraph"/>
        <w:numPr>
          <w:ilvl w:val="1"/>
          <w:numId w:val="5"/>
        </w:numPr>
        <w:tabs>
          <w:tab w:val="clear" w:pos="1440"/>
          <w:tab w:val="num" w:pos="709"/>
        </w:tabs>
        <w:ind w:left="709" w:hanging="283"/>
        <w:rPr>
          <w:rFonts w:ascii="Arial" w:hAnsi="Arial" w:cs="Arial"/>
          <w:i/>
          <w:szCs w:val="24"/>
        </w:rPr>
      </w:pPr>
      <w:proofErr w:type="gramStart"/>
      <w:r w:rsidRPr="00195C89">
        <w:rPr>
          <w:rFonts w:ascii="Arial" w:hAnsi="Arial" w:cs="Arial"/>
          <w:i/>
          <w:szCs w:val="24"/>
        </w:rPr>
        <w:t>the</w:t>
      </w:r>
      <w:proofErr w:type="gramEnd"/>
      <w:r w:rsidRPr="00195C89">
        <w:rPr>
          <w:rFonts w:ascii="Arial" w:hAnsi="Arial" w:cs="Arial"/>
          <w:i/>
          <w:szCs w:val="24"/>
        </w:rPr>
        <w:t xml:space="preserve"> development will cope with being flooded. E.g. by:</w:t>
      </w:r>
    </w:p>
    <w:p w:rsidR="00A14416" w:rsidRPr="00195C89" w:rsidRDefault="00A14416" w:rsidP="00A14416">
      <w:pPr>
        <w:numPr>
          <w:ilvl w:val="1"/>
          <w:numId w:val="6"/>
        </w:numPr>
        <w:rPr>
          <w:rFonts w:ascii="Arial" w:hAnsi="Arial" w:cs="Arial"/>
          <w:i/>
          <w:szCs w:val="24"/>
        </w:rPr>
      </w:pPr>
      <w:r w:rsidRPr="00195C89">
        <w:rPr>
          <w:rFonts w:ascii="Arial" w:hAnsi="Arial" w:cs="Arial"/>
          <w:i/>
          <w:szCs w:val="24"/>
        </w:rPr>
        <w:t>No self-contained basement dwellings</w:t>
      </w:r>
    </w:p>
    <w:p w:rsidR="00A14416" w:rsidRPr="00195C89" w:rsidRDefault="00A14416" w:rsidP="00A14416">
      <w:pPr>
        <w:numPr>
          <w:ilvl w:val="1"/>
          <w:numId w:val="6"/>
        </w:numPr>
        <w:rPr>
          <w:rFonts w:ascii="Arial" w:hAnsi="Arial" w:cs="Arial"/>
          <w:i/>
          <w:szCs w:val="24"/>
        </w:rPr>
      </w:pPr>
      <w:r w:rsidRPr="00195C89">
        <w:rPr>
          <w:rFonts w:ascii="Arial" w:hAnsi="Arial" w:cs="Arial"/>
          <w:i/>
          <w:szCs w:val="24"/>
        </w:rPr>
        <w:t>Limiting flood waters entering and damaging the building fabric; or</w:t>
      </w:r>
    </w:p>
    <w:p w:rsidR="00A14416" w:rsidRPr="00195C89" w:rsidRDefault="00A14416" w:rsidP="00A14416">
      <w:pPr>
        <w:numPr>
          <w:ilvl w:val="1"/>
          <w:numId w:val="6"/>
        </w:numPr>
        <w:rPr>
          <w:rFonts w:ascii="Arial" w:hAnsi="Arial" w:cs="Arial"/>
          <w:i/>
          <w:szCs w:val="24"/>
        </w:rPr>
      </w:pPr>
      <w:r w:rsidRPr="00195C89">
        <w:rPr>
          <w:rFonts w:ascii="Arial" w:hAnsi="Arial" w:cs="Arial"/>
          <w:i/>
          <w:szCs w:val="24"/>
        </w:rPr>
        <w:t>Allowing flood water to enter the building but limiting the damage it will cause</w:t>
      </w:r>
    </w:p>
    <w:p w:rsidR="00A14416" w:rsidRPr="00195C89" w:rsidRDefault="00A14416" w:rsidP="00A14416">
      <w:pPr>
        <w:ind w:left="567"/>
        <w:rPr>
          <w:rFonts w:ascii="Arial" w:hAnsi="Arial" w:cs="Arial"/>
          <w:i/>
          <w:szCs w:val="24"/>
        </w:rPr>
      </w:pPr>
    </w:p>
    <w:p w:rsidR="00A14416" w:rsidRPr="00195C89" w:rsidRDefault="00A14416" w:rsidP="00A14416">
      <w:pPr>
        <w:rPr>
          <w:rFonts w:ascii="Arial" w:hAnsi="Arial" w:cs="Arial"/>
          <w:i/>
          <w:szCs w:val="24"/>
        </w:rPr>
      </w:pPr>
      <w:r w:rsidRPr="00195C89">
        <w:rPr>
          <w:rFonts w:ascii="Arial" w:hAnsi="Arial" w:cs="Arial"/>
          <w:i/>
          <w:szCs w:val="24"/>
        </w:rPr>
        <w:t xml:space="preserve">Consideration of the cumulative impact of small prior approvals in high risk areas should be borne in mind (Residential use typically has a much higher water use than offices, resulting on increased impact on the sewer system due to generation of more waste water). </w:t>
      </w:r>
    </w:p>
    <w:p w:rsidR="00A14416" w:rsidRDefault="00A14416" w:rsidP="00A14416">
      <w:pPr>
        <w:rPr>
          <w:rFonts w:ascii="Arial" w:hAnsi="Arial" w:cs="Arial"/>
          <w:i/>
          <w:szCs w:val="24"/>
        </w:rPr>
      </w:pPr>
    </w:p>
    <w:p w:rsidR="00195C89" w:rsidRPr="00951E4A" w:rsidRDefault="00195C89" w:rsidP="00A14416">
      <w:pPr>
        <w:rPr>
          <w:rFonts w:ascii="Arial" w:hAnsi="Arial" w:cs="Arial"/>
          <w:b/>
          <w:szCs w:val="24"/>
        </w:rPr>
      </w:pPr>
      <w:r w:rsidRPr="00951E4A">
        <w:rPr>
          <w:rFonts w:ascii="Arial" w:hAnsi="Arial" w:cs="Arial"/>
          <w:b/>
          <w:szCs w:val="24"/>
        </w:rPr>
        <w:t>Documents reviewed</w:t>
      </w:r>
    </w:p>
    <w:p w:rsidR="00195C89" w:rsidRDefault="00195C89" w:rsidP="00195C89">
      <w:pPr>
        <w:ind w:left="720"/>
        <w:rPr>
          <w:rFonts w:ascii="Arial" w:hAnsi="Arial" w:cs="Arial"/>
          <w:szCs w:val="24"/>
        </w:rPr>
      </w:pPr>
      <w:r>
        <w:rPr>
          <w:rFonts w:ascii="Arial" w:hAnsi="Arial" w:cs="Arial"/>
          <w:szCs w:val="24"/>
        </w:rPr>
        <w:t xml:space="preserve">‘Flood Risk Assessment’ dated 29 January 2018, prepared by LBH Wembley Engineering on behalf of Alex Wills and Artemis </w:t>
      </w:r>
      <w:proofErr w:type="spellStart"/>
      <w:r>
        <w:rPr>
          <w:rFonts w:ascii="Arial" w:hAnsi="Arial" w:cs="Arial"/>
          <w:szCs w:val="24"/>
        </w:rPr>
        <w:t>Doupa</w:t>
      </w:r>
      <w:proofErr w:type="spellEnd"/>
      <w:r>
        <w:rPr>
          <w:rFonts w:ascii="Arial" w:hAnsi="Arial" w:cs="Arial"/>
          <w:szCs w:val="24"/>
        </w:rPr>
        <w:t>.</w:t>
      </w:r>
    </w:p>
    <w:p w:rsidR="00951E4A" w:rsidRDefault="00951E4A" w:rsidP="00195C89">
      <w:pPr>
        <w:ind w:left="720"/>
        <w:rPr>
          <w:rFonts w:ascii="Arial" w:hAnsi="Arial" w:cs="Arial"/>
          <w:szCs w:val="24"/>
        </w:rPr>
      </w:pPr>
      <w:r>
        <w:rPr>
          <w:rFonts w:ascii="Arial" w:hAnsi="Arial" w:cs="Arial"/>
          <w:szCs w:val="24"/>
        </w:rPr>
        <w:t xml:space="preserve">‘SuDS Strategy’ </w:t>
      </w:r>
      <w:r>
        <w:rPr>
          <w:rFonts w:ascii="Arial" w:hAnsi="Arial" w:cs="Arial"/>
          <w:szCs w:val="24"/>
        </w:rPr>
        <w:t xml:space="preserve">dated </w:t>
      </w:r>
      <w:r>
        <w:rPr>
          <w:rFonts w:ascii="Arial" w:hAnsi="Arial" w:cs="Arial"/>
          <w:szCs w:val="24"/>
        </w:rPr>
        <w:t>15</w:t>
      </w:r>
      <w:r>
        <w:rPr>
          <w:rFonts w:ascii="Arial" w:hAnsi="Arial" w:cs="Arial"/>
          <w:szCs w:val="24"/>
        </w:rPr>
        <w:t xml:space="preserve"> </w:t>
      </w:r>
      <w:r>
        <w:rPr>
          <w:rFonts w:ascii="Arial" w:hAnsi="Arial" w:cs="Arial"/>
          <w:szCs w:val="24"/>
        </w:rPr>
        <w:t xml:space="preserve">May </w:t>
      </w:r>
      <w:r>
        <w:rPr>
          <w:rFonts w:ascii="Arial" w:hAnsi="Arial" w:cs="Arial"/>
          <w:szCs w:val="24"/>
        </w:rPr>
        <w:t xml:space="preserve">2018, prepared by LBH Wembley Engineering on behalf of Alex Wills and Artemis </w:t>
      </w:r>
      <w:proofErr w:type="spellStart"/>
      <w:r>
        <w:rPr>
          <w:rFonts w:ascii="Arial" w:hAnsi="Arial" w:cs="Arial"/>
          <w:szCs w:val="24"/>
        </w:rPr>
        <w:t>Doupa</w:t>
      </w:r>
      <w:proofErr w:type="spellEnd"/>
      <w:r>
        <w:rPr>
          <w:rFonts w:ascii="Arial" w:hAnsi="Arial" w:cs="Arial"/>
          <w:szCs w:val="24"/>
        </w:rPr>
        <w:t>.</w:t>
      </w:r>
    </w:p>
    <w:p w:rsidR="00195C89" w:rsidRDefault="00195C89" w:rsidP="00A14416">
      <w:pPr>
        <w:rPr>
          <w:rFonts w:ascii="Arial" w:hAnsi="Arial" w:cs="Arial"/>
          <w:szCs w:val="24"/>
        </w:rPr>
      </w:pPr>
    </w:p>
    <w:p w:rsidR="00951E4A" w:rsidRDefault="00951E4A" w:rsidP="00951E4A">
      <w:pPr>
        <w:pStyle w:val="PlainText"/>
        <w:rPr>
          <w:b/>
          <w:sz w:val="22"/>
        </w:rPr>
      </w:pPr>
      <w:r>
        <w:rPr>
          <w:b/>
          <w:sz w:val="22"/>
        </w:rPr>
        <w:t>Comments</w:t>
      </w:r>
    </w:p>
    <w:p w:rsidR="0031213B" w:rsidRDefault="0031213B" w:rsidP="00951E4A">
      <w:pPr>
        <w:pStyle w:val="PlainText"/>
        <w:rPr>
          <w:sz w:val="22"/>
        </w:rPr>
      </w:pPr>
      <w:r w:rsidRPr="0031213B">
        <w:rPr>
          <w:sz w:val="22"/>
        </w:rPr>
        <w:t>The FRA</w:t>
      </w:r>
      <w:r>
        <w:rPr>
          <w:sz w:val="22"/>
        </w:rPr>
        <w:t xml:space="preserve"> states that “the development should not result in any significant impact to flood risk elsewhere” and there is “not deemed to be a requirement to mitigate against flood risk”. </w:t>
      </w:r>
      <w:proofErr w:type="gramStart"/>
      <w:r>
        <w:rPr>
          <w:sz w:val="22"/>
        </w:rPr>
        <w:t>However</w:t>
      </w:r>
      <w:proofErr w:type="gramEnd"/>
      <w:r>
        <w:rPr>
          <w:sz w:val="22"/>
        </w:rPr>
        <w:t xml:space="preserve"> the risk to the property itself, in particular the new basement use is not addressed.</w:t>
      </w:r>
    </w:p>
    <w:p w:rsidR="0031213B" w:rsidRDefault="0031213B" w:rsidP="00951E4A">
      <w:pPr>
        <w:pStyle w:val="PlainText"/>
        <w:rPr>
          <w:sz w:val="22"/>
        </w:rPr>
      </w:pPr>
      <w:r>
        <w:rPr>
          <w:sz w:val="22"/>
        </w:rPr>
        <w:t xml:space="preserve">The </w:t>
      </w:r>
      <w:r w:rsidR="00615543">
        <w:rPr>
          <w:sz w:val="22"/>
        </w:rPr>
        <w:t xml:space="preserve">FRA also </w:t>
      </w:r>
      <w:proofErr w:type="gramStart"/>
      <w:r w:rsidR="00615543">
        <w:rPr>
          <w:sz w:val="22"/>
        </w:rPr>
        <w:t>states that</w:t>
      </w:r>
      <w:proofErr w:type="gramEnd"/>
      <w:r w:rsidR="00615543">
        <w:rPr>
          <w:sz w:val="22"/>
        </w:rPr>
        <w:t xml:space="preserve"> “following the 2002 flood event, it is understood that a flood alleviation scheme was created at Sumatra Road, West Hampstead.”</w:t>
      </w:r>
    </w:p>
    <w:p w:rsidR="00615543" w:rsidRDefault="00615543" w:rsidP="00951E4A">
      <w:pPr>
        <w:pStyle w:val="PlainText"/>
        <w:rPr>
          <w:sz w:val="22"/>
        </w:rPr>
      </w:pPr>
      <w:r w:rsidRPr="00615543">
        <w:rPr>
          <w:b/>
          <w:color w:val="FF0000"/>
          <w:sz w:val="22"/>
        </w:rPr>
        <w:t>Issue</w:t>
      </w:r>
      <w:r w:rsidRPr="00615543">
        <w:rPr>
          <w:color w:val="FF0000"/>
          <w:sz w:val="22"/>
        </w:rPr>
        <w:t xml:space="preserve"> </w:t>
      </w:r>
      <w:r>
        <w:rPr>
          <w:sz w:val="22"/>
        </w:rPr>
        <w:t xml:space="preserve">the FRA cites the Sumatra Road storage tank but does not go on to demonstrate how flood risk </w:t>
      </w:r>
      <w:proofErr w:type="gramStart"/>
      <w:r>
        <w:rPr>
          <w:sz w:val="22"/>
        </w:rPr>
        <w:t>is reduced</w:t>
      </w:r>
      <w:proofErr w:type="gramEnd"/>
      <w:r>
        <w:rPr>
          <w:sz w:val="22"/>
        </w:rPr>
        <w:t xml:space="preserve"> at the scheme site by this means. No mitigation measures to protect the </w:t>
      </w:r>
      <w:proofErr w:type="spellStart"/>
      <w:r>
        <w:rPr>
          <w:sz w:val="22"/>
        </w:rPr>
        <w:t>lightwell</w:t>
      </w:r>
      <w:proofErr w:type="spellEnd"/>
      <w:r>
        <w:rPr>
          <w:sz w:val="22"/>
        </w:rPr>
        <w:t xml:space="preserve"> and basement </w:t>
      </w:r>
      <w:proofErr w:type="gramStart"/>
      <w:r>
        <w:rPr>
          <w:sz w:val="22"/>
        </w:rPr>
        <w:t xml:space="preserve">are </w:t>
      </w:r>
      <w:r w:rsidR="00095983">
        <w:rPr>
          <w:sz w:val="22"/>
        </w:rPr>
        <w:t>highlighted</w:t>
      </w:r>
      <w:proofErr w:type="gramEnd"/>
      <w:r>
        <w:rPr>
          <w:sz w:val="22"/>
        </w:rPr>
        <w:t>.</w:t>
      </w:r>
    </w:p>
    <w:p w:rsidR="00095983" w:rsidRDefault="00615543" w:rsidP="00095983">
      <w:pPr>
        <w:pStyle w:val="PlainText"/>
        <w:rPr>
          <w:sz w:val="22"/>
        </w:rPr>
      </w:pPr>
      <w:r w:rsidRPr="00615543">
        <w:rPr>
          <w:b/>
          <w:color w:val="FF0000"/>
          <w:sz w:val="22"/>
        </w:rPr>
        <w:t xml:space="preserve">Further action </w:t>
      </w:r>
      <w:proofErr w:type="gramStart"/>
      <w:r>
        <w:rPr>
          <w:sz w:val="22"/>
        </w:rPr>
        <w:t>In</w:t>
      </w:r>
      <w:proofErr w:type="gramEnd"/>
      <w:r>
        <w:rPr>
          <w:sz w:val="22"/>
        </w:rPr>
        <w:t xml:space="preserve"> the absence of </w:t>
      </w:r>
      <w:r w:rsidR="00095983">
        <w:rPr>
          <w:sz w:val="22"/>
        </w:rPr>
        <w:t xml:space="preserve">quantified </w:t>
      </w:r>
      <w:r>
        <w:rPr>
          <w:sz w:val="22"/>
        </w:rPr>
        <w:t>detail</w:t>
      </w:r>
      <w:r w:rsidR="00095983">
        <w:rPr>
          <w:sz w:val="22"/>
        </w:rPr>
        <w:t>ed modelling</w:t>
      </w:r>
      <w:r>
        <w:rPr>
          <w:sz w:val="22"/>
        </w:rPr>
        <w:t xml:space="preserve"> demonstrating that the surface water risk is adequately reduced by the above nearby public scheme, </w:t>
      </w:r>
      <w:r w:rsidR="00095983">
        <w:rPr>
          <w:sz w:val="22"/>
        </w:rPr>
        <w:t xml:space="preserve">in order </w:t>
      </w:r>
      <w:r w:rsidR="00095983">
        <w:rPr>
          <w:sz w:val="22"/>
        </w:rPr>
        <w:t>to protect the new basement</w:t>
      </w:r>
      <w:r w:rsidR="00095983">
        <w:rPr>
          <w:sz w:val="22"/>
        </w:rPr>
        <w:t xml:space="preserve"> </w:t>
      </w:r>
      <w:r>
        <w:rPr>
          <w:sz w:val="22"/>
        </w:rPr>
        <w:t>t</w:t>
      </w:r>
      <w:r w:rsidRPr="00615543">
        <w:rPr>
          <w:sz w:val="22"/>
        </w:rPr>
        <w:t>he</w:t>
      </w:r>
      <w:r>
        <w:rPr>
          <w:sz w:val="22"/>
        </w:rPr>
        <w:t xml:space="preserve"> applicant should be asked to </w:t>
      </w:r>
      <w:r w:rsidR="00095983">
        <w:rPr>
          <w:sz w:val="22"/>
        </w:rPr>
        <w:t xml:space="preserve">show how the design includes </w:t>
      </w:r>
      <w:r w:rsidR="00095983">
        <w:rPr>
          <w:sz w:val="22"/>
        </w:rPr>
        <w:t>measures</w:t>
      </w:r>
      <w:r w:rsidR="00095983">
        <w:rPr>
          <w:sz w:val="22"/>
        </w:rPr>
        <w:t xml:space="preserve"> for</w:t>
      </w:r>
    </w:p>
    <w:p w:rsidR="0031213B" w:rsidRDefault="00615543" w:rsidP="00095983">
      <w:pPr>
        <w:pStyle w:val="PlainText"/>
        <w:numPr>
          <w:ilvl w:val="0"/>
          <w:numId w:val="6"/>
        </w:numPr>
        <w:rPr>
          <w:sz w:val="22"/>
        </w:rPr>
      </w:pPr>
      <w:r>
        <w:rPr>
          <w:sz w:val="22"/>
        </w:rPr>
        <w:t xml:space="preserve">mitigation </w:t>
      </w:r>
      <w:r w:rsidR="00095983">
        <w:rPr>
          <w:sz w:val="22"/>
        </w:rPr>
        <w:t>to prevent ingress of flood water into the property</w:t>
      </w:r>
    </w:p>
    <w:p w:rsidR="00095983" w:rsidRDefault="00095983" w:rsidP="00095983">
      <w:pPr>
        <w:pStyle w:val="PlainText"/>
        <w:numPr>
          <w:ilvl w:val="0"/>
          <w:numId w:val="6"/>
        </w:numPr>
        <w:rPr>
          <w:sz w:val="22"/>
        </w:rPr>
      </w:pPr>
      <w:proofErr w:type="gramStart"/>
      <w:r>
        <w:rPr>
          <w:sz w:val="22"/>
        </w:rPr>
        <w:t>internal</w:t>
      </w:r>
      <w:proofErr w:type="gramEnd"/>
      <w:r>
        <w:rPr>
          <w:sz w:val="22"/>
        </w:rPr>
        <w:t xml:space="preserve"> strategies to cope with any flooding.</w:t>
      </w:r>
    </w:p>
    <w:p w:rsidR="00615543" w:rsidRDefault="00615543" w:rsidP="00951E4A">
      <w:pPr>
        <w:pStyle w:val="PlainText"/>
        <w:rPr>
          <w:b/>
          <w:sz w:val="22"/>
        </w:rPr>
      </w:pPr>
    </w:p>
    <w:p w:rsidR="0031213B" w:rsidRDefault="0031213B" w:rsidP="00951E4A">
      <w:pPr>
        <w:pStyle w:val="PlainText"/>
        <w:rPr>
          <w:sz w:val="22"/>
        </w:rPr>
      </w:pPr>
      <w:r w:rsidRPr="0031213B">
        <w:rPr>
          <w:sz w:val="22"/>
        </w:rPr>
        <w:t xml:space="preserve">The </w:t>
      </w:r>
      <w:proofErr w:type="spellStart"/>
      <w:r w:rsidRPr="0031213B">
        <w:rPr>
          <w:sz w:val="22"/>
        </w:rPr>
        <w:t>S</w:t>
      </w:r>
      <w:r>
        <w:rPr>
          <w:sz w:val="22"/>
        </w:rPr>
        <w:t>uDs</w:t>
      </w:r>
      <w:proofErr w:type="spellEnd"/>
      <w:r>
        <w:rPr>
          <w:sz w:val="22"/>
        </w:rPr>
        <w:t xml:space="preserve"> strategy proposes 1) attenuation via a pumped chamber in the front garden and 2) discharge to combined sewer.</w:t>
      </w:r>
      <w:r w:rsidR="00095983">
        <w:rPr>
          <w:sz w:val="22"/>
        </w:rPr>
        <w:t xml:space="preserve"> These are amongst the least preferable.</w:t>
      </w:r>
    </w:p>
    <w:p w:rsidR="0031213B" w:rsidRPr="0031213B" w:rsidRDefault="0031213B" w:rsidP="00951E4A">
      <w:pPr>
        <w:pStyle w:val="PlainText"/>
        <w:rPr>
          <w:sz w:val="22"/>
        </w:rPr>
      </w:pPr>
    </w:p>
    <w:p w:rsidR="0031213B" w:rsidRDefault="00615543" w:rsidP="00951E4A">
      <w:pPr>
        <w:pStyle w:val="PlainText"/>
        <w:rPr>
          <w:sz w:val="22"/>
        </w:rPr>
      </w:pPr>
      <w:r w:rsidRPr="00615543">
        <w:rPr>
          <w:b/>
          <w:color w:val="FF0000"/>
          <w:sz w:val="22"/>
        </w:rPr>
        <w:lastRenderedPageBreak/>
        <w:t>Issue</w:t>
      </w:r>
      <w:r w:rsidRPr="00615543">
        <w:rPr>
          <w:color w:val="FF0000"/>
          <w:sz w:val="22"/>
        </w:rPr>
        <w:t xml:space="preserve"> </w:t>
      </w:r>
      <w:r w:rsidR="00951E4A">
        <w:rPr>
          <w:sz w:val="22"/>
        </w:rPr>
        <w:t xml:space="preserve">The </w:t>
      </w:r>
      <w:r w:rsidR="0031213B">
        <w:rPr>
          <w:sz w:val="22"/>
        </w:rPr>
        <w:t xml:space="preserve">SuDS Strategy rules out infiltration SuDS on the broad basis of geology without conducting infiltration trials. See above regarding bespoke opportunities. </w:t>
      </w:r>
    </w:p>
    <w:p w:rsidR="00951E4A" w:rsidRDefault="00615543" w:rsidP="00951E4A">
      <w:pPr>
        <w:pStyle w:val="PlainText"/>
        <w:rPr>
          <w:sz w:val="22"/>
        </w:rPr>
      </w:pPr>
      <w:r w:rsidRPr="00615543">
        <w:rPr>
          <w:b/>
          <w:color w:val="FF0000"/>
          <w:sz w:val="22"/>
        </w:rPr>
        <w:t>Further action</w:t>
      </w:r>
      <w:r w:rsidR="0031213B">
        <w:rPr>
          <w:b/>
          <w:sz w:val="22"/>
        </w:rPr>
        <w:t>:</w:t>
      </w:r>
      <w:r w:rsidR="0031213B">
        <w:rPr>
          <w:b/>
          <w:sz w:val="22"/>
        </w:rPr>
        <w:t xml:space="preserve"> </w:t>
      </w:r>
      <w:r w:rsidR="0031213B">
        <w:rPr>
          <w:sz w:val="22"/>
        </w:rPr>
        <w:t xml:space="preserve">The applicant </w:t>
      </w:r>
      <w:proofErr w:type="gramStart"/>
      <w:r w:rsidR="0031213B">
        <w:rPr>
          <w:sz w:val="22"/>
        </w:rPr>
        <w:t>should be asked</w:t>
      </w:r>
      <w:proofErr w:type="gramEnd"/>
      <w:r w:rsidR="0031213B">
        <w:rPr>
          <w:sz w:val="22"/>
        </w:rPr>
        <w:t xml:space="preserve"> to undertake such trials using the BRE method.</w:t>
      </w:r>
    </w:p>
    <w:p w:rsidR="00276A13" w:rsidRDefault="00276A13" w:rsidP="00615543">
      <w:pPr>
        <w:pStyle w:val="PlainText"/>
        <w:rPr>
          <w:b/>
          <w:color w:val="FF0000"/>
          <w:sz w:val="22"/>
        </w:rPr>
      </w:pPr>
    </w:p>
    <w:p w:rsidR="00615543" w:rsidRDefault="00615543" w:rsidP="00615543">
      <w:pPr>
        <w:pStyle w:val="PlainText"/>
        <w:rPr>
          <w:sz w:val="22"/>
        </w:rPr>
      </w:pPr>
      <w:r w:rsidRPr="00615543">
        <w:rPr>
          <w:b/>
          <w:color w:val="FF0000"/>
          <w:sz w:val="22"/>
        </w:rPr>
        <w:t>Issue</w:t>
      </w:r>
      <w:r>
        <w:rPr>
          <w:b/>
          <w:color w:val="FF0000"/>
          <w:sz w:val="22"/>
        </w:rPr>
        <w:t xml:space="preserve"> </w:t>
      </w:r>
      <w:r>
        <w:rPr>
          <w:sz w:val="22"/>
        </w:rPr>
        <w:t>The</w:t>
      </w:r>
      <w:r>
        <w:rPr>
          <w:sz w:val="22"/>
        </w:rPr>
        <w:t xml:space="preserve"> following items are missing to </w:t>
      </w:r>
      <w:r w:rsidR="00095983">
        <w:rPr>
          <w:sz w:val="22"/>
        </w:rPr>
        <w:t>support the SuDS strategy conclusions and proposals:</w:t>
      </w:r>
    </w:p>
    <w:p w:rsidR="00615543" w:rsidRDefault="00615543" w:rsidP="00615543">
      <w:pPr>
        <w:pStyle w:val="PlainText"/>
        <w:numPr>
          <w:ilvl w:val="0"/>
          <w:numId w:val="6"/>
        </w:numPr>
        <w:rPr>
          <w:sz w:val="22"/>
        </w:rPr>
      </w:pPr>
      <w:proofErr w:type="spellStart"/>
      <w:r>
        <w:rPr>
          <w:sz w:val="22"/>
        </w:rPr>
        <w:t>MicroDrainage</w:t>
      </w:r>
      <w:proofErr w:type="spellEnd"/>
      <w:r>
        <w:rPr>
          <w:sz w:val="22"/>
        </w:rPr>
        <w:t xml:space="preserve"> calculations</w:t>
      </w:r>
    </w:p>
    <w:p w:rsidR="00615543" w:rsidRDefault="00615543" w:rsidP="00615543">
      <w:pPr>
        <w:pStyle w:val="PlainText"/>
        <w:numPr>
          <w:ilvl w:val="0"/>
          <w:numId w:val="6"/>
        </w:numPr>
        <w:rPr>
          <w:sz w:val="22"/>
        </w:rPr>
      </w:pPr>
      <w:r>
        <w:rPr>
          <w:sz w:val="22"/>
        </w:rPr>
        <w:t xml:space="preserve">Scheme-specific lifetime maintenance </w:t>
      </w:r>
      <w:r w:rsidR="00095983">
        <w:rPr>
          <w:sz w:val="22"/>
        </w:rPr>
        <w:t>schedule.</w:t>
      </w:r>
      <w:r w:rsidR="00276A13">
        <w:rPr>
          <w:sz w:val="22"/>
        </w:rPr>
        <w:t xml:space="preserve"> Must show how proposed discharge rates </w:t>
      </w:r>
      <w:proofErr w:type="gramStart"/>
      <w:r w:rsidR="00276A13">
        <w:rPr>
          <w:sz w:val="22"/>
        </w:rPr>
        <w:t>will be maintained</w:t>
      </w:r>
      <w:proofErr w:type="gramEnd"/>
      <w:r w:rsidR="00276A13">
        <w:rPr>
          <w:sz w:val="22"/>
        </w:rPr>
        <w:t xml:space="preserve"> given future </w:t>
      </w:r>
      <w:bookmarkStart w:id="0" w:name="_GoBack"/>
      <w:bookmarkEnd w:id="0"/>
      <w:r w:rsidR="00276A13">
        <w:rPr>
          <w:sz w:val="22"/>
        </w:rPr>
        <w:t>risk of blockage.</w:t>
      </w:r>
    </w:p>
    <w:p w:rsidR="00615543" w:rsidRDefault="00615543" w:rsidP="00615543">
      <w:pPr>
        <w:pStyle w:val="PlainText"/>
        <w:numPr>
          <w:ilvl w:val="0"/>
          <w:numId w:val="6"/>
        </w:numPr>
        <w:rPr>
          <w:sz w:val="22"/>
        </w:rPr>
      </w:pPr>
      <w:r>
        <w:rPr>
          <w:sz w:val="22"/>
        </w:rPr>
        <w:t xml:space="preserve">Camden drainage pro-forma (available </w:t>
      </w:r>
      <w:r w:rsidR="00276A13">
        <w:rPr>
          <w:sz w:val="22"/>
        </w:rPr>
        <w:t>from</w:t>
      </w:r>
      <w:r>
        <w:rPr>
          <w:sz w:val="22"/>
        </w:rPr>
        <w:t xml:space="preserve"> Camden website)</w:t>
      </w:r>
    </w:p>
    <w:p w:rsidR="00615543" w:rsidRPr="0031213B" w:rsidRDefault="00615543" w:rsidP="00615543">
      <w:pPr>
        <w:pStyle w:val="PlainText"/>
        <w:rPr>
          <w:sz w:val="22"/>
        </w:rPr>
      </w:pPr>
      <w:r w:rsidRPr="00615543">
        <w:rPr>
          <w:b/>
          <w:color w:val="FF0000"/>
          <w:sz w:val="22"/>
        </w:rPr>
        <w:t>Further action</w:t>
      </w:r>
      <w:r>
        <w:rPr>
          <w:b/>
          <w:color w:val="FF0000"/>
          <w:sz w:val="22"/>
        </w:rPr>
        <w:t>:</w:t>
      </w:r>
      <w:r>
        <w:rPr>
          <w:sz w:val="22"/>
        </w:rPr>
        <w:t xml:space="preserve"> The above </w:t>
      </w:r>
      <w:proofErr w:type="gramStart"/>
      <w:r>
        <w:rPr>
          <w:sz w:val="22"/>
        </w:rPr>
        <w:t>should be submitted</w:t>
      </w:r>
      <w:proofErr w:type="gramEnd"/>
      <w:r>
        <w:rPr>
          <w:sz w:val="22"/>
        </w:rPr>
        <w:t xml:space="preserve"> to support the final SuDS strategy</w:t>
      </w:r>
      <w:r w:rsidR="00095983">
        <w:rPr>
          <w:sz w:val="22"/>
        </w:rPr>
        <w:t xml:space="preserve"> following incorporation of SuDS higher up the drainage hierarchy where feasible (following trials)</w:t>
      </w:r>
      <w:r>
        <w:rPr>
          <w:sz w:val="22"/>
        </w:rPr>
        <w:t xml:space="preserve">. </w:t>
      </w:r>
    </w:p>
    <w:p w:rsidR="00095983" w:rsidRPr="00195C89" w:rsidRDefault="00095983" w:rsidP="00A14416">
      <w:pPr>
        <w:rPr>
          <w:rFonts w:ascii="Arial" w:hAnsi="Arial" w:cs="Arial"/>
          <w:szCs w:val="24"/>
        </w:rPr>
      </w:pPr>
    </w:p>
    <w:p w:rsidR="00A14416" w:rsidRPr="00276A13" w:rsidRDefault="00276A13" w:rsidP="00A14416">
      <w:pPr>
        <w:rPr>
          <w:rFonts w:ascii="Arial" w:hAnsi="Arial" w:cs="Arial"/>
          <w:color w:val="FF0000"/>
          <w:szCs w:val="24"/>
        </w:rPr>
      </w:pPr>
      <w:r w:rsidRPr="00276A13">
        <w:rPr>
          <w:rFonts w:ascii="Arial" w:hAnsi="Arial" w:cs="Arial"/>
          <w:b/>
          <w:color w:val="FF0000"/>
          <w:szCs w:val="24"/>
        </w:rPr>
        <w:t>Recommendation</w:t>
      </w:r>
      <w:r w:rsidRPr="00276A13">
        <w:rPr>
          <w:rFonts w:ascii="Arial" w:hAnsi="Arial" w:cs="Arial"/>
          <w:color w:val="FF0000"/>
          <w:szCs w:val="24"/>
        </w:rPr>
        <w:t>:</w:t>
      </w:r>
      <w:r w:rsidRPr="00276A13">
        <w:rPr>
          <w:rFonts w:ascii="Arial" w:hAnsi="Arial" w:cs="Arial"/>
          <w:color w:val="FF0000"/>
          <w:szCs w:val="24"/>
        </w:rPr>
        <w:tab/>
        <w:t>Further information required, see items in red above.</w:t>
      </w:r>
    </w:p>
    <w:p w:rsidR="009703F8" w:rsidRPr="00195C89" w:rsidRDefault="009703F8" w:rsidP="00060F19">
      <w:pPr>
        <w:rPr>
          <w:rFonts w:ascii="Arial" w:hAnsi="Arial" w:cs="Arial"/>
          <w:i/>
          <w:szCs w:val="24"/>
        </w:rPr>
      </w:pPr>
    </w:p>
    <w:p w:rsidR="009703F8" w:rsidRPr="00195C89" w:rsidRDefault="009703F8" w:rsidP="00060F19">
      <w:pPr>
        <w:rPr>
          <w:rFonts w:ascii="Arial" w:hAnsi="Arial" w:cs="Arial"/>
          <w:i/>
          <w:szCs w:val="24"/>
        </w:rPr>
      </w:pPr>
    </w:p>
    <w:p w:rsidR="006A0FCF" w:rsidRPr="00195C89" w:rsidRDefault="006A0FCF" w:rsidP="00060F19">
      <w:pPr>
        <w:rPr>
          <w:rFonts w:ascii="Arial" w:hAnsi="Arial" w:cs="Arial"/>
          <w:szCs w:val="24"/>
        </w:rPr>
      </w:pPr>
    </w:p>
    <w:p w:rsidR="006A0FCF" w:rsidRPr="00195C89" w:rsidRDefault="006A0FCF" w:rsidP="00060F19">
      <w:pPr>
        <w:rPr>
          <w:rFonts w:ascii="Arial" w:hAnsi="Arial" w:cs="Arial"/>
          <w:szCs w:val="24"/>
        </w:rPr>
      </w:pPr>
    </w:p>
    <w:sectPr w:rsidR="006A0FCF" w:rsidRPr="00195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5F8"/>
    <w:multiLevelType w:val="hybridMultilevel"/>
    <w:tmpl w:val="D55CC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85D38"/>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EB36AC"/>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FED74DD"/>
    <w:multiLevelType w:val="hybridMultilevel"/>
    <w:tmpl w:val="2A5A3C28"/>
    <w:lvl w:ilvl="0" w:tplc="6914993E">
      <w:start w:val="1"/>
      <w:numFmt w:val="bullet"/>
      <w:lvlText w:val="-"/>
      <w:lvlJc w:val="left"/>
      <w:pPr>
        <w:tabs>
          <w:tab w:val="num" w:pos="720"/>
        </w:tabs>
        <w:ind w:left="720" w:hanging="360"/>
      </w:pPr>
      <w:rPr>
        <w:rFonts w:ascii="Times New Roman" w:hAnsi="Times New Roman" w:hint="default"/>
      </w:rPr>
    </w:lvl>
    <w:lvl w:ilvl="1" w:tplc="5FD834F2">
      <w:start w:val="1"/>
      <w:numFmt w:val="bullet"/>
      <w:lvlText w:val="-"/>
      <w:lvlJc w:val="left"/>
      <w:pPr>
        <w:tabs>
          <w:tab w:val="num" w:pos="1440"/>
        </w:tabs>
        <w:ind w:left="1440" w:hanging="360"/>
      </w:pPr>
      <w:rPr>
        <w:rFonts w:ascii="Times New Roman" w:hAnsi="Times New Roman" w:hint="default"/>
      </w:rPr>
    </w:lvl>
    <w:lvl w:ilvl="2" w:tplc="A0DE0396" w:tentative="1">
      <w:start w:val="1"/>
      <w:numFmt w:val="bullet"/>
      <w:lvlText w:val="-"/>
      <w:lvlJc w:val="left"/>
      <w:pPr>
        <w:tabs>
          <w:tab w:val="num" w:pos="2160"/>
        </w:tabs>
        <w:ind w:left="2160" w:hanging="360"/>
      </w:pPr>
      <w:rPr>
        <w:rFonts w:ascii="Times New Roman" w:hAnsi="Times New Roman" w:hint="default"/>
      </w:rPr>
    </w:lvl>
    <w:lvl w:ilvl="3" w:tplc="F0D48F28" w:tentative="1">
      <w:start w:val="1"/>
      <w:numFmt w:val="bullet"/>
      <w:lvlText w:val="-"/>
      <w:lvlJc w:val="left"/>
      <w:pPr>
        <w:tabs>
          <w:tab w:val="num" w:pos="2880"/>
        </w:tabs>
        <w:ind w:left="2880" w:hanging="360"/>
      </w:pPr>
      <w:rPr>
        <w:rFonts w:ascii="Times New Roman" w:hAnsi="Times New Roman" w:hint="default"/>
      </w:rPr>
    </w:lvl>
    <w:lvl w:ilvl="4" w:tplc="6F4AFDA0" w:tentative="1">
      <w:start w:val="1"/>
      <w:numFmt w:val="bullet"/>
      <w:lvlText w:val="-"/>
      <w:lvlJc w:val="left"/>
      <w:pPr>
        <w:tabs>
          <w:tab w:val="num" w:pos="3600"/>
        </w:tabs>
        <w:ind w:left="3600" w:hanging="360"/>
      </w:pPr>
      <w:rPr>
        <w:rFonts w:ascii="Times New Roman" w:hAnsi="Times New Roman" w:hint="default"/>
      </w:rPr>
    </w:lvl>
    <w:lvl w:ilvl="5" w:tplc="86B8B016" w:tentative="1">
      <w:start w:val="1"/>
      <w:numFmt w:val="bullet"/>
      <w:lvlText w:val="-"/>
      <w:lvlJc w:val="left"/>
      <w:pPr>
        <w:tabs>
          <w:tab w:val="num" w:pos="4320"/>
        </w:tabs>
        <w:ind w:left="4320" w:hanging="360"/>
      </w:pPr>
      <w:rPr>
        <w:rFonts w:ascii="Times New Roman" w:hAnsi="Times New Roman" w:hint="default"/>
      </w:rPr>
    </w:lvl>
    <w:lvl w:ilvl="6" w:tplc="BF1047EA" w:tentative="1">
      <w:start w:val="1"/>
      <w:numFmt w:val="bullet"/>
      <w:lvlText w:val="-"/>
      <w:lvlJc w:val="left"/>
      <w:pPr>
        <w:tabs>
          <w:tab w:val="num" w:pos="5040"/>
        </w:tabs>
        <w:ind w:left="5040" w:hanging="360"/>
      </w:pPr>
      <w:rPr>
        <w:rFonts w:ascii="Times New Roman" w:hAnsi="Times New Roman" w:hint="default"/>
      </w:rPr>
    </w:lvl>
    <w:lvl w:ilvl="7" w:tplc="65B66934" w:tentative="1">
      <w:start w:val="1"/>
      <w:numFmt w:val="bullet"/>
      <w:lvlText w:val="-"/>
      <w:lvlJc w:val="left"/>
      <w:pPr>
        <w:tabs>
          <w:tab w:val="num" w:pos="5760"/>
        </w:tabs>
        <w:ind w:left="5760" w:hanging="360"/>
      </w:pPr>
      <w:rPr>
        <w:rFonts w:ascii="Times New Roman" w:hAnsi="Times New Roman" w:hint="default"/>
      </w:rPr>
    </w:lvl>
    <w:lvl w:ilvl="8" w:tplc="607E26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F9E029A"/>
    <w:multiLevelType w:val="hybridMultilevel"/>
    <w:tmpl w:val="0ADCE3A2"/>
    <w:lvl w:ilvl="0" w:tplc="6914993E">
      <w:start w:val="1"/>
      <w:numFmt w:val="bullet"/>
      <w:lvlText w:val="-"/>
      <w:lvlJc w:val="left"/>
      <w:pPr>
        <w:tabs>
          <w:tab w:val="num" w:pos="720"/>
        </w:tabs>
        <w:ind w:left="720" w:hanging="360"/>
      </w:pPr>
      <w:rPr>
        <w:rFonts w:ascii="Times New Roman" w:hAnsi="Times New Roman" w:hint="default"/>
      </w:rPr>
    </w:lvl>
    <w:lvl w:ilvl="1" w:tplc="5FD834F2">
      <w:start w:val="1"/>
      <w:numFmt w:val="bullet"/>
      <w:lvlText w:val="-"/>
      <w:lvlJc w:val="left"/>
      <w:pPr>
        <w:tabs>
          <w:tab w:val="num" w:pos="1440"/>
        </w:tabs>
        <w:ind w:left="1440" w:hanging="360"/>
      </w:pPr>
      <w:rPr>
        <w:rFonts w:ascii="Times New Roman" w:hAnsi="Times New Roman" w:hint="default"/>
      </w:rPr>
    </w:lvl>
    <w:lvl w:ilvl="2" w:tplc="A0DE0396" w:tentative="1">
      <w:start w:val="1"/>
      <w:numFmt w:val="bullet"/>
      <w:lvlText w:val="-"/>
      <w:lvlJc w:val="left"/>
      <w:pPr>
        <w:tabs>
          <w:tab w:val="num" w:pos="2160"/>
        </w:tabs>
        <w:ind w:left="2160" w:hanging="360"/>
      </w:pPr>
      <w:rPr>
        <w:rFonts w:ascii="Times New Roman" w:hAnsi="Times New Roman" w:hint="default"/>
      </w:rPr>
    </w:lvl>
    <w:lvl w:ilvl="3" w:tplc="F0D48F28" w:tentative="1">
      <w:start w:val="1"/>
      <w:numFmt w:val="bullet"/>
      <w:lvlText w:val="-"/>
      <w:lvlJc w:val="left"/>
      <w:pPr>
        <w:tabs>
          <w:tab w:val="num" w:pos="2880"/>
        </w:tabs>
        <w:ind w:left="2880" w:hanging="360"/>
      </w:pPr>
      <w:rPr>
        <w:rFonts w:ascii="Times New Roman" w:hAnsi="Times New Roman" w:hint="default"/>
      </w:rPr>
    </w:lvl>
    <w:lvl w:ilvl="4" w:tplc="6F4AFDA0" w:tentative="1">
      <w:start w:val="1"/>
      <w:numFmt w:val="bullet"/>
      <w:lvlText w:val="-"/>
      <w:lvlJc w:val="left"/>
      <w:pPr>
        <w:tabs>
          <w:tab w:val="num" w:pos="3600"/>
        </w:tabs>
        <w:ind w:left="3600" w:hanging="360"/>
      </w:pPr>
      <w:rPr>
        <w:rFonts w:ascii="Times New Roman" w:hAnsi="Times New Roman" w:hint="default"/>
      </w:rPr>
    </w:lvl>
    <w:lvl w:ilvl="5" w:tplc="86B8B016" w:tentative="1">
      <w:start w:val="1"/>
      <w:numFmt w:val="bullet"/>
      <w:lvlText w:val="-"/>
      <w:lvlJc w:val="left"/>
      <w:pPr>
        <w:tabs>
          <w:tab w:val="num" w:pos="4320"/>
        </w:tabs>
        <w:ind w:left="4320" w:hanging="360"/>
      </w:pPr>
      <w:rPr>
        <w:rFonts w:ascii="Times New Roman" w:hAnsi="Times New Roman" w:hint="default"/>
      </w:rPr>
    </w:lvl>
    <w:lvl w:ilvl="6" w:tplc="BF1047EA" w:tentative="1">
      <w:start w:val="1"/>
      <w:numFmt w:val="bullet"/>
      <w:lvlText w:val="-"/>
      <w:lvlJc w:val="left"/>
      <w:pPr>
        <w:tabs>
          <w:tab w:val="num" w:pos="5040"/>
        </w:tabs>
        <w:ind w:left="5040" w:hanging="360"/>
      </w:pPr>
      <w:rPr>
        <w:rFonts w:ascii="Times New Roman" w:hAnsi="Times New Roman" w:hint="default"/>
      </w:rPr>
    </w:lvl>
    <w:lvl w:ilvl="7" w:tplc="65B66934" w:tentative="1">
      <w:start w:val="1"/>
      <w:numFmt w:val="bullet"/>
      <w:lvlText w:val="-"/>
      <w:lvlJc w:val="left"/>
      <w:pPr>
        <w:tabs>
          <w:tab w:val="num" w:pos="5760"/>
        </w:tabs>
        <w:ind w:left="5760" w:hanging="360"/>
      </w:pPr>
      <w:rPr>
        <w:rFonts w:ascii="Times New Roman" w:hAnsi="Times New Roman" w:hint="default"/>
      </w:rPr>
    </w:lvl>
    <w:lvl w:ilvl="8" w:tplc="607E26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4E1DFA"/>
    <w:multiLevelType w:val="hybridMultilevel"/>
    <w:tmpl w:val="D35866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19"/>
    <w:rsid w:val="00060F19"/>
    <w:rsid w:val="00095983"/>
    <w:rsid w:val="001429C9"/>
    <w:rsid w:val="00190E14"/>
    <w:rsid w:val="00195C89"/>
    <w:rsid w:val="002026A1"/>
    <w:rsid w:val="00276A13"/>
    <w:rsid w:val="0031213B"/>
    <w:rsid w:val="004066CD"/>
    <w:rsid w:val="004113A1"/>
    <w:rsid w:val="00615543"/>
    <w:rsid w:val="006A0FCF"/>
    <w:rsid w:val="00864C7D"/>
    <w:rsid w:val="00886739"/>
    <w:rsid w:val="008C12F9"/>
    <w:rsid w:val="00951E4A"/>
    <w:rsid w:val="009703F8"/>
    <w:rsid w:val="00A14416"/>
    <w:rsid w:val="00AA3972"/>
    <w:rsid w:val="00AD0222"/>
    <w:rsid w:val="00CA488C"/>
    <w:rsid w:val="00DB484F"/>
    <w:rsid w:val="00E04115"/>
    <w:rsid w:val="00F2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0486"/>
  <w15:docId w15:val="{36F8B406-BEE5-4C40-B403-52B8D649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60F19"/>
    <w:rPr>
      <w:rFonts w:ascii="Arial" w:hAnsi="Arial" w:cs="Arial"/>
      <w:sz w:val="24"/>
      <w:szCs w:val="24"/>
    </w:rPr>
  </w:style>
  <w:style w:type="character" w:customStyle="1" w:styleId="PlainTextChar">
    <w:name w:val="Plain Text Char"/>
    <w:basedOn w:val="DefaultParagraphFont"/>
    <w:link w:val="PlainText"/>
    <w:uiPriority w:val="99"/>
    <w:semiHidden/>
    <w:rsid w:val="00060F19"/>
    <w:rPr>
      <w:rFonts w:ascii="Arial" w:hAnsi="Arial" w:cs="Arial"/>
      <w:sz w:val="24"/>
      <w:szCs w:val="24"/>
    </w:rPr>
  </w:style>
  <w:style w:type="paragraph" w:styleId="BalloonText">
    <w:name w:val="Balloon Text"/>
    <w:basedOn w:val="Normal"/>
    <w:link w:val="BalloonTextChar"/>
    <w:uiPriority w:val="99"/>
    <w:semiHidden/>
    <w:unhideWhenUsed/>
    <w:rsid w:val="00060F19"/>
    <w:rPr>
      <w:rFonts w:ascii="Tahoma" w:hAnsi="Tahoma" w:cs="Tahoma"/>
      <w:sz w:val="16"/>
      <w:szCs w:val="16"/>
    </w:rPr>
  </w:style>
  <w:style w:type="character" w:customStyle="1" w:styleId="BalloonTextChar">
    <w:name w:val="Balloon Text Char"/>
    <w:basedOn w:val="DefaultParagraphFont"/>
    <w:link w:val="BalloonText"/>
    <w:uiPriority w:val="99"/>
    <w:semiHidden/>
    <w:rsid w:val="00060F19"/>
    <w:rPr>
      <w:rFonts w:ascii="Tahoma" w:hAnsi="Tahoma" w:cs="Tahoma"/>
      <w:sz w:val="16"/>
      <w:szCs w:val="16"/>
    </w:rPr>
  </w:style>
  <w:style w:type="character" w:styleId="Hyperlink">
    <w:name w:val="Hyperlink"/>
    <w:basedOn w:val="DefaultParagraphFont"/>
    <w:uiPriority w:val="99"/>
    <w:unhideWhenUsed/>
    <w:rsid w:val="006A0FCF"/>
    <w:rPr>
      <w:color w:val="0000FF" w:themeColor="hyperlink"/>
      <w:u w:val="single"/>
    </w:rPr>
  </w:style>
  <w:style w:type="paragraph" w:styleId="ListParagraph">
    <w:name w:val="List Paragraph"/>
    <w:basedOn w:val="Normal"/>
    <w:uiPriority w:val="34"/>
    <w:qFormat/>
    <w:rsid w:val="006A0FCF"/>
    <w:pPr>
      <w:ind w:left="720"/>
      <w:contextualSpacing/>
    </w:pPr>
  </w:style>
  <w:style w:type="table" w:styleId="TableGrid">
    <w:name w:val="Table Grid"/>
    <w:basedOn w:val="TableNormal"/>
    <w:uiPriority w:val="59"/>
    <w:rsid w:val="0086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67104">
      <w:bodyDiv w:val="1"/>
      <w:marLeft w:val="0"/>
      <w:marRight w:val="0"/>
      <w:marTop w:val="0"/>
      <w:marBottom w:val="0"/>
      <w:divBdr>
        <w:top w:val="none" w:sz="0" w:space="0" w:color="auto"/>
        <w:left w:val="none" w:sz="0" w:space="0" w:color="auto"/>
        <w:bottom w:val="none" w:sz="0" w:space="0" w:color="auto"/>
        <w:right w:val="none" w:sz="0" w:space="0" w:color="auto"/>
      </w:divBdr>
    </w:div>
    <w:div w:id="1296446959">
      <w:bodyDiv w:val="1"/>
      <w:marLeft w:val="0"/>
      <w:marRight w:val="0"/>
      <w:marTop w:val="0"/>
      <w:marBottom w:val="0"/>
      <w:divBdr>
        <w:top w:val="none" w:sz="0" w:space="0" w:color="auto"/>
        <w:left w:val="none" w:sz="0" w:space="0" w:color="auto"/>
        <w:bottom w:val="none" w:sz="0" w:space="0" w:color="auto"/>
        <w:right w:val="none" w:sz="0" w:space="0" w:color="auto"/>
      </w:divBdr>
    </w:div>
    <w:div w:id="2145393598">
      <w:bodyDiv w:val="1"/>
      <w:marLeft w:val="0"/>
      <w:marRight w:val="0"/>
      <w:marTop w:val="0"/>
      <w:marBottom w:val="0"/>
      <w:divBdr>
        <w:top w:val="none" w:sz="0" w:space="0" w:color="auto"/>
        <w:left w:val="none" w:sz="0" w:space="0" w:color="auto"/>
        <w:bottom w:val="none" w:sz="0" w:space="0" w:color="auto"/>
        <w:right w:val="none" w:sz="0" w:space="0" w:color="auto"/>
      </w:divBdr>
      <w:divsChild>
        <w:div w:id="417286494">
          <w:marLeft w:val="1627"/>
          <w:marRight w:val="0"/>
          <w:marTop w:val="77"/>
          <w:marBottom w:val="0"/>
          <w:divBdr>
            <w:top w:val="none" w:sz="0" w:space="0" w:color="auto"/>
            <w:left w:val="none" w:sz="0" w:space="0" w:color="auto"/>
            <w:bottom w:val="none" w:sz="0" w:space="0" w:color="auto"/>
            <w:right w:val="none" w:sz="0" w:space="0" w:color="auto"/>
          </w:divBdr>
        </w:div>
        <w:div w:id="707871353">
          <w:marLeft w:val="1627"/>
          <w:marRight w:val="0"/>
          <w:marTop w:val="77"/>
          <w:marBottom w:val="0"/>
          <w:divBdr>
            <w:top w:val="none" w:sz="0" w:space="0" w:color="auto"/>
            <w:left w:val="none" w:sz="0" w:space="0" w:color="auto"/>
            <w:bottom w:val="none" w:sz="0" w:space="0" w:color="auto"/>
            <w:right w:val="none" w:sz="0" w:space="0" w:color="auto"/>
          </w:divBdr>
        </w:div>
        <w:div w:id="879514625">
          <w:marLeft w:val="1627"/>
          <w:marRight w:val="0"/>
          <w:marTop w:val="77"/>
          <w:marBottom w:val="0"/>
          <w:divBdr>
            <w:top w:val="none" w:sz="0" w:space="0" w:color="auto"/>
            <w:left w:val="none" w:sz="0" w:space="0" w:color="auto"/>
            <w:bottom w:val="none" w:sz="0" w:space="0" w:color="auto"/>
            <w:right w:val="none" w:sz="0" w:space="0" w:color="auto"/>
          </w:divBdr>
        </w:div>
        <w:div w:id="1826781436">
          <w:marLeft w:val="1627"/>
          <w:marRight w:val="0"/>
          <w:marTop w:val="77"/>
          <w:marBottom w:val="0"/>
          <w:divBdr>
            <w:top w:val="none" w:sz="0" w:space="0" w:color="auto"/>
            <w:left w:val="none" w:sz="0" w:space="0" w:color="auto"/>
            <w:bottom w:val="none" w:sz="0" w:space="0" w:color="auto"/>
            <w:right w:val="none" w:sz="0" w:space="0" w:color="auto"/>
          </w:divBdr>
        </w:div>
        <w:div w:id="1292053750">
          <w:marLeft w:val="1627"/>
          <w:marRight w:val="0"/>
          <w:marTop w:val="77"/>
          <w:marBottom w:val="0"/>
          <w:divBdr>
            <w:top w:val="none" w:sz="0" w:space="0" w:color="auto"/>
            <w:left w:val="none" w:sz="0" w:space="0" w:color="auto"/>
            <w:bottom w:val="none" w:sz="0" w:space="0" w:color="auto"/>
            <w:right w:val="none" w:sz="0" w:space="0" w:color="auto"/>
          </w:divBdr>
        </w:div>
        <w:div w:id="1962420511">
          <w:marLeft w:val="446"/>
          <w:marRight w:val="0"/>
          <w:marTop w:val="77"/>
          <w:marBottom w:val="0"/>
          <w:divBdr>
            <w:top w:val="none" w:sz="0" w:space="0" w:color="auto"/>
            <w:left w:val="none" w:sz="0" w:space="0" w:color="auto"/>
            <w:bottom w:val="none" w:sz="0" w:space="0" w:color="auto"/>
            <w:right w:val="none" w:sz="0" w:space="0" w:color="auto"/>
          </w:divBdr>
        </w:div>
        <w:div w:id="345719606">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Berry-Khan, Gabriel</cp:lastModifiedBy>
  <cp:revision>4</cp:revision>
  <dcterms:created xsi:type="dcterms:W3CDTF">2018-06-21T10:17:00Z</dcterms:created>
  <dcterms:modified xsi:type="dcterms:W3CDTF">2018-06-21T10:58:00Z</dcterms:modified>
</cp:coreProperties>
</file>