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14"/>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1576"/>
        <w:gridCol w:w="1576"/>
        <w:gridCol w:w="1576"/>
        <w:gridCol w:w="1576"/>
      </w:tblGrid>
      <w:tr w:rsidR="00E54055" w:rsidRPr="006816CE" w:rsidTr="000F6A16">
        <w:trPr>
          <w:trHeight w:val="572"/>
        </w:trPr>
        <w:tc>
          <w:tcPr>
            <w:tcW w:w="9481" w:type="dxa"/>
            <w:gridSpan w:val="5"/>
            <w:tcBorders>
              <w:top w:val="nil"/>
              <w:left w:val="nil"/>
              <w:bottom w:val="nil"/>
              <w:right w:val="nil"/>
            </w:tcBorders>
          </w:tcPr>
          <w:p w:rsidR="00EF53B3" w:rsidRDefault="00EF53B3" w:rsidP="000F6A16">
            <w:pPr>
              <w:jc w:val="center"/>
              <w:rPr>
                <w:rFonts w:ascii="Arial" w:hAnsi="Arial" w:cs="Arial"/>
                <w:b/>
                <w:bCs/>
                <w:color w:val="000000"/>
                <w:sz w:val="24"/>
                <w:szCs w:val="24"/>
                <w:u w:val="single"/>
              </w:rPr>
            </w:pPr>
            <w:r>
              <w:rPr>
                <w:rFonts w:ascii="Arial" w:hAnsi="Arial" w:cs="Arial"/>
                <w:b/>
                <w:bCs/>
                <w:color w:val="000000"/>
                <w:sz w:val="24"/>
                <w:szCs w:val="24"/>
                <w:u w:val="single"/>
              </w:rPr>
              <w:t>Appendix to Question 10</w:t>
            </w:r>
            <w:r w:rsidR="000F6A16" w:rsidRPr="000F6A16">
              <w:rPr>
                <w:rFonts w:ascii="Arial" w:hAnsi="Arial" w:cs="Arial"/>
                <w:b/>
                <w:bCs/>
                <w:color w:val="000000"/>
                <w:sz w:val="24"/>
                <w:szCs w:val="24"/>
                <w:u w:val="single"/>
              </w:rPr>
              <w:t xml:space="preserve"> – Dust mitigation measures</w:t>
            </w:r>
          </w:p>
          <w:p w:rsidR="00EF53B3" w:rsidRPr="000F6A16" w:rsidRDefault="00EF53B3" w:rsidP="00EF53B3">
            <w:pPr>
              <w:spacing w:after="0"/>
              <w:jc w:val="center"/>
              <w:rPr>
                <w:rFonts w:ascii="Arial" w:hAnsi="Arial" w:cs="Arial"/>
                <w:b/>
                <w:bCs/>
                <w:color w:val="000000"/>
                <w:sz w:val="24"/>
                <w:szCs w:val="24"/>
                <w:u w:val="single"/>
              </w:rPr>
            </w:pPr>
          </w:p>
          <w:p w:rsidR="00EF53B3" w:rsidRDefault="00EF53B3" w:rsidP="00EF53B3">
            <w:pPr>
              <w:rPr>
                <w:rFonts w:ascii="Arial" w:hAnsi="Arial" w:cs="Arial"/>
                <w:color w:val="000000"/>
                <w:sz w:val="24"/>
                <w:szCs w:val="24"/>
              </w:rPr>
            </w:pPr>
            <w:r w:rsidRPr="00EF53B3">
              <w:rPr>
                <w:rFonts w:ascii="Arial" w:hAnsi="Arial" w:cs="Arial"/>
                <w:bCs/>
                <w:noProof/>
                <w:color w:val="000000"/>
                <w:sz w:val="24"/>
                <w:szCs w:val="24"/>
                <w:lang w:eastAsia="en-GB"/>
              </w:rPr>
              <mc:AlternateContent>
                <mc:Choice Requires="wps">
                  <w:drawing>
                    <wp:anchor distT="0" distB="0" distL="114300" distR="114300" simplePos="0" relativeHeight="251659264" behindDoc="0" locked="0" layoutInCell="1" allowOverlap="1" wp14:anchorId="1BB00303" wp14:editId="4A705A7D">
                      <wp:simplePos x="0" y="0"/>
                      <wp:positionH relativeFrom="column">
                        <wp:align>center</wp:align>
                      </wp:positionH>
                      <wp:positionV relativeFrom="paragraph">
                        <wp:posOffset>0</wp:posOffset>
                      </wp:positionV>
                      <wp:extent cx="6001597" cy="1388533"/>
                      <wp:effectExtent l="0" t="0" r="1841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597" cy="1388533"/>
                              </a:xfrm>
                              <a:prstGeom prst="rect">
                                <a:avLst/>
                              </a:prstGeom>
                              <a:solidFill>
                                <a:srgbClr val="FFFFFF"/>
                              </a:solidFill>
                              <a:ln w="9525">
                                <a:solidFill>
                                  <a:srgbClr val="000000"/>
                                </a:solidFill>
                                <a:miter lim="800000"/>
                                <a:headEnd/>
                                <a:tailEnd/>
                              </a:ln>
                            </wps:spPr>
                            <wps:txbx>
                              <w:txbxContent>
                                <w:p w:rsidR="00701C58" w:rsidRPr="00EF53B3" w:rsidRDefault="00701C58" w:rsidP="00EF53B3">
                                  <w:pPr>
                                    <w:rPr>
                                      <w:rFonts w:ascii="Arial" w:hAnsi="Arial" w:cs="Arial"/>
                                      <w:bCs/>
                                      <w:color w:val="000000"/>
                                      <w:sz w:val="24"/>
                                      <w:szCs w:val="24"/>
                                    </w:rPr>
                                  </w:pPr>
                                  <w:r>
                                    <w:rPr>
                                      <w:rFonts w:ascii="Arial" w:hAnsi="Arial" w:cs="Arial"/>
                                      <w:bCs/>
                                      <w:color w:val="000000"/>
                                      <w:sz w:val="24"/>
                                      <w:szCs w:val="24"/>
                                    </w:rPr>
                                    <w:t>A</w:t>
                                  </w:r>
                                  <w:r w:rsidRPr="00EF53B3">
                                    <w:rPr>
                                      <w:rFonts w:ascii="Arial" w:hAnsi="Arial" w:cs="Arial"/>
                                      <w:bCs/>
                                      <w:color w:val="000000"/>
                                      <w:sz w:val="24"/>
                                      <w:szCs w:val="24"/>
                                    </w:rPr>
                                    <w:t>pplicants must complete the table below (extracted from</w:t>
                                  </w:r>
                                  <w:r w:rsidRPr="00EF53B3">
                                    <w:rPr>
                                      <w:rFonts w:ascii="Arial" w:hAnsi="Arial" w:cs="Arial"/>
                                      <w:color w:val="000000"/>
                                      <w:sz w:val="24"/>
                                      <w:szCs w:val="24"/>
                                    </w:rPr>
                                    <w:t xml:space="preserve"> the Mayors ‘control of dust </w:t>
                                  </w:r>
                                  <w:r w:rsidRPr="00EF53B3">
                                    <w:rPr>
                                      <w:rFonts w:ascii="Arial" w:hAnsi="Arial" w:cs="Arial"/>
                                      <w:bCs/>
                                      <w:color w:val="000000"/>
                                      <w:sz w:val="24"/>
                                      <w:szCs w:val="24"/>
                                    </w:rPr>
                                    <w:t xml:space="preserve">and emissions during construction and demolition’ SPG). </w:t>
                                  </w:r>
                                </w:p>
                                <w:p w:rsidR="00701C58" w:rsidRPr="00EF53B3" w:rsidRDefault="00701C58" w:rsidP="00EF53B3">
                                  <w:pPr>
                                    <w:rPr>
                                      <w:rFonts w:ascii="Arial" w:hAnsi="Arial" w:cs="Arial"/>
                                      <w:bCs/>
                                      <w:color w:val="000000"/>
                                      <w:sz w:val="24"/>
                                      <w:szCs w:val="24"/>
                                    </w:rPr>
                                  </w:pPr>
                                  <w:r w:rsidRPr="00EF53B3">
                                    <w:rPr>
                                      <w:rFonts w:ascii="Arial" w:hAnsi="Arial" w:cs="Arial"/>
                                      <w:bCs/>
                                      <w:color w:val="000000"/>
                                      <w:sz w:val="24"/>
                                      <w:szCs w:val="24"/>
                                    </w:rPr>
                                    <w:t>Applicants should include al</w:t>
                                  </w:r>
                                  <w:r>
                                    <w:rPr>
                                      <w:rFonts w:ascii="Arial" w:hAnsi="Arial" w:cs="Arial"/>
                                      <w:bCs/>
                                      <w:color w:val="000000"/>
                                      <w:sz w:val="24"/>
                                      <w:szCs w:val="24"/>
                                    </w:rPr>
                                    <w:t>l ‘highly recommended measures’ as a minimum.</w:t>
                                  </w:r>
                                </w:p>
                                <w:p w:rsidR="00701C58" w:rsidRPr="00EF53B3" w:rsidRDefault="00701C58" w:rsidP="00EF53B3">
                                  <w:pPr>
                                    <w:spacing w:after="0"/>
                                    <w:rPr>
                                      <w:rFonts w:ascii="Arial" w:hAnsi="Arial" w:cs="Arial"/>
                                      <w:bCs/>
                                      <w:color w:val="000000"/>
                                      <w:sz w:val="24"/>
                                      <w:szCs w:val="24"/>
                                    </w:rPr>
                                  </w:pPr>
                                  <w:r w:rsidRPr="00EF53B3">
                                    <w:rPr>
                                      <w:rFonts w:ascii="Arial" w:hAnsi="Arial" w:cs="Arial"/>
                                      <w:bCs/>
                                      <w:color w:val="000000"/>
                                      <w:sz w:val="24"/>
                                      <w:szCs w:val="24"/>
                                    </w:rPr>
                                    <w:t xml:space="preserve">XX   Highly Recommended </w:t>
                                  </w:r>
                                </w:p>
                                <w:p w:rsidR="00701C58" w:rsidRPr="00EF53B3" w:rsidRDefault="00701C58" w:rsidP="00EF53B3">
                                  <w:pPr>
                                    <w:spacing w:after="0"/>
                                    <w:rPr>
                                      <w:rFonts w:ascii="Arial" w:hAnsi="Arial" w:cs="Arial"/>
                                      <w:bCs/>
                                      <w:color w:val="000000"/>
                                      <w:sz w:val="24"/>
                                      <w:szCs w:val="24"/>
                                    </w:rPr>
                                  </w:pPr>
                                  <w:r w:rsidRPr="00EF53B3">
                                    <w:rPr>
                                      <w:rFonts w:ascii="Arial" w:hAnsi="Arial" w:cs="Arial"/>
                                      <w:bCs/>
                                      <w:color w:val="000000"/>
                                      <w:sz w:val="24"/>
                                      <w:szCs w:val="24"/>
                                    </w:rPr>
                                    <w:t>X     Desirable</w:t>
                                  </w:r>
                                </w:p>
                                <w:p w:rsidR="00701C58" w:rsidRDefault="00701C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2.55pt;height:109.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">
                      <v:textbox>
                        <w:txbxContent>
                          <w:p w:rsidR="00EF53B3" w:rsidRPr="00EF53B3" w:rsidRDefault="00EF53B3" w:rsidP="00EF53B3">
                            <w:pPr>
                              <w:rPr>
                                <w:rFonts w:ascii="Arial" w:hAnsi="Arial" w:cs="Arial"/>
                                <w:bCs/>
                                <w:color w:val="000000"/>
                                <w:sz w:val="24"/>
                                <w:szCs w:val="24"/>
                              </w:rPr>
                            </w:pPr>
                            <w:r>
                              <w:rPr>
                                <w:rFonts w:ascii="Arial" w:hAnsi="Arial" w:cs="Arial"/>
                                <w:bCs/>
                                <w:color w:val="000000"/>
                                <w:sz w:val="24"/>
                                <w:szCs w:val="24"/>
                              </w:rPr>
                              <w:t>A</w:t>
                            </w:r>
                            <w:r w:rsidRPr="00EF53B3">
                              <w:rPr>
                                <w:rFonts w:ascii="Arial" w:hAnsi="Arial" w:cs="Arial"/>
                                <w:bCs/>
                                <w:color w:val="000000"/>
                                <w:sz w:val="24"/>
                                <w:szCs w:val="24"/>
                              </w:rPr>
                              <w:t xml:space="preserve">pplicants must complete the table below (extracted </w:t>
                            </w:r>
                            <w:bookmarkStart w:id="1" w:name="_GoBack"/>
                            <w:bookmarkEnd w:id="1"/>
                            <w:r w:rsidRPr="00EF53B3">
                              <w:rPr>
                                <w:rFonts w:ascii="Arial" w:hAnsi="Arial" w:cs="Arial"/>
                                <w:bCs/>
                                <w:color w:val="000000"/>
                                <w:sz w:val="24"/>
                                <w:szCs w:val="24"/>
                              </w:rPr>
                              <w:t>from</w:t>
                            </w:r>
                            <w:r w:rsidRPr="00EF53B3">
                              <w:rPr>
                                <w:rFonts w:ascii="Arial" w:hAnsi="Arial" w:cs="Arial"/>
                                <w:color w:val="000000"/>
                                <w:sz w:val="24"/>
                                <w:szCs w:val="24"/>
                              </w:rPr>
                              <w:t xml:space="preserve"> the Mayors ‘control of dust </w:t>
                            </w:r>
                            <w:r w:rsidRPr="00EF53B3">
                              <w:rPr>
                                <w:rFonts w:ascii="Arial" w:hAnsi="Arial" w:cs="Arial"/>
                                <w:bCs/>
                                <w:color w:val="000000"/>
                                <w:sz w:val="24"/>
                                <w:szCs w:val="24"/>
                              </w:rPr>
                              <w:t xml:space="preserve">and emissions during construction and demolition’ SPG). </w:t>
                            </w:r>
                          </w:p>
                          <w:p w:rsidR="00EF53B3" w:rsidRPr="00EF53B3" w:rsidRDefault="00EF53B3" w:rsidP="00EF53B3">
                            <w:pPr>
                              <w:rPr>
                                <w:rFonts w:ascii="Arial" w:hAnsi="Arial" w:cs="Arial"/>
                                <w:bCs/>
                                <w:color w:val="000000"/>
                                <w:sz w:val="24"/>
                                <w:szCs w:val="24"/>
                              </w:rPr>
                            </w:pPr>
                            <w:r w:rsidRPr="00EF53B3">
                              <w:rPr>
                                <w:rFonts w:ascii="Arial" w:hAnsi="Arial" w:cs="Arial"/>
                                <w:bCs/>
                                <w:color w:val="000000"/>
                                <w:sz w:val="24"/>
                                <w:szCs w:val="24"/>
                              </w:rPr>
                              <w:t>Applicants should include al</w:t>
                            </w:r>
                            <w:r>
                              <w:rPr>
                                <w:rFonts w:ascii="Arial" w:hAnsi="Arial" w:cs="Arial"/>
                                <w:bCs/>
                                <w:color w:val="000000"/>
                                <w:sz w:val="24"/>
                                <w:szCs w:val="24"/>
                              </w:rPr>
                              <w:t>l ‘highly recommended measures’ as a minimum.</w:t>
                            </w:r>
                          </w:p>
                          <w:p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 xml:space="preserve">XX   Highly Recommended </w:t>
                            </w:r>
                          </w:p>
                          <w:p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X     Desirable</w:t>
                            </w:r>
                          </w:p>
                          <w:p w:rsidR="00EF53B3" w:rsidRDefault="00EF53B3"/>
                        </w:txbxContent>
                      </v:textbox>
                    </v:shape>
                  </w:pict>
                </mc:Fallback>
              </mc:AlternateContent>
            </w:r>
          </w:p>
          <w:p w:rsidR="00EF53B3" w:rsidRDefault="00EF53B3" w:rsidP="00EF53B3">
            <w:pPr>
              <w:rPr>
                <w:rFonts w:ascii="Arial" w:hAnsi="Arial" w:cs="Arial"/>
                <w:color w:val="000000"/>
                <w:sz w:val="24"/>
                <w:szCs w:val="24"/>
              </w:rPr>
            </w:pPr>
          </w:p>
          <w:p w:rsidR="00EF53B3" w:rsidRDefault="00EF53B3" w:rsidP="00EF53B3">
            <w:pPr>
              <w:rPr>
                <w:rFonts w:ascii="Arial" w:hAnsi="Arial" w:cs="Arial"/>
                <w:color w:val="000000"/>
                <w:sz w:val="24"/>
                <w:szCs w:val="24"/>
              </w:rPr>
            </w:pPr>
          </w:p>
          <w:p w:rsidR="00EF53B3" w:rsidRDefault="00EF53B3" w:rsidP="00EF53B3">
            <w:pPr>
              <w:rPr>
                <w:rFonts w:ascii="Arial" w:hAnsi="Arial" w:cs="Arial"/>
                <w:color w:val="000000"/>
                <w:sz w:val="24"/>
                <w:szCs w:val="24"/>
              </w:rPr>
            </w:pPr>
          </w:p>
          <w:p w:rsidR="000F6A16" w:rsidRPr="00E54055" w:rsidRDefault="000F6A16" w:rsidP="00EF53B3">
            <w:pPr>
              <w:rPr>
                <w:rFonts w:ascii="Arial" w:hAnsi="Arial" w:cs="Arial"/>
                <w:bCs/>
                <w:color w:val="000000"/>
              </w:rPr>
            </w:pPr>
          </w:p>
        </w:tc>
      </w:tr>
      <w:tr w:rsidR="00E85481" w:rsidRPr="006816CE" w:rsidTr="000F6A16">
        <w:trPr>
          <w:trHeight w:val="572"/>
        </w:trPr>
        <w:tc>
          <w:tcPr>
            <w:tcW w:w="9481" w:type="dxa"/>
            <w:gridSpan w:val="5"/>
            <w:tcBorders>
              <w:top w:val="nil"/>
              <w:left w:val="nil"/>
              <w:bottom w:val="single" w:sz="4" w:space="0" w:color="4F6228" w:themeColor="accent3" w:themeShade="80"/>
              <w:right w:val="nil"/>
            </w:tcBorders>
          </w:tcPr>
          <w:p w:rsidR="00E85481" w:rsidRPr="006E6F84" w:rsidRDefault="00E85481" w:rsidP="000F6A16">
            <w:pPr>
              <w:rPr>
                <w:rFonts w:ascii="Arial" w:hAnsi="Arial" w:cs="Arial"/>
                <w:b/>
                <w:bCs/>
                <w:color w:val="000000"/>
              </w:rPr>
            </w:pPr>
            <w:r w:rsidRPr="006E6F84">
              <w:rPr>
                <w:rFonts w:ascii="Arial" w:hAnsi="Arial" w:cs="Arial"/>
                <w:b/>
                <w:bCs/>
                <w:color w:val="000000"/>
              </w:rPr>
              <w:t>MEASURES RELEVANT FOR DEMOLITION, EARTHWORKS, CONSTRUCTION AND TRACK</w:t>
            </w:r>
            <w:r w:rsidRPr="006E6F84">
              <w:rPr>
                <w:rFonts w:ascii="Arial" w:hAnsi="Arial" w:cs="Arial"/>
                <w:b/>
                <w:bCs/>
                <w:color w:val="000000"/>
              </w:rPr>
              <w:softHyphen/>
              <w:t>OUT</w:t>
            </w:r>
            <w:bookmarkStart w:id="0" w:name="_GoBack"/>
            <w:bookmarkEnd w:id="0"/>
          </w:p>
        </w:tc>
      </w:tr>
      <w:tr w:rsidR="001C5EAA" w:rsidRPr="006816CE" w:rsidTr="000F6A16">
        <w:trPr>
          <w:trHeight w:val="826"/>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rsidR="001C5EAA" w:rsidRDefault="001C5EAA" w:rsidP="000F6A16">
            <w:pPr>
              <w:autoSpaceDE w:val="0"/>
              <w:autoSpaceDN w:val="0"/>
              <w:adjustRightInd w:val="0"/>
              <w:spacing w:after="100" w:line="241" w:lineRule="atLeast"/>
              <w:rPr>
                <w:rFonts w:ascii="Arial" w:hAnsi="Arial" w:cs="Arial"/>
                <w:b/>
                <w:bCs/>
                <w:color w:val="FF0000"/>
                <w:sz w:val="20"/>
                <w:szCs w:val="20"/>
              </w:rPr>
            </w:pPr>
          </w:p>
        </w:tc>
        <w:tc>
          <w:tcPr>
            <w:tcW w:w="4728"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rsidR="001C5EAA" w:rsidRPr="001C5EAA" w:rsidRDefault="0048609B" w:rsidP="000F6A16">
            <w:pPr>
              <w:autoSpaceDE w:val="0"/>
              <w:autoSpaceDN w:val="0"/>
              <w:adjustRightInd w:val="0"/>
              <w:spacing w:after="100" w:line="241" w:lineRule="atLeast"/>
              <w:rPr>
                <w:rFonts w:ascii="Arial" w:hAnsi="Arial" w:cs="Arial"/>
                <w:b/>
                <w:bCs/>
                <w:color w:val="FF0000"/>
                <w:sz w:val="20"/>
                <w:szCs w:val="20"/>
              </w:rPr>
            </w:pPr>
            <w:r w:rsidRPr="0048609B">
              <w:rPr>
                <w:rFonts w:ascii="Arial" w:hAnsi="Arial" w:cs="Arial"/>
                <w:b/>
                <w:bCs/>
                <w:color w:val="FF0000"/>
                <w:sz w:val="20"/>
                <w:szCs w:val="20"/>
                <w:highlight w:val="blue"/>
              </w:rPr>
              <w:t>HIGHLIGHT</w:t>
            </w:r>
            <w:r w:rsidRPr="00E85481">
              <w:rPr>
                <w:rFonts w:ascii="Arial" w:hAnsi="Arial" w:cs="Arial"/>
                <w:b/>
                <w:bCs/>
                <w:color w:val="FF0000"/>
                <w:sz w:val="20"/>
                <w:szCs w:val="20"/>
              </w:rPr>
              <w:t xml:space="preserve"> </w:t>
            </w:r>
            <w:r w:rsidR="001C5EAA" w:rsidRPr="00E85481">
              <w:rPr>
                <w:rFonts w:ascii="Arial" w:hAnsi="Arial" w:cs="Arial"/>
                <w:b/>
                <w:bCs/>
                <w:color w:val="FF0000"/>
                <w:sz w:val="20"/>
                <w:szCs w:val="20"/>
              </w:rPr>
              <w:t>RISK LEVEL IDENTIFIED FOR SITE</w:t>
            </w:r>
          </w:p>
        </w:tc>
        <w:tc>
          <w:tcPr>
            <w:tcW w:w="1576" w:type="dxa"/>
            <w:vMerge w:val="restart"/>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FFFFFF" w:themeFill="background1"/>
            <w:vAlign w:val="center"/>
          </w:tcPr>
          <w:p w:rsidR="001C5EAA" w:rsidRPr="00E85481" w:rsidRDefault="001C5EAA" w:rsidP="000F6A16">
            <w:pPr>
              <w:autoSpaceDE w:val="0"/>
              <w:autoSpaceDN w:val="0"/>
              <w:adjustRightInd w:val="0"/>
              <w:spacing w:after="100" w:line="241" w:lineRule="atLeast"/>
              <w:jc w:val="center"/>
              <w:rPr>
                <w:rFonts w:ascii="Arial" w:hAnsi="Arial" w:cs="Arial"/>
                <w:b/>
                <w:bCs/>
                <w:color w:val="FF0000"/>
                <w:sz w:val="18"/>
                <w:szCs w:val="18"/>
              </w:rPr>
            </w:pPr>
            <w:r w:rsidRPr="00E85481">
              <w:rPr>
                <w:rFonts w:ascii="Arial" w:hAnsi="Arial" w:cs="Arial"/>
                <w:b/>
                <w:bCs/>
                <w:color w:val="FF0000"/>
                <w:sz w:val="18"/>
                <w:szCs w:val="18"/>
              </w:rPr>
              <w:t xml:space="preserve">TICK </w:t>
            </w:r>
            <w:r>
              <w:rPr>
                <w:rFonts w:ascii="Arial" w:hAnsi="Arial" w:cs="Arial"/>
                <w:b/>
                <w:bCs/>
                <w:color w:val="FF0000"/>
                <w:sz w:val="18"/>
                <w:szCs w:val="18"/>
              </w:rPr>
              <w:t>TO CONFIRM</w:t>
            </w:r>
            <w:r w:rsidRPr="00E85481">
              <w:rPr>
                <w:rFonts w:ascii="Arial" w:hAnsi="Arial" w:cs="Arial"/>
                <w:b/>
                <w:bCs/>
                <w:color w:val="FF0000"/>
                <w:sz w:val="18"/>
                <w:szCs w:val="18"/>
              </w:rPr>
              <w:t xml:space="preserve"> MITIGATION MEASURE WILL BE IMPLEMENTED</w:t>
            </w:r>
          </w:p>
        </w:tc>
      </w:tr>
      <w:tr w:rsidR="001C5EAA" w:rsidRPr="006816CE" w:rsidTr="000F6A16">
        <w:trPr>
          <w:trHeight w:val="692"/>
        </w:trPr>
        <w:tc>
          <w:tcPr>
            <w:tcW w:w="3177"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MITIGATION MEASURE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LOW RISK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MEDIUM RISK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HIGH RISK </w:t>
            </w:r>
          </w:p>
        </w:tc>
        <w:tc>
          <w:tcPr>
            <w:tcW w:w="1576" w:type="dxa"/>
            <w:vMerge/>
            <w:tcBorders>
              <w:left w:val="single" w:sz="4" w:space="0" w:color="4F6228" w:themeColor="accent3" w:themeShade="80"/>
              <w:right w:val="single" w:sz="4" w:space="0" w:color="4F6228" w:themeColor="accent3" w:themeShade="80"/>
            </w:tcBorders>
            <w:shd w:val="clear" w:color="auto" w:fill="FFFFFF" w:themeFill="background1"/>
            <w:vAlign w:val="center"/>
          </w:tcPr>
          <w:p w:rsidR="001C5EAA" w:rsidRPr="00E85481" w:rsidRDefault="001C5EAA" w:rsidP="000F6A16">
            <w:pPr>
              <w:autoSpaceDE w:val="0"/>
              <w:autoSpaceDN w:val="0"/>
              <w:adjustRightInd w:val="0"/>
              <w:spacing w:after="100" w:line="241" w:lineRule="atLeast"/>
              <w:rPr>
                <w:rFonts w:ascii="Arial" w:hAnsi="Arial" w:cs="Arial"/>
                <w:b/>
                <w:bCs/>
                <w:color w:val="FF0000"/>
                <w:sz w:val="18"/>
                <w:szCs w:val="18"/>
              </w:rPr>
            </w:pPr>
          </w:p>
        </w:tc>
      </w:tr>
      <w:tr w:rsidR="00E85481" w:rsidRPr="006816CE" w:rsidTr="000F6A16">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b/>
                <w:bCs/>
                <w:color w:val="000000"/>
                <w:sz w:val="20"/>
                <w:szCs w:val="20"/>
              </w:rPr>
              <w:t xml:space="preserve">Site management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b/>
                <w:bCs/>
                <w:color w:val="000000"/>
                <w:sz w:val="20"/>
                <w:szCs w:val="20"/>
              </w:rPr>
            </w:pPr>
          </w:p>
        </w:tc>
      </w:tr>
      <w:tr w:rsidR="00E85481" w:rsidRPr="006816CE" w:rsidTr="000F6A16">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Develop and implement a stakeholder communications plan that includes community engagement before work commences on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ind w:right="967"/>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01C58" w:rsidRDefault="00701C58" w:rsidP="000F6A16">
            <w:pPr>
              <w:autoSpaceDE w:val="0"/>
              <w:autoSpaceDN w:val="0"/>
              <w:adjustRightInd w:val="0"/>
              <w:spacing w:after="0" w:line="241" w:lineRule="atLeast"/>
              <w:ind w:right="967"/>
              <w:rPr>
                <w:rFonts w:ascii="Arial" w:hAnsi="Arial" w:cs="Arial"/>
                <w:color w:val="000000"/>
                <w:sz w:val="40"/>
                <w:szCs w:val="40"/>
              </w:rPr>
            </w:pPr>
            <w:r w:rsidRPr="00701C58">
              <w:rPr>
                <w:rFonts w:ascii="Arial" w:hAnsi="Arial" w:cs="Arial"/>
                <w:color w:val="000000"/>
                <w:sz w:val="40"/>
                <w:szCs w:val="40"/>
              </w:rPr>
              <w:sym w:font="Wingdings" w:char="F020"/>
            </w:r>
            <w:r w:rsidRPr="00701C58">
              <w:rPr>
                <w:rFonts w:ascii="Arial" w:hAnsi="Arial" w:cs="Arial"/>
                <w:color w:val="000000"/>
                <w:sz w:val="40"/>
                <w:szCs w:val="40"/>
              </w:rPr>
              <w:sym w:font="Wingdings" w:char="F0FC"/>
            </w:r>
          </w:p>
        </w:tc>
      </w:tr>
      <w:tr w:rsidR="00E85481" w:rsidRPr="006816CE" w:rsidTr="000F6A16">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Develop a Dust Management Plan.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Display the name and contact details of person(s) accountable for air quality pollutant emissions and dust issues on the site boundary.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Display the head or regional office contact information.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Record and respond to all dust and air quality pollutant emissions complaints.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Make a complaints log available to the local authority when asked.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Carry out regular site inspections to monitor compliance with air quality and dust control procedures, record inspection results, and make an inspection log available to the local authority when asked.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7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Increase the frequency of site inspections by those accountable </w:t>
            </w:r>
            <w:r w:rsidRPr="00483C90">
              <w:rPr>
                <w:rFonts w:ascii="Arial" w:hAnsi="Arial" w:cs="Arial"/>
                <w:color w:val="000000"/>
                <w:sz w:val="20"/>
                <w:szCs w:val="20"/>
              </w:rPr>
              <w:lastRenderedPageBreak/>
              <w:t xml:space="preserve">for dust and air quality pollutant emissions issues when activities with a high potential to produce dust and emissions and dust are being carried out, and during prolonged dry or windy conditions.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Record any exceptional incidents that cause dust and air quality pollutant emissions, either on or off the site, and the action taken to resolve the situation is recorded in the log book.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pStyle w:val="Pa4"/>
              <w:spacing w:before="40" w:after="40"/>
              <w:rPr>
                <w:rFonts w:ascii="Arial" w:hAnsi="Arial" w:cs="Arial"/>
                <w:color w:val="000000"/>
                <w:sz w:val="20"/>
                <w:szCs w:val="20"/>
              </w:rPr>
            </w:pPr>
            <w:r w:rsidRPr="006816CE">
              <w:rPr>
                <w:rFonts w:ascii="Arial" w:hAnsi="Arial" w:cs="Arial"/>
                <w:color w:val="000000"/>
                <w:sz w:val="20"/>
                <w:szCs w:val="20"/>
              </w:rPr>
              <w:t xml:space="preserve">Hold regular liaison meetings with other high risk construction sites within 500m of the site boundary, to ensure plans are co-ordinated and dust and particulate matter emissions are minimised. </w:t>
            </w:r>
          </w:p>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b/>
                <w:bCs/>
                <w:color w:val="000000"/>
                <w:sz w:val="20"/>
                <w:szCs w:val="20"/>
              </w:rPr>
              <w:t xml:space="preserve">Preparing and maintaining the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b/>
                <w:bCs/>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Plan site layout: machinery and dust causing activities should be located away from receptors.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Erect solid screens or barriers around dust activities or the site boundary that are, at least, as high as any stockpiles on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Fully enclosure site or specific operations where there is a high potential for dust production and the site is active for an extensive period.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Install green walls, screens or other green infrastructure to minimise the impact of dust and pollution.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Avoid site runoff of water or mud.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Keep site fencing, barriers and scaffolding clean using wet methods.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Remove materials from site as soon as possible.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Cover, seed or fence stockpiles to prevent wind whipping.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079"/>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54055"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Carry out regular dust soiling checks of buildings within 100m of site boundary and cleaning to be provided if necessary.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Provide showers and ensure a change of shoes and clothes are </w:t>
            </w:r>
            <w:r w:rsidRPr="00483C90">
              <w:rPr>
                <w:rFonts w:ascii="Arial" w:hAnsi="Arial" w:cs="Arial"/>
                <w:color w:val="000000"/>
                <w:sz w:val="20"/>
                <w:szCs w:val="20"/>
              </w:rPr>
              <w:lastRenderedPageBreak/>
              <w:t xml:space="preserve">required before going off-site to reduce transport of dust.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Agree monitoring locations with the Local Authority.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F53B3" w:rsidP="000F6A16">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r w:rsidR="00E85481" w:rsidRPr="00483C90">
              <w:rPr>
                <w:rFonts w:ascii="Arial" w:hAnsi="Arial" w:cs="Arial"/>
                <w:color w:val="000000"/>
                <w:sz w:val="20"/>
                <w:szCs w:val="20"/>
              </w:rPr>
              <w:t xml:space="preserv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Where possible, commence baseline monitoring at least three months before phase begins.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F53B3" w:rsidP="000F6A16">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pStyle w:val="Pa10"/>
              <w:spacing w:before="40" w:after="40"/>
              <w:rPr>
                <w:rFonts w:ascii="Arial" w:hAnsi="Arial" w:cs="Arial"/>
                <w:color w:val="000000"/>
                <w:sz w:val="20"/>
                <w:szCs w:val="20"/>
              </w:rPr>
            </w:pPr>
            <w:r w:rsidRPr="006816CE">
              <w:rPr>
                <w:rFonts w:ascii="Arial" w:hAnsi="Arial" w:cs="Arial"/>
                <w:color w:val="000000"/>
                <w:sz w:val="20"/>
                <w:szCs w:val="20"/>
              </w:rPr>
              <w:t xml:space="preserve">Put in place real-time dust and air quality pollutant monitors across the site and ensure they are checked regularly.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F53B3" w:rsidP="000F6A16">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r w:rsidR="00E85481" w:rsidRPr="00483C90">
              <w:rPr>
                <w:rFonts w:ascii="Arial" w:hAnsi="Arial" w:cs="Arial"/>
                <w:color w:val="000000"/>
                <w:sz w:val="20"/>
                <w:szCs w:val="20"/>
              </w:rPr>
              <w:t xml:space="preserv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p>
        </w:tc>
      </w:tr>
      <w:tr w:rsidR="00E85481" w:rsidRPr="007A0550"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b/>
                <w:bCs/>
                <w:color w:val="000000"/>
                <w:sz w:val="20"/>
                <w:szCs w:val="20"/>
              </w:rPr>
              <w:t xml:space="preserve">Operations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E85481" w:rsidP="000F6A16">
            <w:pPr>
              <w:autoSpaceDE w:val="0"/>
              <w:autoSpaceDN w:val="0"/>
              <w:adjustRightInd w:val="0"/>
              <w:spacing w:before="40" w:after="160" w:line="241" w:lineRule="atLeast"/>
              <w:rPr>
                <w:rFonts w:ascii="Arial" w:hAnsi="Arial" w:cs="Arial"/>
                <w:b/>
                <w:bCs/>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Only use cutting, grinding or sawing equipment fitted or in conjunction with suitable dust suppression techniques such as water sprays or local extraction, e.g. suitable local exhaust ventilation systems.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Ensure an adequate water supply on the site for effective dust/particulate matter mitigation (using recycled water where possible).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Use enclosed chutes, conveyors and covered skips.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Minimise drop heights from conveyors, loading shovels, hoppers and other loading or handling equipment and use fine water sprays on such equipment wherever appropriate.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Ensure equipment is readily available on site to clean any dry spillages, and clean up spillages as soon as reasonably practicable after the event using wet cleaning methods.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01C58" w:rsidP="000F6A16">
            <w:pPr>
              <w:autoSpaceDE w:val="0"/>
              <w:autoSpaceDN w:val="0"/>
              <w:adjustRightInd w:val="0"/>
              <w:spacing w:after="0" w:line="241" w:lineRule="atLeast"/>
              <w:rPr>
                <w:rFonts w:ascii="Arial" w:hAnsi="Arial" w:cs="Arial"/>
                <w:color w:val="000000"/>
                <w:sz w:val="20"/>
                <w:szCs w:val="20"/>
              </w:rPr>
            </w:pPr>
            <w:r w:rsidRPr="00701C58">
              <w:rPr>
                <w:rFonts w:ascii="Arial" w:hAnsi="Arial" w:cs="Arial"/>
                <w:color w:val="000000"/>
                <w:sz w:val="40"/>
                <w:szCs w:val="40"/>
              </w:rPr>
              <w:sym w:font="Wingdings" w:char="F0FC"/>
            </w:r>
          </w:p>
        </w:tc>
      </w:tr>
      <w:tr w:rsidR="00E85481" w:rsidRPr="007A0550"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b/>
                <w:bCs/>
                <w:color w:val="000000"/>
                <w:sz w:val="20"/>
                <w:szCs w:val="20"/>
              </w:rPr>
              <w:t xml:space="preserve">Waste management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E85481" w:rsidP="000F6A16">
            <w:pPr>
              <w:autoSpaceDE w:val="0"/>
              <w:autoSpaceDN w:val="0"/>
              <w:adjustRightInd w:val="0"/>
              <w:spacing w:before="40" w:after="160" w:line="241" w:lineRule="atLeast"/>
              <w:rPr>
                <w:rFonts w:ascii="Arial" w:hAnsi="Arial" w:cs="Arial"/>
                <w:b/>
                <w:bCs/>
                <w:color w:val="000000"/>
                <w:sz w:val="20"/>
                <w:szCs w:val="20"/>
              </w:rPr>
            </w:pPr>
          </w:p>
        </w:tc>
      </w:tr>
      <w:tr w:rsidR="00E85481" w:rsidRPr="007A0550"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Reuse and recycle waste to reduce dust from waste materials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p>
        </w:tc>
      </w:tr>
      <w:tr w:rsidR="00E85481" w:rsidRPr="007A0550"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160" w:line="241" w:lineRule="atLeast"/>
              <w:rPr>
                <w:rFonts w:ascii="Arial" w:hAnsi="Arial" w:cs="Arial"/>
                <w:color w:val="000000"/>
                <w:sz w:val="20"/>
                <w:szCs w:val="20"/>
              </w:rPr>
            </w:pPr>
            <w:r w:rsidRPr="007A0550">
              <w:rPr>
                <w:rFonts w:ascii="Arial" w:hAnsi="Arial" w:cs="Arial"/>
                <w:color w:val="000000"/>
                <w:sz w:val="20"/>
                <w:szCs w:val="20"/>
              </w:rPr>
              <w:t xml:space="preserve">Avoid bonfires and burning of waste materials.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p>
        </w:tc>
      </w:tr>
    </w:tbl>
    <w:p w:rsidR="00332CCB" w:rsidRDefault="00BF2E7D">
      <w:r>
        <w:br w:type="page"/>
      </w:r>
    </w:p>
    <w:tbl>
      <w:tblPr>
        <w:tblpPr w:leftFromText="180" w:rightFromText="180" w:vertAnchor="page" w:horzAnchor="margin" w:tblpY="213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1550"/>
        <w:gridCol w:w="1550"/>
        <w:gridCol w:w="1550"/>
        <w:gridCol w:w="1550"/>
      </w:tblGrid>
      <w:tr w:rsidR="00332CCB" w:rsidRPr="006816CE" w:rsidTr="00332CCB">
        <w:trPr>
          <w:trHeight w:val="73"/>
        </w:trPr>
        <w:tc>
          <w:tcPr>
            <w:tcW w:w="9465" w:type="dxa"/>
            <w:gridSpan w:val="5"/>
            <w:tcBorders>
              <w:top w:val="nil"/>
              <w:left w:val="nil"/>
              <w:bottom w:val="single" w:sz="4" w:space="0" w:color="4F6228" w:themeColor="accent3" w:themeShade="80"/>
              <w:right w:val="nil"/>
            </w:tcBorders>
          </w:tcPr>
          <w:p w:rsidR="00332CCB" w:rsidRPr="006E6F84" w:rsidRDefault="00332CCB" w:rsidP="00332CCB">
            <w:pPr>
              <w:autoSpaceDE w:val="0"/>
              <w:autoSpaceDN w:val="0"/>
              <w:adjustRightInd w:val="0"/>
              <w:spacing w:after="100" w:line="241" w:lineRule="atLeast"/>
              <w:rPr>
                <w:rFonts w:ascii="Arial" w:hAnsi="Arial" w:cs="Arial"/>
                <w:b/>
                <w:bCs/>
                <w:color w:val="000000"/>
              </w:rPr>
            </w:pPr>
            <w:r w:rsidRPr="006E6F84">
              <w:rPr>
                <w:rFonts w:ascii="Arial" w:hAnsi="Arial" w:cs="Arial"/>
                <w:b/>
                <w:bCs/>
                <w:color w:val="000000"/>
              </w:rPr>
              <w:lastRenderedPageBreak/>
              <w:t>MEASURES SPECIFIC TO DEMOLITION</w:t>
            </w:r>
          </w:p>
        </w:tc>
      </w:tr>
      <w:tr w:rsidR="00332CCB" w:rsidRPr="000806B0" w:rsidTr="00332CCB">
        <w:trPr>
          <w:trHeight w:val="284"/>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332CCB" w:rsidRPr="000806B0" w:rsidRDefault="00332CCB" w:rsidP="00332CCB">
            <w:pPr>
              <w:autoSpaceDE w:val="0"/>
              <w:autoSpaceDN w:val="0"/>
              <w:adjustRightInd w:val="0"/>
              <w:spacing w:after="100" w:line="241" w:lineRule="atLeast"/>
              <w:jc w:val="center"/>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332CCB" w:rsidRPr="000806B0" w:rsidTr="00332CCB">
        <w:trPr>
          <w:trHeight w:val="43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Soft strip inside buildings before demolition (retaining walls and windows in the rest of the building where possible, to provide a screen against dust).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332CCB" w:rsidP="00332CCB">
            <w:pPr>
              <w:autoSpaceDE w:val="0"/>
              <w:autoSpaceDN w:val="0"/>
              <w:adjustRightInd w:val="0"/>
              <w:spacing w:before="40" w:after="40" w:line="241" w:lineRule="atLeast"/>
              <w:rPr>
                <w:rFonts w:ascii="Arial" w:hAnsi="Arial" w:cs="Arial"/>
                <w:color w:val="000000"/>
                <w:sz w:val="20"/>
                <w:szCs w:val="20"/>
              </w:rPr>
            </w:pPr>
          </w:p>
        </w:tc>
      </w:tr>
      <w:tr w:rsidR="00332CCB" w:rsidRPr="000806B0"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water suppression is used during demolition operations.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332CCB" w:rsidP="00332CCB">
            <w:pPr>
              <w:autoSpaceDE w:val="0"/>
              <w:autoSpaceDN w:val="0"/>
              <w:adjustRightInd w:val="0"/>
              <w:spacing w:before="40" w:after="40" w:line="241" w:lineRule="atLeast"/>
              <w:rPr>
                <w:rFonts w:ascii="Arial" w:hAnsi="Arial" w:cs="Arial"/>
                <w:color w:val="000000"/>
                <w:sz w:val="20"/>
                <w:szCs w:val="20"/>
              </w:rPr>
            </w:pPr>
          </w:p>
        </w:tc>
      </w:tr>
      <w:tr w:rsidR="00332CCB" w:rsidRPr="000806B0"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Avoid explosive blasting, using appropriate manual or mechanical alternatives.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332CCB" w:rsidP="00332CCB">
            <w:pPr>
              <w:autoSpaceDE w:val="0"/>
              <w:autoSpaceDN w:val="0"/>
              <w:adjustRightInd w:val="0"/>
              <w:spacing w:before="40" w:after="40" w:line="241" w:lineRule="atLeast"/>
              <w:rPr>
                <w:rFonts w:ascii="Arial" w:hAnsi="Arial" w:cs="Arial"/>
                <w:color w:val="000000"/>
                <w:sz w:val="20"/>
                <w:szCs w:val="20"/>
              </w:rPr>
            </w:pPr>
          </w:p>
        </w:tc>
      </w:tr>
      <w:tr w:rsidR="00332CCB" w:rsidRPr="000806B0"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Bag and remove any biological debris or damp down such material before demolition.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XX</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332CCB" w:rsidP="00332CCB">
            <w:pPr>
              <w:autoSpaceDE w:val="0"/>
              <w:autoSpaceDN w:val="0"/>
              <w:adjustRightInd w:val="0"/>
              <w:spacing w:before="40" w:after="40" w:line="241" w:lineRule="atLeast"/>
              <w:rPr>
                <w:rFonts w:ascii="Arial" w:hAnsi="Arial" w:cs="Arial"/>
                <w:color w:val="000000"/>
                <w:sz w:val="20"/>
                <w:szCs w:val="20"/>
              </w:rPr>
            </w:pP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559"/>
        <w:gridCol w:w="1560"/>
        <w:gridCol w:w="1559"/>
      </w:tblGrid>
      <w:tr w:rsidR="00BF2E7D" w:rsidRPr="000806B0" w:rsidTr="00701C58">
        <w:trPr>
          <w:trHeight w:val="284"/>
        </w:trPr>
        <w:tc>
          <w:tcPr>
            <w:tcW w:w="9464" w:type="dxa"/>
            <w:gridSpan w:val="5"/>
            <w:tcBorders>
              <w:top w:val="nil"/>
              <w:left w:val="nil"/>
              <w:bottom w:val="single" w:sz="4" w:space="0" w:color="4F6228" w:themeColor="accent3" w:themeShade="80"/>
              <w:right w:val="nil"/>
            </w:tcBorders>
          </w:tcPr>
          <w:p w:rsidR="00332CCB" w:rsidRDefault="00332CCB" w:rsidP="00701C58">
            <w:pPr>
              <w:rPr>
                <w:rFonts w:ascii="Arial" w:hAnsi="Arial" w:cs="Arial"/>
                <w:b/>
                <w:bCs/>
                <w:color w:val="000000"/>
                <w:sz w:val="24"/>
                <w:szCs w:val="24"/>
              </w:rPr>
            </w:pPr>
          </w:p>
          <w:p w:rsidR="00BF2E7D" w:rsidRPr="006E6F84" w:rsidRDefault="00BF2E7D" w:rsidP="00701C58">
            <w:pPr>
              <w:rPr>
                <w:rFonts w:ascii="Arial" w:hAnsi="Arial" w:cs="Arial"/>
                <w:b/>
                <w:bCs/>
                <w:color w:val="000000"/>
              </w:rPr>
            </w:pPr>
            <w:r w:rsidRPr="006E6F84">
              <w:rPr>
                <w:rFonts w:ascii="Arial" w:hAnsi="Arial" w:cs="Arial"/>
                <w:b/>
                <w:bCs/>
                <w:color w:val="000000"/>
              </w:rPr>
              <w:t>MEASURES SPECIFIC TO EARTHWORKS</w:t>
            </w:r>
          </w:p>
        </w:tc>
      </w:tr>
      <w:tr w:rsidR="00BF2E7D" w:rsidRPr="006816CE" w:rsidTr="00701C58">
        <w:trPr>
          <w:trHeight w:val="284"/>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BF2E7D" w:rsidRPr="006816CE" w:rsidRDefault="00BF2E7D" w:rsidP="00701C58">
            <w:pPr>
              <w:autoSpaceDE w:val="0"/>
              <w:autoSpaceDN w:val="0"/>
              <w:adjustRightInd w:val="0"/>
              <w:spacing w:after="100" w:line="241" w:lineRule="atLeast"/>
              <w:jc w:val="center"/>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F2E7D" w:rsidRPr="000806B0" w:rsidTr="00701C5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Re-vegetate earthworks and exposed areas/soil stockpiles to stabilise surfaces.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0806B0" w:rsidRDefault="00BF2E7D" w:rsidP="00701C58">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p>
        </w:tc>
      </w:tr>
      <w:tr w:rsidR="00BF2E7D" w:rsidRPr="000806B0" w:rsidTr="00701C5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Use Hessian, mulches or </w:t>
            </w:r>
            <w:proofErr w:type="spellStart"/>
            <w:r w:rsidRPr="006816CE">
              <w:rPr>
                <w:rFonts w:ascii="Arial" w:hAnsi="Arial" w:cs="Arial"/>
                <w:color w:val="000000"/>
                <w:sz w:val="20"/>
                <w:szCs w:val="20"/>
              </w:rPr>
              <w:t>trackifiers</w:t>
            </w:r>
            <w:proofErr w:type="spellEnd"/>
            <w:r w:rsidRPr="006816CE">
              <w:rPr>
                <w:rFonts w:ascii="Arial" w:hAnsi="Arial" w:cs="Arial"/>
                <w:color w:val="000000"/>
                <w:sz w:val="20"/>
                <w:szCs w:val="20"/>
              </w:rPr>
              <w:t xml:space="preserve"> where it is not possible to re-vegetate or cover with topsoil.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0806B0" w:rsidRDefault="00BF2E7D" w:rsidP="00701C58">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p>
        </w:tc>
      </w:tr>
      <w:tr w:rsidR="00BF2E7D" w:rsidRPr="000806B0" w:rsidTr="00701C5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Only remove secure covers in small areas during work and not all at once.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0806B0" w:rsidRDefault="00BF2E7D" w:rsidP="00701C58">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p>
        </w:tc>
      </w:tr>
    </w:tbl>
    <w:p w:rsidR="00332CCB" w:rsidRDefault="00332CCB" w:rsidP="00BF2E7D">
      <w:pPr>
        <w:rPr>
          <w:rFonts w:ascii="Arial" w:hAnsi="Arial" w:cs="Arial"/>
          <w:b/>
          <w:bCs/>
          <w:color w:val="000000"/>
          <w:sz w:val="20"/>
          <w:szCs w:val="20"/>
        </w:rPr>
      </w:pPr>
    </w:p>
    <w:p w:rsidR="00332CCB" w:rsidRDefault="00332CCB">
      <w:pPr>
        <w:rPr>
          <w:rFonts w:ascii="Arial" w:hAnsi="Arial" w:cs="Arial"/>
          <w:b/>
          <w:bCs/>
          <w:color w:val="000000"/>
          <w:sz w:val="20"/>
          <w:szCs w:val="20"/>
        </w:rPr>
      </w:pPr>
      <w:r>
        <w:rPr>
          <w:rFonts w:ascii="Arial" w:hAnsi="Arial" w:cs="Arial"/>
          <w:b/>
          <w:bCs/>
          <w:color w:val="000000"/>
          <w:sz w:val="20"/>
          <w:szCs w:val="20"/>
        </w:rPr>
        <w:br w:type="page"/>
      </w:r>
    </w:p>
    <w:p w:rsidR="00BF2E7D" w:rsidRPr="000806B0" w:rsidRDefault="00BF2E7D" w:rsidP="00BF2E7D">
      <w:pPr>
        <w:rPr>
          <w:rFonts w:ascii="Arial" w:hAnsi="Arial" w:cs="Arial"/>
          <w:b/>
          <w:bCs/>
          <w:color w:val="000000"/>
          <w:sz w:val="20"/>
          <w:szCs w:val="20"/>
        </w:rPr>
      </w:pPr>
    </w:p>
    <w:p w:rsidR="00BF2E7D" w:rsidRPr="006E6F84" w:rsidRDefault="00BF2E7D" w:rsidP="00BF2E7D">
      <w:pPr>
        <w:rPr>
          <w:rFonts w:ascii="Arial" w:hAnsi="Arial" w:cs="Arial"/>
          <w:b/>
          <w:bCs/>
          <w:color w:val="000000"/>
        </w:rPr>
      </w:pPr>
      <w:r w:rsidRPr="006E6F84">
        <w:rPr>
          <w:rFonts w:ascii="Arial" w:hAnsi="Arial" w:cs="Arial"/>
          <w:b/>
          <w:bCs/>
          <w:color w:val="000000"/>
        </w:rPr>
        <w:t>MEASURES SPECIFIC TO CONSTRUCTION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70"/>
        <w:gridCol w:w="1548"/>
        <w:gridCol w:w="1560"/>
        <w:gridCol w:w="1559"/>
      </w:tblGrid>
      <w:tr w:rsidR="00BF2E7D" w:rsidRPr="006816CE" w:rsidTr="00701C58">
        <w:trPr>
          <w:trHeight w:val="284"/>
        </w:trPr>
        <w:tc>
          <w:tcPr>
            <w:tcW w:w="3227" w:type="dxa"/>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70" w:type="dxa"/>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48" w:type="dxa"/>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shd w:val="clear" w:color="auto" w:fill="C2D69B" w:themeFill="accent3" w:themeFillTint="99"/>
            <w:vAlign w:val="center"/>
          </w:tcPr>
          <w:p w:rsidR="00BF2E7D" w:rsidRPr="006816CE" w:rsidRDefault="00BF2E7D"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Pr>
          <w:p w:rsidR="00BF2E7D" w:rsidRPr="006816CE" w:rsidRDefault="00BF2E7D" w:rsidP="00701C58">
            <w:pPr>
              <w:autoSpaceDE w:val="0"/>
              <w:autoSpaceDN w:val="0"/>
              <w:adjustRightInd w:val="0"/>
              <w:spacing w:after="100" w:line="241" w:lineRule="atLeast"/>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F2E7D" w:rsidRPr="006816CE" w:rsidTr="00701C58">
        <w:trPr>
          <w:trHeight w:val="282"/>
        </w:trPr>
        <w:tc>
          <w:tcPr>
            <w:tcW w:w="3227" w:type="dxa"/>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Avoid </w:t>
            </w:r>
            <w:proofErr w:type="spellStart"/>
            <w:r w:rsidRPr="006816CE">
              <w:rPr>
                <w:rFonts w:ascii="Arial" w:hAnsi="Arial" w:cs="Arial"/>
                <w:color w:val="000000"/>
                <w:sz w:val="20"/>
                <w:szCs w:val="20"/>
              </w:rPr>
              <w:t>scabbling</w:t>
            </w:r>
            <w:proofErr w:type="spellEnd"/>
            <w:r w:rsidRPr="006816CE">
              <w:rPr>
                <w:rFonts w:ascii="Arial" w:hAnsi="Arial" w:cs="Arial"/>
                <w:color w:val="000000"/>
                <w:sz w:val="20"/>
                <w:szCs w:val="20"/>
              </w:rPr>
              <w:t xml:space="preserve"> (roughening of concrete surfaces) if possible </w:t>
            </w:r>
          </w:p>
        </w:tc>
        <w:tc>
          <w:tcPr>
            <w:tcW w:w="1570" w:type="dxa"/>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48" w:type="dxa"/>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BF2E7D" w:rsidRPr="006816CE" w:rsidRDefault="00BF2E7D" w:rsidP="00701C58">
            <w:pPr>
              <w:autoSpaceDE w:val="0"/>
              <w:autoSpaceDN w:val="0"/>
              <w:adjustRightInd w:val="0"/>
              <w:spacing w:after="0" w:line="241" w:lineRule="atLeast"/>
              <w:rPr>
                <w:rFonts w:ascii="Arial" w:hAnsi="Arial" w:cs="Arial"/>
                <w:color w:val="000000"/>
                <w:sz w:val="20"/>
                <w:szCs w:val="20"/>
              </w:rPr>
            </w:pPr>
          </w:p>
        </w:tc>
      </w:tr>
      <w:tr w:rsidR="00BF2E7D" w:rsidRPr="006816CE"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sand and other aggregates are stored in </w:t>
            </w:r>
            <w:proofErr w:type="spellStart"/>
            <w:r w:rsidRPr="006816CE">
              <w:rPr>
                <w:rFonts w:ascii="Arial" w:hAnsi="Arial" w:cs="Arial"/>
                <w:color w:val="000000"/>
                <w:sz w:val="20"/>
                <w:szCs w:val="20"/>
              </w:rPr>
              <w:t>bunded</w:t>
            </w:r>
            <w:proofErr w:type="spellEnd"/>
            <w:r w:rsidRPr="006816CE">
              <w:rPr>
                <w:rFonts w:ascii="Arial" w:hAnsi="Arial" w:cs="Arial"/>
                <w:color w:val="000000"/>
                <w:sz w:val="20"/>
                <w:szCs w:val="20"/>
              </w:rPr>
              <w:t xml:space="preserve"> areas and are not allowed to dry out, unless this is required for a particular process, in which case ensure that appropriate additional control measures are in place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roofErr w:type="spellStart"/>
            <w:r w:rsidRPr="006816CE">
              <w:rPr>
                <w:rFonts w:ascii="Arial" w:hAnsi="Arial" w:cs="Arial"/>
                <w:color w:val="000000"/>
                <w:sz w:val="20"/>
                <w:szCs w:val="20"/>
              </w:rPr>
              <w:t>X</w:t>
            </w:r>
            <w:proofErr w:type="spellEnd"/>
            <w:r w:rsidRPr="006816CE">
              <w:rPr>
                <w:rFonts w:ascii="Arial" w:hAnsi="Arial" w:cs="Arial"/>
                <w:color w:val="00000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auto"/>
              <w:left w:val="single" w:sz="4" w:space="0" w:color="auto"/>
              <w:bottom w:val="single" w:sz="4" w:space="0" w:color="auto"/>
              <w:right w:val="single" w:sz="4" w:space="0" w:color="auto"/>
            </w:tcBorders>
          </w:tcPr>
          <w:p w:rsidR="00BF2E7D" w:rsidRPr="006816CE" w:rsidRDefault="00BF2E7D" w:rsidP="00701C58">
            <w:pPr>
              <w:autoSpaceDE w:val="0"/>
              <w:autoSpaceDN w:val="0"/>
              <w:adjustRightInd w:val="0"/>
              <w:spacing w:after="0" w:line="241" w:lineRule="atLeast"/>
              <w:rPr>
                <w:rFonts w:ascii="Arial" w:hAnsi="Arial" w:cs="Arial"/>
                <w:color w:val="000000"/>
                <w:sz w:val="20"/>
                <w:szCs w:val="20"/>
              </w:rPr>
            </w:pPr>
          </w:p>
        </w:tc>
      </w:tr>
      <w:tr w:rsidR="00BF2E7D" w:rsidRPr="006816CE"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bulk cement and other fine powder materials are delivered in enclosed tankers and stored in silos with suitable emission control systems to prevent escape of material and overfilling during delivery.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0806B0" w:rsidRDefault="00BF2E7D" w:rsidP="00701C58">
            <w:pPr>
              <w:autoSpaceDE w:val="0"/>
              <w:autoSpaceDN w:val="0"/>
              <w:adjustRightInd w:val="0"/>
              <w:spacing w:before="40" w:after="40" w:line="241" w:lineRule="atLeast"/>
              <w:rPr>
                <w:rFonts w:ascii="Arial" w:hAnsi="Arial" w:cs="Arial"/>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auto"/>
              <w:left w:val="single" w:sz="4" w:space="0" w:color="auto"/>
              <w:bottom w:val="single" w:sz="4" w:space="0" w:color="auto"/>
              <w:right w:val="single" w:sz="4" w:space="0" w:color="auto"/>
            </w:tcBorders>
          </w:tcPr>
          <w:p w:rsidR="00BF2E7D" w:rsidRPr="006816CE" w:rsidRDefault="00BF2E7D" w:rsidP="00701C58">
            <w:pPr>
              <w:autoSpaceDE w:val="0"/>
              <w:autoSpaceDN w:val="0"/>
              <w:adjustRightInd w:val="0"/>
              <w:spacing w:after="0" w:line="241" w:lineRule="atLeast"/>
              <w:rPr>
                <w:rFonts w:ascii="Arial" w:hAnsi="Arial" w:cs="Arial"/>
                <w:color w:val="000000"/>
                <w:sz w:val="20"/>
                <w:szCs w:val="20"/>
              </w:rPr>
            </w:pPr>
          </w:p>
        </w:tc>
      </w:tr>
      <w:tr w:rsidR="00BF2E7D" w:rsidRPr="006816CE"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For smaller supplies of fine powder materials ensure bags are sealed after use and stored appropriately to prevent dust.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0806B0" w:rsidRDefault="00BF2E7D" w:rsidP="00701C58">
            <w:pPr>
              <w:autoSpaceDE w:val="0"/>
              <w:autoSpaceDN w:val="0"/>
              <w:adjustRightInd w:val="0"/>
              <w:spacing w:before="40" w:after="40" w:line="241" w:lineRule="atLeast"/>
              <w:rPr>
                <w:rFonts w:ascii="Arial" w:hAnsi="Arial" w:cs="Arial"/>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BF2E7D" w:rsidRPr="006816CE" w:rsidRDefault="00BF2E7D" w:rsidP="00701C58">
            <w:pPr>
              <w:autoSpaceDE w:val="0"/>
              <w:autoSpaceDN w:val="0"/>
              <w:adjustRightInd w:val="0"/>
              <w:spacing w:after="0" w:line="241" w:lineRule="atLeast"/>
              <w:rPr>
                <w:rFonts w:ascii="Arial" w:hAnsi="Arial" w:cs="Arial"/>
                <w:color w:val="000000"/>
                <w:sz w:val="20"/>
                <w:szCs w:val="20"/>
              </w:rPr>
            </w:pPr>
          </w:p>
        </w:tc>
      </w:tr>
    </w:tbl>
    <w:p w:rsidR="00332CCB" w:rsidRDefault="00332CCB" w:rsidP="00332CCB">
      <w:pPr>
        <w:rPr>
          <w:rFonts w:ascii="Arial" w:hAnsi="Arial" w:cs="Arial"/>
          <w:b/>
          <w:bCs/>
          <w:color w:val="000000"/>
          <w:sz w:val="24"/>
          <w:szCs w:val="24"/>
        </w:rPr>
      </w:pPr>
    </w:p>
    <w:p w:rsidR="00332CCB" w:rsidRPr="006E6F84" w:rsidRDefault="00332CCB" w:rsidP="00332CCB">
      <w:pPr>
        <w:rPr>
          <w:rFonts w:ascii="Arial" w:hAnsi="Arial" w:cs="Arial"/>
          <w:b/>
          <w:bCs/>
          <w:color w:val="000000"/>
        </w:rPr>
      </w:pPr>
      <w:r w:rsidRPr="006E6F84">
        <w:rPr>
          <w:rFonts w:ascii="Arial" w:hAnsi="Arial" w:cs="Arial"/>
          <w:b/>
          <w:bCs/>
          <w:color w:val="000000"/>
        </w:rPr>
        <w:t>MEASURES SPECIFIC TO TRACKOUT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1559"/>
        <w:gridCol w:w="1560"/>
        <w:gridCol w:w="1560"/>
        <w:gridCol w:w="1559"/>
      </w:tblGrid>
      <w:tr w:rsidR="00332CCB" w:rsidRPr="001C5EAA" w:rsidTr="00701C58">
        <w:trPr>
          <w:trHeight w:val="284"/>
        </w:trPr>
        <w:tc>
          <w:tcPr>
            <w:tcW w:w="3227" w:type="dxa"/>
            <w:shd w:val="clear" w:color="auto" w:fill="C2D69B" w:themeFill="accent3" w:themeFillTint="99"/>
            <w:vAlign w:val="center"/>
          </w:tcPr>
          <w:p w:rsidR="00332CCB" w:rsidRPr="006816CE" w:rsidRDefault="00332CCB"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9" w:type="dxa"/>
            <w:shd w:val="clear" w:color="auto" w:fill="C2D69B" w:themeFill="accent3" w:themeFillTint="99"/>
            <w:vAlign w:val="center"/>
          </w:tcPr>
          <w:p w:rsidR="00332CCB" w:rsidRPr="006816CE" w:rsidRDefault="00332CCB"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9" w:type="dxa"/>
            <w:shd w:val="clear" w:color="auto" w:fill="C2D69B" w:themeFill="accent3" w:themeFillTint="99"/>
            <w:vAlign w:val="center"/>
          </w:tcPr>
          <w:p w:rsidR="00332CCB" w:rsidRPr="006816CE" w:rsidRDefault="00332CCB"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shd w:val="clear" w:color="auto" w:fill="C2D69B" w:themeFill="accent3" w:themeFillTint="99"/>
            <w:vAlign w:val="center"/>
          </w:tcPr>
          <w:p w:rsidR="00332CCB" w:rsidRPr="006816CE" w:rsidRDefault="00332CCB" w:rsidP="00701C5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Pr>
          <w:p w:rsidR="00332CCB" w:rsidRPr="00E54055" w:rsidRDefault="00332CCB" w:rsidP="00701C58">
            <w:pPr>
              <w:autoSpaceDE w:val="0"/>
              <w:autoSpaceDN w:val="0"/>
              <w:adjustRightInd w:val="0"/>
              <w:spacing w:after="100" w:line="241" w:lineRule="atLeast"/>
              <w:jc w:val="center"/>
              <w:rPr>
                <w:rFonts w:ascii="Arial" w:hAnsi="Arial" w:cs="Arial"/>
                <w:b/>
                <w:bCs/>
                <w:color w:val="000000"/>
                <w:sz w:val="18"/>
                <w:szCs w:val="18"/>
              </w:rPr>
            </w:pPr>
            <w:r w:rsidRPr="00E54055">
              <w:rPr>
                <w:rFonts w:ascii="Arial" w:hAnsi="Arial" w:cs="Arial"/>
                <w:b/>
                <w:bCs/>
                <w:color w:val="FF0000"/>
                <w:sz w:val="18"/>
                <w:szCs w:val="18"/>
              </w:rPr>
              <w:t>TICK BELOW WHERE MITIGATION MEASURE WILL BE IMPLEMENTED</w:t>
            </w:r>
          </w:p>
        </w:tc>
      </w:tr>
      <w:tr w:rsidR="00332CCB" w:rsidRPr="001C5EAA" w:rsidTr="00701C58">
        <w:trPr>
          <w:trHeight w:val="4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Regularly use a water-assisted dust sweeper on the access and local roads, as necessary, to remove any material tracked out of the site. </w:t>
            </w: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vehicles entering and leaving sites are securely covered to prevent escape of materials during transport. </w:t>
            </w: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Record all inspections of haul routes and any subsequent action in a site log book. </w:t>
            </w:r>
          </w:p>
        </w:tc>
        <w:tc>
          <w:tcPr>
            <w:tcW w:w="1559" w:type="dxa"/>
            <w:shd w:val="clear" w:color="auto" w:fill="EAF1DD" w:themeFill="accent3" w:themeFillTint="33"/>
          </w:tcPr>
          <w:p w:rsidR="00332CCB" w:rsidRPr="001C5EAA" w:rsidRDefault="00332CCB" w:rsidP="00701C5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Install hard surfaced haul routes, </w:t>
            </w:r>
            <w:r w:rsidRPr="006816CE">
              <w:rPr>
                <w:rFonts w:ascii="Arial" w:hAnsi="Arial" w:cs="Arial"/>
                <w:color w:val="000000"/>
                <w:sz w:val="20"/>
                <w:szCs w:val="20"/>
              </w:rPr>
              <w:lastRenderedPageBreak/>
              <w:t xml:space="preserve">which are regularly damped down with fixed or mobile sprinkler systems and regularly cleaned. </w:t>
            </w:r>
          </w:p>
        </w:tc>
        <w:tc>
          <w:tcPr>
            <w:tcW w:w="1559" w:type="dxa"/>
            <w:shd w:val="clear" w:color="auto" w:fill="EAF1DD" w:themeFill="accent3" w:themeFillTint="33"/>
          </w:tcPr>
          <w:p w:rsidR="00332CCB" w:rsidRPr="001C5EAA" w:rsidRDefault="00332CCB" w:rsidP="00701C5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lastRenderedPageBreak/>
              <w:t xml:space="preserve">Inspect haul routes for integrity and instigate necessary repairs to the surface as soon as reasonably practicable; </w:t>
            </w:r>
          </w:p>
        </w:tc>
        <w:tc>
          <w:tcPr>
            <w:tcW w:w="1559" w:type="dxa"/>
            <w:shd w:val="clear" w:color="auto" w:fill="EAF1DD" w:themeFill="accent3" w:themeFillTint="33"/>
          </w:tcPr>
          <w:p w:rsidR="00332CCB" w:rsidRPr="001C5EAA" w:rsidRDefault="00332CCB" w:rsidP="00701C5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Implement a wheel washing system (with rumble grids to dislodge accumulated dust and mud prior to leaving the site where reasonably practicable). </w:t>
            </w: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there is an adequate area of hard surfaced road between the wheel wash facility and the site exit, wherever site size and layout permits. </w:t>
            </w:r>
          </w:p>
        </w:tc>
        <w:tc>
          <w:tcPr>
            <w:tcW w:w="1559" w:type="dxa"/>
            <w:shd w:val="clear" w:color="auto" w:fill="EAF1DD" w:themeFill="accent3" w:themeFillTint="33"/>
          </w:tcPr>
          <w:p w:rsidR="00332CCB" w:rsidRPr="001C5EAA" w:rsidRDefault="00332CCB" w:rsidP="00701C5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132"/>
        </w:trPr>
        <w:tc>
          <w:tcPr>
            <w:tcW w:w="3227"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Access gates to be located at least 10m from receptors where possible. </w:t>
            </w:r>
          </w:p>
        </w:tc>
        <w:tc>
          <w:tcPr>
            <w:tcW w:w="1559" w:type="dxa"/>
            <w:shd w:val="clear" w:color="auto" w:fill="EAF1DD" w:themeFill="accent3" w:themeFillTint="33"/>
          </w:tcPr>
          <w:p w:rsidR="00332CCB" w:rsidRPr="001C5EAA" w:rsidRDefault="00332CCB" w:rsidP="00701C5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r w:rsidR="00332CCB" w:rsidRPr="001C5EAA" w:rsidTr="00701C58">
        <w:trPr>
          <w:trHeight w:val="282"/>
        </w:trPr>
        <w:tc>
          <w:tcPr>
            <w:tcW w:w="3226"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Apply dust suppressants to locations where a large volume of vehicles enter and exit the construction site </w:t>
            </w:r>
          </w:p>
        </w:tc>
        <w:tc>
          <w:tcPr>
            <w:tcW w:w="1559" w:type="dxa"/>
            <w:shd w:val="clear" w:color="auto" w:fill="EAF1DD" w:themeFill="accent3" w:themeFillTint="33"/>
          </w:tcPr>
          <w:p w:rsidR="00332CCB" w:rsidRPr="001C5EAA" w:rsidRDefault="00332CCB" w:rsidP="00701C58">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rsidR="00332CCB" w:rsidRPr="006816CE" w:rsidRDefault="00332CCB" w:rsidP="00701C5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332CCB" w:rsidP="00701C58">
            <w:pPr>
              <w:autoSpaceDE w:val="0"/>
              <w:autoSpaceDN w:val="0"/>
              <w:adjustRightInd w:val="0"/>
              <w:spacing w:after="0" w:line="241" w:lineRule="atLeast"/>
              <w:rPr>
                <w:rFonts w:ascii="Arial" w:hAnsi="Arial" w:cs="Arial"/>
                <w:color w:val="000000"/>
                <w:sz w:val="20"/>
                <w:szCs w:val="20"/>
              </w:rPr>
            </w:pPr>
          </w:p>
        </w:tc>
      </w:tr>
    </w:tbl>
    <w:p w:rsidR="00BF2E7D" w:rsidRDefault="00BF2E7D"/>
    <w:sectPr w:rsidR="00BF2E7D" w:rsidSect="001C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undry Form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90"/>
    <w:rsid w:val="000806B0"/>
    <w:rsid w:val="000F6A16"/>
    <w:rsid w:val="0013020B"/>
    <w:rsid w:val="001C5EAA"/>
    <w:rsid w:val="00332CCB"/>
    <w:rsid w:val="004066CD"/>
    <w:rsid w:val="00483C90"/>
    <w:rsid w:val="0048609B"/>
    <w:rsid w:val="006816CE"/>
    <w:rsid w:val="006E6F84"/>
    <w:rsid w:val="00701C58"/>
    <w:rsid w:val="007A0550"/>
    <w:rsid w:val="0095086F"/>
    <w:rsid w:val="00986AD3"/>
    <w:rsid w:val="00BF2E7D"/>
    <w:rsid w:val="00E54055"/>
    <w:rsid w:val="00E85481"/>
    <w:rsid w:val="00EF53B3"/>
    <w:rsid w:val="00F2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5">
    <w:name w:val="Pa25"/>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4">
    <w:name w:val="Pa4"/>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3">
    <w:name w:val="Pa3"/>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styleId="BalloonText">
    <w:name w:val="Balloon Text"/>
    <w:basedOn w:val="Normal"/>
    <w:link w:val="BalloonTextChar"/>
    <w:uiPriority w:val="99"/>
    <w:semiHidden/>
    <w:unhideWhenUsed/>
    <w:rsid w:val="00EF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5">
    <w:name w:val="Pa25"/>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4">
    <w:name w:val="Pa4"/>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3">
    <w:name w:val="Pa3"/>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styleId="BalloonText">
    <w:name w:val="Balloon Text"/>
    <w:basedOn w:val="Normal"/>
    <w:link w:val="BalloonTextChar"/>
    <w:uiPriority w:val="99"/>
    <w:semiHidden/>
    <w:unhideWhenUsed/>
    <w:rsid w:val="00EF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WT</cp:lastModifiedBy>
  <cp:revision>3</cp:revision>
  <cp:lastPrinted>2017-05-19T14:12:00Z</cp:lastPrinted>
  <dcterms:created xsi:type="dcterms:W3CDTF">2017-05-19T14:11:00Z</dcterms:created>
  <dcterms:modified xsi:type="dcterms:W3CDTF">2017-05-19T15:05:00Z</dcterms:modified>
</cp:coreProperties>
</file>