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31B10">
        <w:rPr>
          <w:rFonts w:cs="Arial"/>
          <w:b/>
          <w:szCs w:val="22"/>
        </w:rPr>
        <w:t>Contracts Manager</w:t>
      </w:r>
      <w:r w:rsidR="000132DD">
        <w:rPr>
          <w:rFonts w:cs="Arial"/>
          <w:b/>
          <w:szCs w:val="22"/>
        </w:rPr>
        <w:t xml:space="preserve"> – Mechanical &amp; Electrical</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28120E">
        <w:rPr>
          <w:rFonts w:cs="Arial"/>
          <w:b/>
          <w:szCs w:val="22"/>
        </w:rPr>
        <w:t xml:space="preserve"> C</w:t>
      </w:r>
      <w:r w:rsidR="00EA15B2">
        <w:rPr>
          <w:rFonts w:cs="Arial"/>
          <w:b/>
          <w:szCs w:val="22"/>
        </w:rPr>
        <w:t>ontract Manager Planned Works (M&amp;E</w:t>
      </w:r>
      <w:r w:rsidR="0028120E">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2F24FA">
        <w:rPr>
          <w:rFonts w:cs="Arial"/>
          <w:b/>
          <w:szCs w:val="22"/>
        </w:rPr>
        <w:t xml:space="preserve">evel </w:t>
      </w:r>
      <w:r w:rsidR="00462977">
        <w:rPr>
          <w:rFonts w:cs="Arial"/>
          <w:b/>
          <w:szCs w:val="22"/>
        </w:rPr>
        <w:t>4</w:t>
      </w:r>
      <w:r w:rsidR="002F24FA">
        <w:rPr>
          <w:rFonts w:cs="Arial"/>
          <w:b/>
          <w:szCs w:val="22"/>
        </w:rPr>
        <w:t xml:space="preserve">, Zone </w:t>
      </w:r>
      <w:r w:rsidR="00462977">
        <w:rPr>
          <w:rFonts w:cs="Arial"/>
          <w:b/>
          <w:szCs w:val="22"/>
        </w:rPr>
        <w:t>2</w:t>
      </w:r>
      <w:r w:rsidR="002F24FA">
        <w:rPr>
          <w:rFonts w:cs="Arial"/>
          <w:b/>
          <w:szCs w:val="22"/>
        </w:rPr>
        <w:t>,</w:t>
      </w:r>
      <w:r w:rsidR="006A2594">
        <w:rPr>
          <w:rFonts w:cs="Arial"/>
          <w:b/>
          <w:szCs w:val="22"/>
        </w:rPr>
        <w:t xml:space="preserve"> Camden Way Category</w:t>
      </w:r>
      <w:r w:rsidR="003700C9">
        <w:rPr>
          <w:rFonts w:cs="Arial"/>
          <w:b/>
          <w:szCs w:val="22"/>
        </w:rPr>
        <w:t xml:space="preserve"> </w:t>
      </w:r>
      <w:r w:rsidR="00EA15B2">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28120E" w:rsidRPr="0069405C" w:rsidRDefault="0028120E" w:rsidP="00EB687D">
      <w:pPr>
        <w:rPr>
          <w:rFonts w:cs="Arial"/>
          <w:i/>
          <w:szCs w:val="22"/>
        </w:rPr>
      </w:pPr>
      <w:r w:rsidRPr="00F56E05">
        <w:rPr>
          <w:rFonts w:cs="Arial"/>
          <w:szCs w:val="22"/>
        </w:rPr>
        <w:t>To work as part of a team delivering the Council’s mechanical and electrical capital programme a</w:t>
      </w:r>
      <w:r w:rsidR="006C0FD3">
        <w:rPr>
          <w:rFonts w:cs="Arial"/>
          <w:szCs w:val="22"/>
        </w:rPr>
        <w:t>cross a range of property types</w:t>
      </w:r>
      <w:r w:rsidRPr="00F56E05">
        <w:rPr>
          <w:rFonts w:cs="Arial"/>
          <w:szCs w:val="22"/>
        </w:rPr>
        <w:t>. The role inv</w:t>
      </w:r>
      <w:r w:rsidR="006C0FD3">
        <w:rPr>
          <w:rFonts w:cs="Arial"/>
          <w:szCs w:val="22"/>
        </w:rPr>
        <w:t xml:space="preserve">olves establishing a programme </w:t>
      </w:r>
      <w:r w:rsidRPr="00F56E05">
        <w:rPr>
          <w:rFonts w:cs="Arial"/>
          <w:szCs w:val="22"/>
        </w:rPr>
        <w:t>for capital replacement of M&amp;E assets, managing consultants to produce effective property</w:t>
      </w:r>
      <w:r w:rsidR="00D93AD5" w:rsidRPr="00F56E05">
        <w:rPr>
          <w:rFonts w:cs="Arial"/>
          <w:szCs w:val="22"/>
        </w:rPr>
        <w:t>-</w:t>
      </w:r>
      <w:r w:rsidRPr="00F56E05">
        <w:rPr>
          <w:rFonts w:cs="Arial"/>
          <w:szCs w:val="22"/>
        </w:rPr>
        <w:t xml:space="preserve"> specific design and managing the delivery of </w:t>
      </w:r>
      <w:r w:rsidR="00036337">
        <w:rPr>
          <w:rFonts w:cs="Arial"/>
          <w:szCs w:val="22"/>
        </w:rPr>
        <w:t>the</w:t>
      </w:r>
      <w:r w:rsidRPr="00F56E05">
        <w:rPr>
          <w:rFonts w:cs="Arial"/>
          <w:szCs w:val="22"/>
        </w:rPr>
        <w:t xml:space="preserve"> works via the Council’s appointed cont</w:t>
      </w:r>
      <w:r w:rsidR="00D93AD5" w:rsidRPr="00F56E05">
        <w:rPr>
          <w:rFonts w:cs="Arial"/>
          <w:szCs w:val="22"/>
        </w:rPr>
        <w:t>r</w:t>
      </w:r>
      <w:r w:rsidRPr="00F56E05">
        <w:rPr>
          <w:rFonts w:cs="Arial"/>
          <w:szCs w:val="22"/>
        </w:rPr>
        <w:t>actors</w:t>
      </w:r>
      <w:r w:rsidR="00D93AD5">
        <w:rPr>
          <w:rFonts w:cs="Arial"/>
          <w:i/>
          <w:szCs w:val="22"/>
        </w:rPr>
        <w:t xml:space="preserve">. It includes engagement/consultation with residents and TRAs, local members and regulatory bodies such as building control and planning </w:t>
      </w:r>
      <w:r>
        <w:rPr>
          <w:rFonts w:cs="Arial"/>
          <w:i/>
          <w:szCs w:val="22"/>
        </w:rPr>
        <w:t xml:space="preserve">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4C5037"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A86472" w:rsidRPr="0069405C" w:rsidRDefault="00A86472" w:rsidP="00EB687D">
      <w:pPr>
        <w:rPr>
          <w:rFonts w:cs="Arial"/>
          <w:i/>
          <w:szCs w:val="22"/>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4"/>
      </w:tblGrid>
      <w:tr w:rsidR="00A86472" w:rsidRPr="00A86472" w:rsidTr="004B4FEB">
        <w:trPr>
          <w:trHeight w:val="441"/>
        </w:trPr>
        <w:tc>
          <w:tcPr>
            <w:tcW w:w="14174" w:type="dxa"/>
            <w:tcBorders>
              <w:top w:val="nil"/>
              <w:bottom w:val="single" w:sz="4" w:space="0" w:color="A6A6A6" w:themeColor="background1" w:themeShade="A6"/>
            </w:tcBorders>
            <w:shd w:val="clear" w:color="auto" w:fill="F2F2F2" w:themeFill="background1" w:themeFillShade="F2"/>
            <w:vAlign w:val="center"/>
          </w:tcPr>
          <w:p w:rsidR="00A86472" w:rsidRPr="00A86472" w:rsidRDefault="00A86472" w:rsidP="00A86472">
            <w:pPr>
              <w:rPr>
                <w:rFonts w:cs="Arial"/>
                <w:b/>
                <w:szCs w:val="22"/>
              </w:rPr>
            </w:pPr>
            <w:r w:rsidRPr="00A86472">
              <w:rPr>
                <w:rFonts w:cs="Arial"/>
                <w:b/>
                <w:szCs w:val="22"/>
              </w:rPr>
              <w:t xml:space="preserve">Providing Expert Advice </w:t>
            </w:r>
          </w:p>
        </w:tc>
      </w:tr>
    </w:tbl>
    <w:p w:rsidR="00A86472" w:rsidRPr="00A86472" w:rsidRDefault="00A86472" w:rsidP="00A86472">
      <w:pPr>
        <w:spacing w:after="200"/>
        <w:rPr>
          <w:rFonts w:eastAsiaTheme="minorHAnsi" w:cs="Arial"/>
          <w:szCs w:val="22"/>
          <w:lang w:eastAsia="en-US"/>
        </w:rPr>
      </w:pPr>
      <w:r w:rsidRPr="00A86472">
        <w:rPr>
          <w:rFonts w:eastAsiaTheme="minorHAnsi" w:cs="Arial"/>
          <w:szCs w:val="22"/>
          <w:lang w:eastAsia="en-US"/>
        </w:rPr>
        <w:t>Providing expert technical advice to staff across the organisation on a range of matters (for example procurement, building control and development of regeneration projects) to ensure the highest standards of design, construction and maintenance are achieved.  Participating in organisation working and steering groups to contribute to the resolution of complex property related issues.  Providing expertise in the diagnosis and resolution of complex problems to inform appropriate solutions.  Interpreting and advising on contractual and other legal documentation to ensure compliance with contractual and other obligations.  Working closely with other Council staff on consultation and engagement activities (for example estate regeneration schemes) to ensure these are carried out effectively.</w:t>
      </w:r>
    </w:p>
    <w:tbl>
      <w:tblPr>
        <w:tblStyle w:val="TableGrid2"/>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4"/>
      </w:tblGrid>
      <w:tr w:rsidR="00A86472" w:rsidRPr="00A86472" w:rsidTr="004B4FEB">
        <w:trPr>
          <w:trHeight w:val="441"/>
        </w:trPr>
        <w:tc>
          <w:tcPr>
            <w:tcW w:w="14174" w:type="dxa"/>
            <w:tcBorders>
              <w:top w:val="nil"/>
              <w:bottom w:val="single" w:sz="4" w:space="0" w:color="A6A6A6" w:themeColor="background1" w:themeShade="A6"/>
            </w:tcBorders>
            <w:shd w:val="clear" w:color="auto" w:fill="F2F2F2" w:themeFill="background1" w:themeFillShade="F2"/>
            <w:vAlign w:val="center"/>
          </w:tcPr>
          <w:p w:rsidR="00A86472" w:rsidRPr="00A86472" w:rsidRDefault="00A86472" w:rsidP="00A86472">
            <w:pPr>
              <w:rPr>
                <w:rFonts w:cs="Arial"/>
                <w:b/>
                <w:szCs w:val="22"/>
              </w:rPr>
            </w:pPr>
            <w:r w:rsidRPr="00A86472">
              <w:rPr>
                <w:rFonts w:cs="Arial"/>
                <w:b/>
                <w:szCs w:val="22"/>
              </w:rPr>
              <w:t>Managing Contracts</w:t>
            </w:r>
          </w:p>
        </w:tc>
      </w:tr>
    </w:tbl>
    <w:p w:rsidR="00A86472" w:rsidRPr="00A86472" w:rsidRDefault="00A86472" w:rsidP="00A86472">
      <w:pPr>
        <w:spacing w:after="200" w:line="276" w:lineRule="auto"/>
        <w:rPr>
          <w:rFonts w:eastAsiaTheme="minorHAnsi" w:cs="Arial"/>
          <w:szCs w:val="22"/>
          <w:lang w:eastAsia="en-US"/>
        </w:rPr>
      </w:pPr>
      <w:r w:rsidRPr="00A86472">
        <w:rPr>
          <w:rFonts w:eastAsiaTheme="minorHAnsi" w:cs="Arial"/>
          <w:szCs w:val="22"/>
          <w:lang w:eastAsia="en-US"/>
        </w:rPr>
        <w:t xml:space="preserve">Managing contracts, carrying out inspections, audits and other spot checks to ensure work is carried out in line with relevant legislation and quality standards and meets specified requirements.   </w:t>
      </w:r>
    </w:p>
    <w:tbl>
      <w:tblPr>
        <w:tblStyle w:val="TableGrid3"/>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4"/>
      </w:tblGrid>
      <w:tr w:rsidR="00A86472" w:rsidRPr="00A86472" w:rsidTr="004B4FEB">
        <w:trPr>
          <w:trHeight w:val="441"/>
        </w:trPr>
        <w:tc>
          <w:tcPr>
            <w:tcW w:w="14174" w:type="dxa"/>
            <w:tcBorders>
              <w:top w:val="nil"/>
              <w:bottom w:val="single" w:sz="4" w:space="0" w:color="A6A6A6" w:themeColor="background1" w:themeShade="A6"/>
            </w:tcBorders>
            <w:shd w:val="clear" w:color="auto" w:fill="F2F2F2" w:themeFill="background1" w:themeFillShade="F2"/>
            <w:vAlign w:val="center"/>
          </w:tcPr>
          <w:p w:rsidR="00A86472" w:rsidRPr="00A86472" w:rsidRDefault="00A86472" w:rsidP="00A86472">
            <w:pPr>
              <w:rPr>
                <w:rFonts w:cs="Arial"/>
                <w:szCs w:val="22"/>
              </w:rPr>
            </w:pPr>
            <w:r w:rsidRPr="00A86472">
              <w:rPr>
                <w:rFonts w:cs="Arial"/>
                <w:b/>
                <w:szCs w:val="22"/>
              </w:rPr>
              <w:lastRenderedPageBreak/>
              <w:t xml:space="preserve">Property Management </w:t>
            </w:r>
          </w:p>
        </w:tc>
      </w:tr>
    </w:tbl>
    <w:p w:rsidR="00A86472" w:rsidRPr="00A86472" w:rsidRDefault="00A86472" w:rsidP="00A86472">
      <w:pPr>
        <w:spacing w:after="200" w:line="276" w:lineRule="auto"/>
        <w:rPr>
          <w:rFonts w:eastAsiaTheme="minorHAnsi" w:cs="Arial"/>
          <w:szCs w:val="22"/>
          <w:lang w:eastAsia="en-US"/>
        </w:rPr>
      </w:pPr>
      <w:r>
        <w:rPr>
          <w:rFonts w:eastAsiaTheme="minorHAnsi" w:cs="Arial"/>
          <w:szCs w:val="22"/>
          <w:lang w:eastAsia="en-US"/>
        </w:rPr>
        <w:t xml:space="preserve">Ensure that other elements of </w:t>
      </w:r>
      <w:r w:rsidR="00690D67">
        <w:rPr>
          <w:rFonts w:eastAsiaTheme="minorHAnsi" w:cs="Arial"/>
          <w:szCs w:val="22"/>
          <w:lang w:eastAsia="en-US"/>
        </w:rPr>
        <w:t>t</w:t>
      </w:r>
      <w:r>
        <w:rPr>
          <w:rFonts w:eastAsiaTheme="minorHAnsi" w:cs="Arial"/>
          <w:szCs w:val="22"/>
          <w:lang w:eastAsia="en-US"/>
        </w:rPr>
        <w:t>he building are not compromised by the capital works –e.g. fire compartmentation</w:t>
      </w:r>
      <w:r w:rsidR="00036337">
        <w:rPr>
          <w:rFonts w:eastAsiaTheme="minorHAnsi" w:cs="Arial"/>
          <w:szCs w:val="22"/>
          <w:lang w:eastAsia="en-US"/>
        </w:rPr>
        <w:t>.</w:t>
      </w:r>
      <w:r>
        <w:rPr>
          <w:rFonts w:eastAsiaTheme="minorHAnsi" w:cs="Arial"/>
          <w:szCs w:val="22"/>
          <w:lang w:eastAsia="en-US"/>
        </w:rPr>
        <w:t xml:space="preserve"> </w:t>
      </w:r>
      <w:r w:rsidRPr="00A86472">
        <w:rPr>
          <w:rFonts w:eastAsiaTheme="minorHAnsi" w:cs="Arial"/>
          <w:szCs w:val="22"/>
          <w:lang w:eastAsia="en-US"/>
        </w:rPr>
        <w:t xml:space="preserve">Managing a range of activities (for example investigations into accidents) for a portfolio of Council properties to ensure they are effectively managed and maintained to a high standard and health, safety and environmental issues are addressed.  </w:t>
      </w:r>
    </w:p>
    <w:tbl>
      <w:tblPr>
        <w:tblStyle w:val="TableGrid4"/>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4"/>
      </w:tblGrid>
      <w:tr w:rsidR="00A86472" w:rsidRPr="00A86472" w:rsidTr="004B4FEB">
        <w:trPr>
          <w:trHeight w:val="441"/>
        </w:trPr>
        <w:tc>
          <w:tcPr>
            <w:tcW w:w="14174" w:type="dxa"/>
            <w:tcBorders>
              <w:top w:val="nil"/>
              <w:bottom w:val="single" w:sz="4" w:space="0" w:color="A6A6A6" w:themeColor="background1" w:themeShade="A6"/>
            </w:tcBorders>
            <w:shd w:val="clear" w:color="auto" w:fill="F2F2F2" w:themeFill="background1" w:themeFillShade="F2"/>
            <w:vAlign w:val="center"/>
          </w:tcPr>
          <w:p w:rsidR="00A86472" w:rsidRPr="00A86472" w:rsidRDefault="00A86472" w:rsidP="00A86472">
            <w:pPr>
              <w:rPr>
                <w:rFonts w:cs="Arial"/>
                <w:szCs w:val="22"/>
              </w:rPr>
            </w:pPr>
            <w:r w:rsidRPr="00A86472">
              <w:rPr>
                <w:rFonts w:cs="Arial"/>
                <w:b/>
                <w:szCs w:val="22"/>
              </w:rPr>
              <w:t>Inspecting, Testing and Measuring</w:t>
            </w:r>
          </w:p>
        </w:tc>
      </w:tr>
    </w:tbl>
    <w:p w:rsidR="00A86472" w:rsidRDefault="00A86472" w:rsidP="00A86472">
      <w:pPr>
        <w:spacing w:after="200" w:line="276" w:lineRule="auto"/>
        <w:rPr>
          <w:rFonts w:eastAsiaTheme="minorHAnsi" w:cs="Arial"/>
          <w:szCs w:val="22"/>
          <w:lang w:eastAsia="en-US"/>
        </w:rPr>
      </w:pPr>
      <w:r w:rsidRPr="00A86472">
        <w:rPr>
          <w:rFonts w:eastAsiaTheme="minorHAnsi" w:cs="Arial"/>
          <w:szCs w:val="22"/>
          <w:lang w:eastAsia="en-US"/>
        </w:rPr>
        <w:t>Carrying out inspections of works to establish whether this is in line with specified requirements, quality standards and relevant legislation.  Identifying issues (for example non-compliance with regulations) and making recommendations and/or instructions to ensure appropriate actions are taken.</w:t>
      </w:r>
    </w:p>
    <w:p w:rsidR="00A86472" w:rsidRDefault="00A86472" w:rsidP="00A86472">
      <w:pPr>
        <w:spacing w:after="200" w:line="276" w:lineRule="auto"/>
        <w:rPr>
          <w:rFonts w:eastAsiaTheme="minorHAnsi" w:cs="Arial"/>
          <w:szCs w:val="22"/>
          <w:lang w:eastAsia="en-US"/>
        </w:rPr>
      </w:pPr>
    </w:p>
    <w:tbl>
      <w:tblPr>
        <w:tblStyle w:val="TableGrid5"/>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4"/>
      </w:tblGrid>
      <w:tr w:rsidR="00A86472" w:rsidRPr="00A86472" w:rsidTr="004B4FEB">
        <w:trPr>
          <w:trHeight w:val="441"/>
        </w:trPr>
        <w:tc>
          <w:tcPr>
            <w:tcW w:w="14174" w:type="dxa"/>
            <w:tcBorders>
              <w:top w:val="nil"/>
              <w:bottom w:val="single" w:sz="4" w:space="0" w:color="A6A6A6" w:themeColor="background1" w:themeShade="A6"/>
            </w:tcBorders>
            <w:shd w:val="clear" w:color="auto" w:fill="F2F2F2" w:themeFill="background1" w:themeFillShade="F2"/>
            <w:vAlign w:val="center"/>
          </w:tcPr>
          <w:p w:rsidR="00A86472" w:rsidRPr="00A86472" w:rsidRDefault="00A86472" w:rsidP="00A86472">
            <w:pPr>
              <w:rPr>
                <w:rFonts w:cs="Arial"/>
                <w:szCs w:val="22"/>
              </w:rPr>
            </w:pPr>
            <w:r w:rsidRPr="00A86472">
              <w:rPr>
                <w:rFonts w:cs="Arial"/>
                <w:b/>
                <w:szCs w:val="22"/>
              </w:rPr>
              <w:t>Specifying and Documenting Requirements</w:t>
            </w:r>
          </w:p>
        </w:tc>
      </w:tr>
    </w:tbl>
    <w:p w:rsidR="00A86472" w:rsidRPr="00A86472" w:rsidRDefault="00A86472" w:rsidP="00A86472">
      <w:pPr>
        <w:tabs>
          <w:tab w:val="left" w:pos="3870"/>
        </w:tabs>
        <w:spacing w:after="200" w:line="276" w:lineRule="auto"/>
        <w:rPr>
          <w:rFonts w:eastAsiaTheme="minorHAnsi" w:cs="Arial"/>
          <w:szCs w:val="22"/>
          <w:lang w:eastAsia="en-US"/>
        </w:rPr>
      </w:pPr>
      <w:r w:rsidRPr="00A86472">
        <w:rPr>
          <w:rFonts w:eastAsiaTheme="minorHAnsi" w:cs="Arial"/>
          <w:szCs w:val="22"/>
          <w:lang w:eastAsia="en-US"/>
        </w:rPr>
        <w:t>Designing and preparing work plans, financial appraisals and working practices including advice on construction problems to inform bids, consultation with stakeholders and development of policy and strategy.</w:t>
      </w:r>
    </w:p>
    <w:tbl>
      <w:tblPr>
        <w:tblStyle w:val="TableGrid5"/>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4"/>
      </w:tblGrid>
      <w:tr w:rsidR="00A86472" w:rsidRPr="00A86472" w:rsidTr="004B4FEB">
        <w:trPr>
          <w:trHeight w:val="441"/>
        </w:trPr>
        <w:tc>
          <w:tcPr>
            <w:tcW w:w="14174" w:type="dxa"/>
            <w:tcBorders>
              <w:top w:val="nil"/>
              <w:bottom w:val="single" w:sz="4" w:space="0" w:color="A6A6A6" w:themeColor="background1" w:themeShade="A6"/>
            </w:tcBorders>
            <w:shd w:val="clear" w:color="auto" w:fill="F2F2F2" w:themeFill="background1" w:themeFillShade="F2"/>
            <w:vAlign w:val="center"/>
          </w:tcPr>
          <w:p w:rsidR="00A86472" w:rsidRPr="00A86472" w:rsidRDefault="00A86472" w:rsidP="00A86472">
            <w:pPr>
              <w:rPr>
                <w:rFonts w:cs="Arial"/>
                <w:szCs w:val="22"/>
              </w:rPr>
            </w:pPr>
            <w:r w:rsidRPr="00A86472">
              <w:rPr>
                <w:rFonts w:cs="Arial"/>
                <w:b/>
                <w:szCs w:val="22"/>
              </w:rPr>
              <w:t>Managing Projects</w:t>
            </w:r>
          </w:p>
        </w:tc>
      </w:tr>
    </w:tbl>
    <w:p w:rsidR="00A86472" w:rsidRPr="00A86472" w:rsidRDefault="00A86472" w:rsidP="00A86472">
      <w:pPr>
        <w:spacing w:after="200" w:line="276" w:lineRule="auto"/>
        <w:rPr>
          <w:rFonts w:eastAsiaTheme="minorHAnsi" w:cs="Arial"/>
          <w:szCs w:val="22"/>
          <w:lang w:eastAsia="en-US"/>
        </w:rPr>
      </w:pPr>
      <w:r w:rsidRPr="00A86472">
        <w:rPr>
          <w:rFonts w:eastAsiaTheme="minorHAnsi" w:cs="Arial"/>
          <w:szCs w:val="22"/>
          <w:lang w:eastAsia="en-US"/>
        </w:rPr>
        <w:t>Managing or supporting one or more projects, ensuring project team members and stakeholders are managed effectively in order that projects are delivered on time and in line with objectives.</w:t>
      </w:r>
    </w:p>
    <w:tbl>
      <w:tblPr>
        <w:tblStyle w:val="TableGrid5"/>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74"/>
      </w:tblGrid>
      <w:tr w:rsidR="00A86472" w:rsidRPr="00A86472" w:rsidTr="004B4FEB">
        <w:trPr>
          <w:trHeight w:val="441"/>
        </w:trPr>
        <w:tc>
          <w:tcPr>
            <w:tcW w:w="14174" w:type="dxa"/>
            <w:tcBorders>
              <w:top w:val="nil"/>
              <w:bottom w:val="single" w:sz="4" w:space="0" w:color="A6A6A6" w:themeColor="background1" w:themeShade="A6"/>
            </w:tcBorders>
            <w:shd w:val="clear" w:color="auto" w:fill="F2F2F2" w:themeFill="background1" w:themeFillShade="F2"/>
            <w:vAlign w:val="center"/>
          </w:tcPr>
          <w:p w:rsidR="00A86472" w:rsidRPr="00A86472" w:rsidRDefault="00A86472" w:rsidP="00A86472">
            <w:pPr>
              <w:rPr>
                <w:rFonts w:cs="Arial"/>
                <w:szCs w:val="22"/>
              </w:rPr>
            </w:pPr>
            <w:r w:rsidRPr="00A86472">
              <w:rPr>
                <w:rFonts w:cs="Arial"/>
                <w:b/>
                <w:szCs w:val="22"/>
              </w:rPr>
              <w:t>Process Improvement</w:t>
            </w:r>
          </w:p>
        </w:tc>
      </w:tr>
    </w:tbl>
    <w:p w:rsidR="00A86472" w:rsidRPr="00A86472" w:rsidRDefault="00A86472" w:rsidP="00A86472">
      <w:pPr>
        <w:spacing w:after="200" w:line="276" w:lineRule="auto"/>
        <w:rPr>
          <w:rFonts w:eastAsiaTheme="minorHAnsi" w:cs="Arial"/>
          <w:b/>
          <w:szCs w:val="22"/>
          <w:lang w:eastAsia="en-US"/>
        </w:rPr>
      </w:pPr>
      <w:r w:rsidRPr="00A86472">
        <w:rPr>
          <w:rFonts w:eastAsiaTheme="minorHAnsi" w:cs="Arial"/>
          <w:szCs w:val="22"/>
          <w:lang w:eastAsia="en-US"/>
        </w:rPr>
        <w:t xml:space="preserve">Reviewing existing practices, processes and policies in line with changing requirements to identify and recommend changes in order to improve service delivery.  </w:t>
      </w:r>
    </w:p>
    <w:p w:rsidR="00F56E05" w:rsidRDefault="005C5E2C" w:rsidP="00A86472">
      <w:pPr>
        <w:spacing w:after="200" w:line="276" w:lineRule="auto"/>
        <w:rPr>
          <w:rFonts w:eastAsiaTheme="minorHAnsi" w:cs="Arial"/>
          <w:b/>
          <w:szCs w:val="22"/>
          <w:lang w:eastAsia="en-US"/>
        </w:rPr>
      </w:pPr>
      <w:r>
        <w:rPr>
          <w:rFonts w:eastAsiaTheme="minorHAnsi" w:cs="Arial"/>
          <w:b/>
          <w:szCs w:val="22"/>
          <w:lang w:eastAsia="en-US"/>
        </w:rPr>
        <w:t>Resident engagement</w:t>
      </w:r>
    </w:p>
    <w:p w:rsidR="00EB687D" w:rsidRPr="005C5E2C" w:rsidRDefault="00F56E05" w:rsidP="00F56E05">
      <w:pPr>
        <w:spacing w:after="200" w:line="276" w:lineRule="auto"/>
        <w:rPr>
          <w:rFonts w:cs="Arial"/>
          <w:szCs w:val="22"/>
        </w:rPr>
      </w:pPr>
      <w:r w:rsidRPr="005C5E2C">
        <w:rPr>
          <w:rFonts w:eastAsiaTheme="minorHAnsi" w:cs="Arial"/>
          <w:szCs w:val="22"/>
          <w:lang w:eastAsia="en-US"/>
        </w:rPr>
        <w:t>Working clo</w:t>
      </w:r>
      <w:r w:rsidR="00690D67" w:rsidRPr="005C5E2C">
        <w:rPr>
          <w:rFonts w:eastAsiaTheme="minorHAnsi" w:cs="Arial"/>
          <w:szCs w:val="22"/>
          <w:lang w:eastAsia="en-US"/>
        </w:rPr>
        <w:t>sely with residents and members</w:t>
      </w:r>
      <w:r w:rsidRPr="005C5E2C">
        <w:rPr>
          <w:rFonts w:eastAsiaTheme="minorHAnsi" w:cs="Arial"/>
          <w:szCs w:val="22"/>
          <w:lang w:eastAsia="en-US"/>
        </w:rPr>
        <w:t xml:space="preserve"> to establish their priorities and concerns; translating these through co</w:t>
      </w:r>
      <w:r w:rsidR="00690D67" w:rsidRPr="005C5E2C">
        <w:rPr>
          <w:rFonts w:eastAsiaTheme="minorHAnsi" w:cs="Arial"/>
          <w:szCs w:val="22"/>
          <w:lang w:eastAsia="en-US"/>
        </w:rPr>
        <w:t xml:space="preserve">nsultation into scheme delivery </w:t>
      </w:r>
      <w:r w:rsidRPr="005C5E2C">
        <w:rPr>
          <w:rFonts w:eastAsiaTheme="minorHAnsi" w:cs="Arial"/>
          <w:szCs w:val="22"/>
          <w:lang w:eastAsia="en-US"/>
        </w:rPr>
        <w:t>and ensuring that the outcomes in line with the Councils expectations</w:t>
      </w:r>
      <w:r w:rsidR="00690D67" w:rsidRPr="005C5E2C">
        <w:rPr>
          <w:rFonts w:eastAsiaTheme="minorHAnsi" w:cs="Arial"/>
          <w:szCs w:val="22"/>
          <w:lang w:eastAsia="en-US"/>
        </w:rPr>
        <w:t xml:space="preserve"> in relation to health &amp; safety</w:t>
      </w:r>
      <w:r w:rsidRPr="005C5E2C">
        <w:rPr>
          <w:rFonts w:eastAsiaTheme="minorHAnsi" w:cs="Arial"/>
          <w:szCs w:val="22"/>
          <w:lang w:eastAsia="en-US"/>
        </w:rPr>
        <w:t>, quality and value for money</w:t>
      </w:r>
      <w:r w:rsidR="00690D67" w:rsidRPr="005C5E2C">
        <w:rPr>
          <w:rFonts w:eastAsiaTheme="minorHAnsi" w:cs="Arial"/>
          <w:szCs w:val="22"/>
          <w:lang w:eastAsia="en-US"/>
        </w:rPr>
        <w:t xml:space="preserve">. </w:t>
      </w:r>
    </w:p>
    <w:p w:rsidR="00EB687D" w:rsidRPr="0069405C" w:rsidRDefault="00EB687D" w:rsidP="00EB687D">
      <w:pPr>
        <w:rPr>
          <w:rFonts w:cs="Arial"/>
          <w:szCs w:val="22"/>
        </w:rPr>
      </w:pPr>
    </w:p>
    <w:p w:rsidR="00287409" w:rsidRPr="00690D67" w:rsidRDefault="00287409" w:rsidP="00EB687D">
      <w:pPr>
        <w:rPr>
          <w:rFonts w:cs="Arial"/>
          <w:szCs w:val="22"/>
        </w:rPr>
      </w:pPr>
      <w:r w:rsidRPr="0069405C">
        <w:rPr>
          <w:rFonts w:cs="Arial"/>
          <w:b/>
          <w:szCs w:val="22"/>
        </w:rPr>
        <w:t>People Management Responsibilities:</w:t>
      </w:r>
    </w:p>
    <w:p w:rsidR="00462977" w:rsidRPr="0069405C" w:rsidRDefault="00462977" w:rsidP="00EB687D">
      <w:pPr>
        <w:rPr>
          <w:rFonts w:cs="Arial"/>
          <w:i/>
          <w:szCs w:val="22"/>
        </w:rPr>
      </w:pPr>
      <w:r>
        <w:rPr>
          <w:rFonts w:cs="Arial"/>
          <w:i/>
          <w:szCs w:val="22"/>
        </w:rPr>
        <w:t>N/A</w:t>
      </w:r>
    </w:p>
    <w:p w:rsidR="00287409" w:rsidRPr="0069405C" w:rsidRDefault="00287409" w:rsidP="00EB687D">
      <w:pPr>
        <w:rPr>
          <w:rFonts w:cs="Arial"/>
          <w:szCs w:val="22"/>
        </w:rPr>
      </w:pPr>
    </w:p>
    <w:p w:rsidR="00287409" w:rsidRPr="00690D67" w:rsidRDefault="00287409" w:rsidP="00EB687D">
      <w:pPr>
        <w:rPr>
          <w:rFonts w:cs="Arial"/>
          <w:b/>
          <w:szCs w:val="22"/>
        </w:rPr>
      </w:pPr>
      <w:r w:rsidRPr="0069405C">
        <w:rPr>
          <w:rFonts w:cs="Arial"/>
          <w:b/>
          <w:szCs w:val="22"/>
        </w:rPr>
        <w:t>Relationships;</w:t>
      </w:r>
    </w:p>
    <w:p w:rsidR="00462977" w:rsidRDefault="00462977" w:rsidP="00462977">
      <w:pPr>
        <w:rPr>
          <w:rFonts w:cs="Arial"/>
          <w:szCs w:val="22"/>
        </w:rPr>
      </w:pPr>
      <w:r>
        <w:rPr>
          <w:rFonts w:cs="Arial"/>
          <w:szCs w:val="22"/>
        </w:rPr>
        <w:t>Manage, maintain and develop relationships and ensure close partnership working with key stakeholders to contribute to shared understanding and engagement to further the Council’s objectives.</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462977" w:rsidP="00EB687D">
      <w:pPr>
        <w:rPr>
          <w:rFonts w:cs="Arial"/>
          <w:i/>
          <w:szCs w:val="22"/>
        </w:rPr>
      </w:pPr>
      <w:r>
        <w:rPr>
          <w:rFonts w:cs="Arial"/>
          <w:i/>
          <w:szCs w:val="22"/>
        </w:rPr>
        <w:t>The work is both office and site based working in a typical construction environment and incl</w:t>
      </w:r>
      <w:r w:rsidR="006C0FD3">
        <w:rPr>
          <w:rFonts w:cs="Arial"/>
          <w:i/>
          <w:szCs w:val="22"/>
        </w:rPr>
        <w:t>udes noisy and dusty operations</w:t>
      </w:r>
      <w:r>
        <w:rPr>
          <w:rFonts w:cs="Arial"/>
          <w:i/>
          <w:szCs w:val="22"/>
        </w:rPr>
        <w:t>. It will also include working from time to time at height and in confined spaces such as service ducts , boiler plant rooms etc</w:t>
      </w:r>
      <w:r w:rsidR="006C0FD3">
        <w:rPr>
          <w:rFonts w:cs="Arial"/>
          <w:i/>
          <w:szCs w:val="22"/>
        </w:rPr>
        <w:t>.</w:t>
      </w:r>
      <w:r>
        <w:rPr>
          <w:rFonts w:cs="Arial"/>
          <w:i/>
          <w:szCs w:val="22"/>
        </w:rPr>
        <w:t xml:space="preserve">  </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462977" w:rsidRDefault="00462977" w:rsidP="00EB687D">
      <w:pPr>
        <w:rPr>
          <w:rFonts w:cs="Arial"/>
          <w:b/>
          <w:szCs w:val="22"/>
        </w:rPr>
      </w:pPr>
    </w:p>
    <w:p w:rsidR="00462977" w:rsidRPr="00690D67" w:rsidRDefault="00462977" w:rsidP="00462977">
      <w:pPr>
        <w:pStyle w:val="ListParagraph"/>
        <w:numPr>
          <w:ilvl w:val="0"/>
          <w:numId w:val="22"/>
        </w:numPr>
        <w:rPr>
          <w:rFonts w:cs="Arial"/>
          <w:szCs w:val="22"/>
        </w:rPr>
      </w:pPr>
      <w:r w:rsidRPr="00690D67">
        <w:rPr>
          <w:rFonts w:cs="Arial"/>
          <w:szCs w:val="22"/>
        </w:rPr>
        <w:t xml:space="preserve">Experience in mechanical and electrical systems </w:t>
      </w:r>
    </w:p>
    <w:p w:rsidR="00462977" w:rsidRPr="00690D67" w:rsidRDefault="00462977" w:rsidP="00462977">
      <w:pPr>
        <w:pStyle w:val="ListParagraph"/>
        <w:numPr>
          <w:ilvl w:val="0"/>
          <w:numId w:val="22"/>
        </w:numPr>
        <w:rPr>
          <w:rFonts w:cs="Arial"/>
          <w:szCs w:val="22"/>
        </w:rPr>
      </w:pPr>
      <w:r w:rsidRPr="00690D67">
        <w:rPr>
          <w:rFonts w:cs="Arial"/>
          <w:szCs w:val="22"/>
        </w:rPr>
        <w:t>Membership of a professional body e</w:t>
      </w:r>
      <w:r w:rsidR="00690D67">
        <w:rPr>
          <w:rFonts w:cs="Arial"/>
          <w:szCs w:val="22"/>
        </w:rPr>
        <w:t>.</w:t>
      </w:r>
      <w:r w:rsidRPr="00690D67">
        <w:rPr>
          <w:rFonts w:cs="Arial"/>
          <w:szCs w:val="22"/>
        </w:rPr>
        <w:t>g</w:t>
      </w:r>
      <w:r w:rsidR="00690D67">
        <w:rPr>
          <w:rFonts w:cs="Arial"/>
          <w:szCs w:val="22"/>
        </w:rPr>
        <w:t>.</w:t>
      </w:r>
      <w:r w:rsidRPr="00690D67">
        <w:rPr>
          <w:rFonts w:cs="Arial"/>
          <w:szCs w:val="22"/>
        </w:rPr>
        <w:t xml:space="preserve"> CIBSE is preferable</w:t>
      </w:r>
    </w:p>
    <w:p w:rsidR="00462977" w:rsidRPr="00690D67" w:rsidRDefault="00462977" w:rsidP="00462977">
      <w:pPr>
        <w:pStyle w:val="ListParagraph"/>
        <w:numPr>
          <w:ilvl w:val="0"/>
          <w:numId w:val="22"/>
        </w:numPr>
        <w:rPr>
          <w:rFonts w:cs="Arial"/>
          <w:szCs w:val="22"/>
        </w:rPr>
      </w:pPr>
      <w:r w:rsidRPr="00690D67">
        <w:rPr>
          <w:rFonts w:cs="Arial"/>
          <w:szCs w:val="22"/>
        </w:rPr>
        <w:t xml:space="preserve">Proven track record in delivering M&amp;E capital schemes </w:t>
      </w:r>
    </w:p>
    <w:p w:rsidR="00462977" w:rsidRPr="00690D67" w:rsidRDefault="00462977" w:rsidP="006C16E6">
      <w:pPr>
        <w:pStyle w:val="ListParagraph"/>
        <w:numPr>
          <w:ilvl w:val="0"/>
          <w:numId w:val="22"/>
        </w:numPr>
        <w:rPr>
          <w:rFonts w:cs="Arial"/>
          <w:szCs w:val="22"/>
        </w:rPr>
      </w:pPr>
      <w:r w:rsidRPr="00690D67">
        <w:rPr>
          <w:rFonts w:cs="Arial"/>
          <w:szCs w:val="22"/>
        </w:rPr>
        <w:t xml:space="preserve">Ability to  criticise engineering design and propose alternative solutions </w:t>
      </w:r>
    </w:p>
    <w:p w:rsidR="00462977" w:rsidRPr="00690D67" w:rsidRDefault="00462977" w:rsidP="00462977">
      <w:pPr>
        <w:pStyle w:val="ListParagraph"/>
        <w:numPr>
          <w:ilvl w:val="0"/>
          <w:numId w:val="21"/>
        </w:numPr>
        <w:rPr>
          <w:rFonts w:cs="Arial"/>
          <w:szCs w:val="22"/>
        </w:rPr>
      </w:pPr>
      <w:r w:rsidRPr="00690D67">
        <w:rPr>
          <w:rFonts w:cs="Arial"/>
          <w:szCs w:val="22"/>
        </w:rPr>
        <w:t>Ability to build positive working relationships and work in partnership with key stakeholders</w:t>
      </w:r>
    </w:p>
    <w:p w:rsidR="00462977" w:rsidRPr="00690D67" w:rsidRDefault="00462977" w:rsidP="00462977">
      <w:pPr>
        <w:pStyle w:val="ListParagraph"/>
        <w:numPr>
          <w:ilvl w:val="0"/>
          <w:numId w:val="21"/>
        </w:numPr>
        <w:rPr>
          <w:rFonts w:cs="Arial"/>
          <w:szCs w:val="22"/>
        </w:rPr>
      </w:pPr>
      <w:r w:rsidRPr="00690D67">
        <w:rPr>
          <w:rFonts w:cs="Arial"/>
          <w:szCs w:val="22"/>
        </w:rPr>
        <w:t>Highly developed verbal and written communication skills</w:t>
      </w:r>
    </w:p>
    <w:p w:rsidR="00462977" w:rsidRPr="00690D67" w:rsidRDefault="00462977" w:rsidP="00462977">
      <w:pPr>
        <w:pStyle w:val="ListParagraph"/>
        <w:numPr>
          <w:ilvl w:val="0"/>
          <w:numId w:val="21"/>
        </w:numPr>
        <w:rPr>
          <w:rFonts w:cs="Arial"/>
          <w:szCs w:val="22"/>
        </w:rPr>
      </w:pPr>
      <w:r w:rsidRPr="00690D67">
        <w:rPr>
          <w:rFonts w:cs="Arial"/>
          <w:szCs w:val="22"/>
        </w:rPr>
        <w:t>Ability to see the ‘bigger picture’ as well as attention to detail</w:t>
      </w:r>
    </w:p>
    <w:p w:rsidR="00462977" w:rsidRPr="00690D67" w:rsidRDefault="00462977" w:rsidP="00462977">
      <w:pPr>
        <w:pStyle w:val="ListParagraph"/>
        <w:numPr>
          <w:ilvl w:val="0"/>
          <w:numId w:val="21"/>
        </w:numPr>
        <w:rPr>
          <w:rFonts w:cs="Arial"/>
          <w:szCs w:val="22"/>
        </w:rPr>
      </w:pPr>
      <w:r w:rsidRPr="00690D67">
        <w:rPr>
          <w:rFonts w:cs="Arial"/>
          <w:szCs w:val="22"/>
        </w:rPr>
        <w:t xml:space="preserve">Evidence of business acumen </w:t>
      </w:r>
    </w:p>
    <w:p w:rsidR="00462977" w:rsidRPr="00690D67" w:rsidRDefault="00462977" w:rsidP="00462977">
      <w:pPr>
        <w:pStyle w:val="ListParagraph"/>
        <w:numPr>
          <w:ilvl w:val="0"/>
          <w:numId w:val="21"/>
        </w:numPr>
        <w:rPr>
          <w:rFonts w:cs="Arial"/>
          <w:szCs w:val="22"/>
        </w:rPr>
      </w:pPr>
      <w:r w:rsidRPr="00690D67">
        <w:rPr>
          <w:rFonts w:cs="Arial"/>
          <w:szCs w:val="22"/>
        </w:rPr>
        <w:t>Budgetary and financial management awareness.</w:t>
      </w:r>
    </w:p>
    <w:p w:rsidR="00462977" w:rsidRPr="00462977" w:rsidRDefault="00462977" w:rsidP="00462977">
      <w:pPr>
        <w:rPr>
          <w:rFonts w:cs="Arial"/>
          <w:b/>
          <w:szCs w:val="22"/>
        </w:rPr>
      </w:pPr>
    </w:p>
    <w:p w:rsidR="004C5037" w:rsidRDefault="004C5037" w:rsidP="00EB687D">
      <w:pPr>
        <w:rPr>
          <w:rFonts w:cs="Arial"/>
          <w:b/>
          <w:szCs w:val="22"/>
        </w:rPr>
      </w:pPr>
    </w:p>
    <w:p w:rsidR="004C5037" w:rsidRDefault="004C5037" w:rsidP="00EB687D">
      <w:pPr>
        <w:rPr>
          <w:rFonts w:cs="Arial"/>
          <w:b/>
          <w:szCs w:val="22"/>
        </w:rPr>
      </w:pPr>
    </w:p>
    <w:p w:rsidR="004C5037" w:rsidRDefault="004C5037" w:rsidP="00EB687D">
      <w:pPr>
        <w:rPr>
          <w:rFonts w:cs="Arial"/>
          <w:b/>
          <w:szCs w:val="22"/>
        </w:rPr>
      </w:pPr>
    </w:p>
    <w:p w:rsidR="004C5037" w:rsidRDefault="004C5037" w:rsidP="00EB687D">
      <w:pPr>
        <w:rPr>
          <w:rFonts w:cs="Arial"/>
          <w:b/>
          <w:szCs w:val="22"/>
        </w:rPr>
      </w:pPr>
    </w:p>
    <w:p w:rsidR="004C5037" w:rsidRDefault="004C5037" w:rsidP="00EB687D">
      <w:pPr>
        <w:rPr>
          <w:rFonts w:cs="Arial"/>
          <w:b/>
          <w:szCs w:val="22"/>
        </w:rPr>
      </w:pPr>
    </w:p>
    <w:p w:rsidR="00EB687D" w:rsidRPr="0069405C" w:rsidRDefault="00740DC5" w:rsidP="00EB687D">
      <w:pPr>
        <w:rPr>
          <w:rFonts w:cs="Arial"/>
          <w:b/>
          <w:szCs w:val="22"/>
        </w:rPr>
      </w:pPr>
      <w:r w:rsidRPr="0069405C">
        <w:rPr>
          <w:rFonts w:cs="Arial"/>
          <w:b/>
          <w:szCs w:val="22"/>
        </w:rPr>
        <w:lastRenderedPageBreak/>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1B3CEF"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bookmarkStart w:id="0" w:name="_GoBack"/>
    </w:p>
    <w:bookmarkEnd w:id="0"/>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E1" w:rsidRDefault="006F4CE1">
      <w:r>
        <w:separator/>
      </w:r>
    </w:p>
  </w:endnote>
  <w:endnote w:type="continuationSeparator" w:id="0">
    <w:p w:rsidR="006F4CE1" w:rsidRDefault="006F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E1" w:rsidRDefault="006F4CE1">
      <w:r>
        <w:separator/>
      </w:r>
    </w:p>
  </w:footnote>
  <w:footnote w:type="continuationSeparator" w:id="0">
    <w:p w:rsidR="006F4CE1" w:rsidRDefault="006F4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8F492D"/>
    <w:multiLevelType w:val="hybridMultilevel"/>
    <w:tmpl w:val="F6BC0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3213139"/>
    <w:multiLevelType w:val="hybridMultilevel"/>
    <w:tmpl w:val="394E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0"/>
  </w:num>
  <w:num w:numId="5">
    <w:abstractNumId w:val="1"/>
  </w:num>
  <w:num w:numId="6">
    <w:abstractNumId w:val="6"/>
  </w:num>
  <w:num w:numId="7">
    <w:abstractNumId w:val="18"/>
  </w:num>
  <w:num w:numId="8">
    <w:abstractNumId w:val="13"/>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 w:numId="2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32DD"/>
    <w:rsid w:val="0001443D"/>
    <w:rsid w:val="00025E1E"/>
    <w:rsid w:val="00031871"/>
    <w:rsid w:val="00032961"/>
    <w:rsid w:val="00033D26"/>
    <w:rsid w:val="0003541C"/>
    <w:rsid w:val="0003593C"/>
    <w:rsid w:val="00035C8F"/>
    <w:rsid w:val="00035E7B"/>
    <w:rsid w:val="00036337"/>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A4961"/>
    <w:rsid w:val="001B3CEF"/>
    <w:rsid w:val="001E0218"/>
    <w:rsid w:val="001F178A"/>
    <w:rsid w:val="00206A7F"/>
    <w:rsid w:val="002276F6"/>
    <w:rsid w:val="002335E9"/>
    <w:rsid w:val="00241AA7"/>
    <w:rsid w:val="00253840"/>
    <w:rsid w:val="00253888"/>
    <w:rsid w:val="0026753A"/>
    <w:rsid w:val="0028120E"/>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2977"/>
    <w:rsid w:val="00465945"/>
    <w:rsid w:val="00482BEE"/>
    <w:rsid w:val="00493519"/>
    <w:rsid w:val="004B3955"/>
    <w:rsid w:val="004B6948"/>
    <w:rsid w:val="004C1DAF"/>
    <w:rsid w:val="004C5037"/>
    <w:rsid w:val="004C6BA6"/>
    <w:rsid w:val="004E4337"/>
    <w:rsid w:val="0050456B"/>
    <w:rsid w:val="005047B8"/>
    <w:rsid w:val="00505AA1"/>
    <w:rsid w:val="00505C34"/>
    <w:rsid w:val="005149FA"/>
    <w:rsid w:val="005208A4"/>
    <w:rsid w:val="00522E90"/>
    <w:rsid w:val="00523105"/>
    <w:rsid w:val="00531B10"/>
    <w:rsid w:val="00545AAE"/>
    <w:rsid w:val="0054661D"/>
    <w:rsid w:val="005514E7"/>
    <w:rsid w:val="00553E58"/>
    <w:rsid w:val="00555816"/>
    <w:rsid w:val="0055789D"/>
    <w:rsid w:val="0057212B"/>
    <w:rsid w:val="00573899"/>
    <w:rsid w:val="005925B0"/>
    <w:rsid w:val="005A3A8C"/>
    <w:rsid w:val="005A45A7"/>
    <w:rsid w:val="005C3345"/>
    <w:rsid w:val="005C5E2C"/>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0D67"/>
    <w:rsid w:val="0069405C"/>
    <w:rsid w:val="0069687E"/>
    <w:rsid w:val="006A2594"/>
    <w:rsid w:val="006A2E10"/>
    <w:rsid w:val="006A3F5E"/>
    <w:rsid w:val="006B09FA"/>
    <w:rsid w:val="006B4C20"/>
    <w:rsid w:val="006B4E04"/>
    <w:rsid w:val="006C0FD3"/>
    <w:rsid w:val="006D489C"/>
    <w:rsid w:val="006E3B3B"/>
    <w:rsid w:val="006E74E4"/>
    <w:rsid w:val="006F1C6A"/>
    <w:rsid w:val="006F4CE1"/>
    <w:rsid w:val="007025D2"/>
    <w:rsid w:val="007123F8"/>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6472"/>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2CB7"/>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93AD5"/>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5B2"/>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6E05"/>
    <w:rsid w:val="00F570AC"/>
    <w:rsid w:val="00F66385"/>
    <w:rsid w:val="00F71567"/>
    <w:rsid w:val="00F75C67"/>
    <w:rsid w:val="00F90AB8"/>
    <w:rsid w:val="00F92B55"/>
    <w:rsid w:val="00FB4C65"/>
    <w:rsid w:val="00FB5816"/>
    <w:rsid w:val="00FB7691"/>
    <w:rsid w:val="00FC01E3"/>
    <w:rsid w:val="00FC3BA7"/>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table" w:customStyle="1" w:styleId="TableGrid1">
    <w:name w:val="Table Grid1"/>
    <w:basedOn w:val="TableNormal"/>
    <w:next w:val="TableGrid"/>
    <w:uiPriority w:val="59"/>
    <w:rsid w:val="00A8647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647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647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647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47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3791">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787">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43490-8E0A-4664-8D84-387E3957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4928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2018-05-23T11:56:00Z</dcterms:created>
  <dcterms:modified xsi:type="dcterms:W3CDTF">2018-05-23T11:56:00Z</dcterms:modified>
</cp:coreProperties>
</file>