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2717B5">
        <w:rPr>
          <w:rFonts w:cs="Arial"/>
          <w:b/>
          <w:szCs w:val="22"/>
        </w:rPr>
        <w:t>Employee Relations and Policy Manager</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2717B5">
        <w:rPr>
          <w:rFonts w:cs="Arial"/>
          <w:b/>
          <w:i/>
          <w:szCs w:val="22"/>
        </w:rPr>
        <w:t xml:space="preserve">Employee Relations and Policy Manager </w:t>
      </w:r>
      <w:r w:rsidRPr="0069405C">
        <w:rPr>
          <w:rFonts w:cs="Arial"/>
          <w:b/>
          <w:szCs w:val="22"/>
        </w:rPr>
        <w:t xml:space="preserve">is for guidance and must be used in conjunction with the Job Capsule for </w:t>
      </w:r>
    </w:p>
    <w:p w:rsidR="001362D5" w:rsidRPr="0069405C" w:rsidRDefault="001362D5" w:rsidP="007A6B99">
      <w:pPr>
        <w:rPr>
          <w:rFonts w:cs="Arial"/>
          <w:b/>
          <w:szCs w:val="22"/>
        </w:rPr>
      </w:pPr>
      <w:r w:rsidRPr="0069405C">
        <w:rPr>
          <w:rFonts w:cs="Arial"/>
          <w:b/>
          <w:szCs w:val="22"/>
        </w:rPr>
        <w:t>L</w:t>
      </w:r>
      <w:r w:rsidR="002717B5">
        <w:rPr>
          <w:rFonts w:cs="Arial"/>
          <w:b/>
          <w:szCs w:val="22"/>
        </w:rPr>
        <w:t>evel 5</w:t>
      </w:r>
      <w:r w:rsidR="002F24FA">
        <w:rPr>
          <w:rFonts w:cs="Arial"/>
          <w:b/>
          <w:szCs w:val="22"/>
        </w:rPr>
        <w:t xml:space="preserve">, </w:t>
      </w:r>
      <w:r w:rsidR="002717B5">
        <w:rPr>
          <w:rFonts w:cs="Arial"/>
          <w:b/>
          <w:szCs w:val="22"/>
        </w:rPr>
        <w:t>Zone 2</w:t>
      </w:r>
      <w:r w:rsidR="002F24FA">
        <w:rPr>
          <w:rFonts w:cs="Arial"/>
          <w:b/>
          <w:szCs w:val="22"/>
        </w:rPr>
        <w:t>,</w:t>
      </w:r>
      <w:r w:rsidR="007A6B99" w:rsidRPr="0069405C">
        <w:rPr>
          <w:rFonts w:cs="Arial"/>
          <w:b/>
          <w:szCs w:val="22"/>
        </w:rPr>
        <w:t xml:space="preserve"> </w:t>
      </w:r>
      <w:r w:rsidR="006A2594">
        <w:rPr>
          <w:rFonts w:cs="Arial"/>
          <w:b/>
          <w:szCs w:val="22"/>
        </w:rPr>
        <w:t>Camden Way Category</w:t>
      </w:r>
      <w:r w:rsidR="003700C9">
        <w:rPr>
          <w:rFonts w:cs="Arial"/>
          <w:b/>
          <w:szCs w:val="22"/>
        </w:rPr>
        <w:t xml:space="preserve"> </w:t>
      </w:r>
      <w:r w:rsidR="002717B5">
        <w:rPr>
          <w:rFonts w:cs="Arial"/>
          <w:b/>
          <w:szCs w:val="22"/>
        </w:rPr>
        <w:t>4</w:t>
      </w:r>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w:t>
      </w:r>
      <w:bookmarkStart w:id="0" w:name="_GoBack"/>
      <w:bookmarkEnd w:id="0"/>
      <w:r w:rsidR="007A6B99" w:rsidRPr="0069405C">
        <w:rPr>
          <w:rFonts w:cs="Arial"/>
          <w:b/>
          <w:color w:val="FF0000"/>
          <w:szCs w:val="22"/>
        </w:rPr>
        <w:t xml:space="preserve">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Pr="0069405C"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2717B5" w:rsidRDefault="002717B5" w:rsidP="002717B5">
      <w:pPr>
        <w:rPr>
          <w:rFonts w:cs="Arial"/>
          <w:szCs w:val="22"/>
        </w:rPr>
      </w:pPr>
    </w:p>
    <w:p w:rsidR="002717B5" w:rsidRPr="002717B5" w:rsidRDefault="002717B5" w:rsidP="002717B5">
      <w:pPr>
        <w:rPr>
          <w:rFonts w:cs="Arial"/>
          <w:szCs w:val="22"/>
        </w:rPr>
      </w:pPr>
      <w:r w:rsidRPr="002717B5">
        <w:rPr>
          <w:rFonts w:cs="Arial"/>
          <w:szCs w:val="22"/>
        </w:rPr>
        <w:t>This role works closely with HR colleagues to implement the HR service delivery model, providing centralised specialist support in the management of employee relations and policy development.</w:t>
      </w:r>
    </w:p>
    <w:p w:rsidR="002717B5" w:rsidRPr="002717B5" w:rsidRDefault="002717B5" w:rsidP="002717B5">
      <w:pPr>
        <w:rPr>
          <w:rFonts w:cs="Arial"/>
          <w:szCs w:val="22"/>
        </w:rPr>
      </w:pPr>
      <w:r w:rsidRPr="002717B5">
        <w:rPr>
          <w:rFonts w:cs="Arial"/>
          <w:szCs w:val="22"/>
        </w:rPr>
        <w:t>The successful candidate will provide an active employee relations advisory role and will ensure the councils’ employment policies and processes are up-to-date and written in a style and format that is easy to understand and apply.</w:t>
      </w:r>
    </w:p>
    <w:p w:rsidR="002717B5" w:rsidRPr="0069405C" w:rsidRDefault="002717B5" w:rsidP="002717B5">
      <w:pPr>
        <w:rPr>
          <w:rFonts w:cs="Arial"/>
          <w:szCs w:val="22"/>
        </w:rPr>
      </w:pPr>
      <w:r w:rsidRPr="002717B5">
        <w:rPr>
          <w:rFonts w:cs="Arial"/>
          <w:szCs w:val="22"/>
        </w:rPr>
        <w:t xml:space="preserve">This opportunity suits candidates with in-depth employee relations experience, who is change aware and writes effective, simple policies and procedures in often complex subject matters.  </w:t>
      </w:r>
    </w:p>
    <w:p w:rsidR="00EB687D" w:rsidRPr="0069405C" w:rsidRDefault="00EB687D" w:rsidP="00EB687D">
      <w:pPr>
        <w:rPr>
          <w:rFonts w:cs="Arial"/>
          <w:szCs w:val="22"/>
        </w:rPr>
      </w:pPr>
    </w:p>
    <w:p w:rsidR="00EB687D" w:rsidRPr="0069405C" w:rsidRDefault="00287409" w:rsidP="00EB687D">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EB687D" w:rsidRPr="0069405C" w:rsidRDefault="00EB687D" w:rsidP="0069405C">
      <w:pPr>
        <w:rPr>
          <w:rFonts w:cs="Arial"/>
          <w:szCs w:val="22"/>
        </w:rPr>
      </w:pPr>
    </w:p>
    <w:p w:rsidR="002717B5" w:rsidRPr="002717B5" w:rsidRDefault="002717B5" w:rsidP="002717B5">
      <w:pPr>
        <w:numPr>
          <w:ilvl w:val="0"/>
          <w:numId w:val="21"/>
        </w:numPr>
        <w:rPr>
          <w:rFonts w:cs="Arial"/>
          <w:szCs w:val="22"/>
        </w:rPr>
      </w:pPr>
      <w:r w:rsidRPr="002717B5">
        <w:rPr>
          <w:rFonts w:cs="Arial"/>
          <w:szCs w:val="22"/>
        </w:rPr>
        <w:t>Ensure tactical, consistent advice in employment legislation is readily available to HR and line managers, and employment contracts, policies and terms and conditions are robust, relevant and up-to-date</w:t>
      </w:r>
    </w:p>
    <w:p w:rsidR="002717B5" w:rsidRPr="002717B5" w:rsidRDefault="002717B5" w:rsidP="002717B5">
      <w:pPr>
        <w:numPr>
          <w:ilvl w:val="0"/>
          <w:numId w:val="21"/>
        </w:numPr>
        <w:rPr>
          <w:rFonts w:cs="Arial"/>
          <w:szCs w:val="22"/>
        </w:rPr>
      </w:pPr>
      <w:r w:rsidRPr="002717B5">
        <w:rPr>
          <w:rFonts w:cs="Arial"/>
          <w:szCs w:val="22"/>
        </w:rPr>
        <w:t>Manage and strengthening the council’s relationship with its recognised Trade Unions while implementing strategies that support the delivery of the councils change objectives</w:t>
      </w:r>
    </w:p>
    <w:p w:rsidR="002717B5" w:rsidRPr="002717B5" w:rsidRDefault="002717B5" w:rsidP="002717B5">
      <w:pPr>
        <w:numPr>
          <w:ilvl w:val="0"/>
          <w:numId w:val="21"/>
        </w:numPr>
        <w:rPr>
          <w:rFonts w:cs="Arial"/>
          <w:szCs w:val="22"/>
        </w:rPr>
      </w:pPr>
      <w:r w:rsidRPr="002717B5">
        <w:rPr>
          <w:rFonts w:cs="Arial"/>
          <w:szCs w:val="22"/>
        </w:rPr>
        <w:t>Establish and/or revise HR policies and processes aligned to the council’s strategic objectives which actively support managers with managing their people</w:t>
      </w:r>
    </w:p>
    <w:p w:rsidR="002717B5" w:rsidRPr="002717B5" w:rsidRDefault="002717B5" w:rsidP="002717B5">
      <w:pPr>
        <w:numPr>
          <w:ilvl w:val="0"/>
          <w:numId w:val="21"/>
        </w:numPr>
        <w:rPr>
          <w:rFonts w:cs="Arial"/>
          <w:szCs w:val="22"/>
        </w:rPr>
      </w:pPr>
      <w:r w:rsidRPr="002717B5">
        <w:rPr>
          <w:rFonts w:cs="Arial"/>
          <w:szCs w:val="22"/>
        </w:rPr>
        <w:t>Interpret employment law and good practice guidelines to assist in the timely resolution of disputes</w:t>
      </w:r>
    </w:p>
    <w:p w:rsidR="002717B5" w:rsidRPr="002717B5" w:rsidRDefault="002717B5" w:rsidP="002717B5">
      <w:pPr>
        <w:numPr>
          <w:ilvl w:val="0"/>
          <w:numId w:val="21"/>
        </w:numPr>
        <w:rPr>
          <w:rFonts w:cs="Arial"/>
          <w:szCs w:val="22"/>
        </w:rPr>
      </w:pPr>
      <w:r w:rsidRPr="002717B5">
        <w:rPr>
          <w:rFonts w:cs="Arial"/>
          <w:szCs w:val="22"/>
        </w:rPr>
        <w:t>Prepare internal briefings for stakeholders on complex cases and tribunal progress and outcomes</w:t>
      </w:r>
    </w:p>
    <w:p w:rsidR="002717B5" w:rsidRPr="002717B5" w:rsidRDefault="002717B5" w:rsidP="002717B5">
      <w:pPr>
        <w:numPr>
          <w:ilvl w:val="0"/>
          <w:numId w:val="21"/>
        </w:numPr>
        <w:rPr>
          <w:rFonts w:cs="Arial"/>
          <w:szCs w:val="22"/>
        </w:rPr>
      </w:pPr>
      <w:r w:rsidRPr="002717B5">
        <w:rPr>
          <w:rFonts w:cs="Arial"/>
          <w:szCs w:val="22"/>
        </w:rPr>
        <w:t>Oversee and conduct case management in partnership with HR Strategic Leads and Business Advisers providing advice and guidance on individual disciplinary and grievance cases, settling disputes and generally de-risking issues associated with people management, through provision of expert advice, and hands-on involvement when required</w:t>
      </w:r>
    </w:p>
    <w:p w:rsidR="002717B5" w:rsidRPr="002717B5" w:rsidRDefault="002717B5" w:rsidP="002717B5">
      <w:pPr>
        <w:numPr>
          <w:ilvl w:val="0"/>
          <w:numId w:val="21"/>
        </w:numPr>
        <w:rPr>
          <w:rFonts w:cs="Arial"/>
          <w:szCs w:val="22"/>
        </w:rPr>
      </w:pPr>
      <w:r w:rsidRPr="002717B5">
        <w:rPr>
          <w:rFonts w:cs="Arial"/>
          <w:szCs w:val="22"/>
        </w:rPr>
        <w:t>Oversee Members appeals where there is a potential dismissal</w:t>
      </w:r>
    </w:p>
    <w:p w:rsidR="002717B5" w:rsidRPr="002717B5" w:rsidRDefault="002717B5" w:rsidP="002717B5">
      <w:pPr>
        <w:numPr>
          <w:ilvl w:val="0"/>
          <w:numId w:val="21"/>
        </w:numPr>
        <w:rPr>
          <w:rFonts w:cs="Arial"/>
          <w:szCs w:val="22"/>
        </w:rPr>
      </w:pPr>
      <w:r w:rsidRPr="002717B5">
        <w:rPr>
          <w:rFonts w:cs="Arial"/>
          <w:szCs w:val="22"/>
        </w:rPr>
        <w:lastRenderedPageBreak/>
        <w:t>Design and deliver in partnership with L&amp;OD colleagues workshops to strengthen employee relations capability amongst the councils people managers</w:t>
      </w:r>
    </w:p>
    <w:p w:rsidR="002717B5" w:rsidRDefault="002717B5" w:rsidP="002717B5">
      <w:pPr>
        <w:numPr>
          <w:ilvl w:val="0"/>
          <w:numId w:val="21"/>
        </w:numPr>
        <w:rPr>
          <w:rFonts w:cs="Arial"/>
          <w:szCs w:val="22"/>
        </w:rPr>
      </w:pPr>
      <w:r w:rsidRPr="002717B5">
        <w:rPr>
          <w:rFonts w:cs="Arial"/>
          <w:szCs w:val="22"/>
        </w:rPr>
        <w:t>Recruitment and induction of new recruits</w:t>
      </w:r>
    </w:p>
    <w:p w:rsidR="002717B5" w:rsidRDefault="002717B5" w:rsidP="002717B5">
      <w:pPr>
        <w:ind w:left="360"/>
        <w:rPr>
          <w:rFonts w:cs="Arial"/>
          <w:szCs w:val="22"/>
        </w:rPr>
      </w:pPr>
    </w:p>
    <w:p w:rsidR="002717B5" w:rsidRPr="002717B5" w:rsidRDefault="002717B5" w:rsidP="002717B5">
      <w:pPr>
        <w:ind w:left="360"/>
        <w:rPr>
          <w:rFonts w:cs="Arial"/>
          <w:b/>
          <w:szCs w:val="22"/>
        </w:rPr>
      </w:pPr>
      <w:r w:rsidRPr="002717B5">
        <w:rPr>
          <w:rFonts w:cs="Arial"/>
          <w:b/>
          <w:szCs w:val="22"/>
        </w:rPr>
        <w:t>Activities carried out by the team will include:</w:t>
      </w:r>
    </w:p>
    <w:p w:rsidR="002717B5" w:rsidRPr="002717B5" w:rsidRDefault="002717B5" w:rsidP="002717B5">
      <w:pPr>
        <w:numPr>
          <w:ilvl w:val="0"/>
          <w:numId w:val="22"/>
        </w:numPr>
        <w:rPr>
          <w:rFonts w:cs="Arial"/>
          <w:szCs w:val="22"/>
        </w:rPr>
      </w:pPr>
      <w:r w:rsidRPr="002717B5">
        <w:rPr>
          <w:rFonts w:cs="Arial"/>
          <w:szCs w:val="22"/>
        </w:rPr>
        <w:t>Change management</w:t>
      </w:r>
    </w:p>
    <w:p w:rsidR="002717B5" w:rsidRPr="002717B5" w:rsidRDefault="002717B5" w:rsidP="002717B5">
      <w:pPr>
        <w:numPr>
          <w:ilvl w:val="0"/>
          <w:numId w:val="22"/>
        </w:numPr>
        <w:rPr>
          <w:rFonts w:cs="Arial"/>
          <w:szCs w:val="22"/>
        </w:rPr>
      </w:pPr>
      <w:r w:rsidRPr="002717B5">
        <w:rPr>
          <w:rFonts w:cs="Arial"/>
          <w:szCs w:val="22"/>
        </w:rPr>
        <w:t>Skills development</w:t>
      </w:r>
    </w:p>
    <w:p w:rsidR="002717B5" w:rsidRPr="002717B5" w:rsidRDefault="002717B5" w:rsidP="002717B5">
      <w:pPr>
        <w:numPr>
          <w:ilvl w:val="0"/>
          <w:numId w:val="22"/>
        </w:numPr>
        <w:rPr>
          <w:rFonts w:cs="Arial"/>
          <w:szCs w:val="22"/>
        </w:rPr>
      </w:pPr>
      <w:r w:rsidRPr="002717B5">
        <w:rPr>
          <w:rFonts w:cs="Arial"/>
          <w:szCs w:val="22"/>
        </w:rPr>
        <w:t>Talent management/succession planning</w:t>
      </w:r>
    </w:p>
    <w:p w:rsidR="002717B5" w:rsidRPr="002717B5" w:rsidRDefault="002717B5" w:rsidP="002717B5">
      <w:pPr>
        <w:numPr>
          <w:ilvl w:val="0"/>
          <w:numId w:val="22"/>
        </w:numPr>
        <w:rPr>
          <w:rFonts w:cs="Arial"/>
          <w:szCs w:val="22"/>
        </w:rPr>
      </w:pPr>
      <w:r w:rsidRPr="002717B5">
        <w:rPr>
          <w:rFonts w:cs="Arial"/>
          <w:szCs w:val="22"/>
        </w:rPr>
        <w:t>Workforce planning</w:t>
      </w:r>
    </w:p>
    <w:p w:rsidR="002717B5" w:rsidRPr="002717B5" w:rsidRDefault="002717B5" w:rsidP="002717B5">
      <w:pPr>
        <w:numPr>
          <w:ilvl w:val="0"/>
          <w:numId w:val="22"/>
        </w:numPr>
        <w:rPr>
          <w:rFonts w:cs="Arial"/>
          <w:szCs w:val="22"/>
        </w:rPr>
      </w:pPr>
      <w:r w:rsidRPr="002717B5">
        <w:rPr>
          <w:rFonts w:cs="Arial"/>
          <w:szCs w:val="22"/>
        </w:rPr>
        <w:t>Advice, coaching and support on employee relations matters</w:t>
      </w:r>
    </w:p>
    <w:p w:rsidR="002717B5" w:rsidRPr="002717B5" w:rsidRDefault="002717B5" w:rsidP="002717B5">
      <w:pPr>
        <w:numPr>
          <w:ilvl w:val="0"/>
          <w:numId w:val="22"/>
        </w:numPr>
        <w:rPr>
          <w:rFonts w:cs="Arial"/>
          <w:szCs w:val="22"/>
        </w:rPr>
      </w:pPr>
      <w:r w:rsidRPr="002717B5">
        <w:rPr>
          <w:rFonts w:cs="Arial"/>
          <w:szCs w:val="22"/>
        </w:rPr>
        <w:t>Delivery of workshops/facilitation</w:t>
      </w:r>
    </w:p>
    <w:p w:rsidR="002717B5" w:rsidRPr="002717B5" w:rsidRDefault="002717B5" w:rsidP="002717B5">
      <w:pPr>
        <w:numPr>
          <w:ilvl w:val="0"/>
          <w:numId w:val="22"/>
        </w:numPr>
        <w:rPr>
          <w:rFonts w:cs="Arial"/>
          <w:szCs w:val="22"/>
        </w:rPr>
      </w:pPr>
      <w:r w:rsidRPr="002717B5">
        <w:rPr>
          <w:rFonts w:cs="Arial"/>
          <w:szCs w:val="22"/>
        </w:rPr>
        <w:t>Implementation</w:t>
      </w:r>
    </w:p>
    <w:p w:rsidR="002717B5" w:rsidRPr="002717B5" w:rsidRDefault="002717B5" w:rsidP="002717B5">
      <w:pPr>
        <w:numPr>
          <w:ilvl w:val="0"/>
          <w:numId w:val="22"/>
        </w:numPr>
        <w:rPr>
          <w:rFonts w:cs="Arial"/>
          <w:szCs w:val="22"/>
        </w:rPr>
      </w:pPr>
      <w:r w:rsidRPr="002717B5">
        <w:rPr>
          <w:rFonts w:cs="Arial"/>
          <w:szCs w:val="22"/>
        </w:rPr>
        <w:t>Lead/support HR projects/policy</w:t>
      </w:r>
    </w:p>
    <w:p w:rsidR="002717B5" w:rsidRPr="002717B5" w:rsidRDefault="002717B5" w:rsidP="002717B5">
      <w:pPr>
        <w:numPr>
          <w:ilvl w:val="0"/>
          <w:numId w:val="22"/>
        </w:numPr>
        <w:rPr>
          <w:rFonts w:cs="Arial"/>
          <w:szCs w:val="22"/>
        </w:rPr>
      </w:pPr>
      <w:r w:rsidRPr="002717B5">
        <w:rPr>
          <w:rFonts w:cs="Arial"/>
          <w:szCs w:val="22"/>
        </w:rPr>
        <w:t>Holistic overview of all cases (with support from HR direct)</w:t>
      </w:r>
    </w:p>
    <w:p w:rsidR="002717B5" w:rsidRPr="002717B5" w:rsidRDefault="002717B5" w:rsidP="002717B5">
      <w:pPr>
        <w:numPr>
          <w:ilvl w:val="0"/>
          <w:numId w:val="22"/>
        </w:numPr>
        <w:rPr>
          <w:rFonts w:cs="Arial"/>
          <w:szCs w:val="22"/>
        </w:rPr>
      </w:pPr>
      <w:r w:rsidRPr="002717B5">
        <w:rPr>
          <w:rFonts w:cs="Arial"/>
          <w:szCs w:val="22"/>
        </w:rPr>
        <w:t>Local workshops and facilitation</w:t>
      </w:r>
    </w:p>
    <w:p w:rsidR="002717B5" w:rsidRPr="002717B5" w:rsidRDefault="002717B5" w:rsidP="002717B5">
      <w:pPr>
        <w:numPr>
          <w:ilvl w:val="0"/>
          <w:numId w:val="22"/>
        </w:numPr>
        <w:rPr>
          <w:rFonts w:cs="Arial"/>
          <w:szCs w:val="22"/>
        </w:rPr>
      </w:pPr>
      <w:r w:rsidRPr="002717B5">
        <w:rPr>
          <w:rFonts w:cs="Arial"/>
          <w:szCs w:val="22"/>
        </w:rPr>
        <w:t>Reviewing job roles and team structures etc</w:t>
      </w:r>
    </w:p>
    <w:p w:rsidR="00EB687D" w:rsidRPr="002717B5" w:rsidRDefault="002717B5" w:rsidP="00EB687D">
      <w:pPr>
        <w:numPr>
          <w:ilvl w:val="0"/>
          <w:numId w:val="22"/>
        </w:numPr>
        <w:rPr>
          <w:rFonts w:cs="Arial"/>
          <w:szCs w:val="22"/>
        </w:rPr>
      </w:pPr>
      <w:r w:rsidRPr="002717B5">
        <w:rPr>
          <w:rFonts w:cs="Arial"/>
          <w:szCs w:val="22"/>
        </w:rPr>
        <w:t>Leadership/management development</w:t>
      </w:r>
    </w:p>
    <w:p w:rsidR="00EB687D" w:rsidRPr="0069405C" w:rsidRDefault="00EB687D" w:rsidP="00EB687D">
      <w:pPr>
        <w:rPr>
          <w:rFonts w:cs="Arial"/>
          <w:szCs w:val="22"/>
        </w:rPr>
      </w:pPr>
    </w:p>
    <w:p w:rsidR="00EB687D" w:rsidRPr="0069405C" w:rsidRDefault="00287409" w:rsidP="00EB687D">
      <w:pPr>
        <w:rPr>
          <w:rFonts w:cs="Arial"/>
          <w:szCs w:val="22"/>
        </w:rPr>
      </w:pPr>
      <w:r w:rsidRPr="0069405C">
        <w:rPr>
          <w:rFonts w:cs="Arial"/>
          <w:b/>
          <w:szCs w:val="22"/>
        </w:rPr>
        <w:t>People Management Responsibilities:</w:t>
      </w:r>
    </w:p>
    <w:p w:rsidR="00287409" w:rsidRPr="002717B5" w:rsidRDefault="00287409" w:rsidP="00EB687D">
      <w:pPr>
        <w:rPr>
          <w:rFonts w:cs="Arial"/>
          <w:szCs w:val="22"/>
        </w:rPr>
      </w:pPr>
    </w:p>
    <w:p w:rsidR="002717B5" w:rsidRPr="002717B5" w:rsidRDefault="002717B5" w:rsidP="002717B5">
      <w:pPr>
        <w:numPr>
          <w:ilvl w:val="0"/>
          <w:numId w:val="23"/>
        </w:numPr>
        <w:rPr>
          <w:rFonts w:cs="Arial"/>
          <w:szCs w:val="22"/>
        </w:rPr>
      </w:pPr>
      <w:r w:rsidRPr="002717B5">
        <w:rPr>
          <w:rFonts w:cs="Arial"/>
          <w:szCs w:val="22"/>
        </w:rPr>
        <w:t>This post has no formal people management responsibilities. However, it may be asked to manage projects, including temporarily assigned project team members</w:t>
      </w:r>
    </w:p>
    <w:p w:rsidR="00287409" w:rsidRPr="002717B5" w:rsidRDefault="002717B5" w:rsidP="00EB687D">
      <w:pPr>
        <w:numPr>
          <w:ilvl w:val="0"/>
          <w:numId w:val="23"/>
        </w:numPr>
        <w:rPr>
          <w:rFonts w:cs="Arial"/>
          <w:szCs w:val="22"/>
        </w:rPr>
      </w:pPr>
      <w:r w:rsidRPr="002717B5">
        <w:rPr>
          <w:rFonts w:cs="Arial"/>
          <w:szCs w:val="22"/>
        </w:rPr>
        <w:t>From time to time, the role may be required to supervise temporary agency staff, those on work experience or apprentices, including allocating tasks, overseeing delivery and giving feedback.</w:t>
      </w: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C97F42" w:rsidRDefault="00C97F42" w:rsidP="00EB687D">
      <w:pPr>
        <w:rPr>
          <w:rFonts w:cs="Arial"/>
          <w:szCs w:val="22"/>
        </w:rPr>
      </w:pPr>
    </w:p>
    <w:p w:rsidR="002717B5" w:rsidRPr="002717B5" w:rsidRDefault="002717B5" w:rsidP="002717B5">
      <w:pPr>
        <w:numPr>
          <w:ilvl w:val="0"/>
          <w:numId w:val="24"/>
        </w:numPr>
        <w:rPr>
          <w:rFonts w:cs="Arial"/>
          <w:szCs w:val="22"/>
        </w:rPr>
      </w:pPr>
      <w:r w:rsidRPr="002717B5">
        <w:rPr>
          <w:rFonts w:cs="Arial"/>
          <w:szCs w:val="22"/>
        </w:rPr>
        <w:t>Relationships will need to be built with key clients, e.g. Assistant Directors, Heads of Service, Managers/Supervisors and staff. Also Partners, Head teachers, Bursars and Governors</w:t>
      </w:r>
    </w:p>
    <w:p w:rsidR="002717B5" w:rsidRPr="002717B5" w:rsidRDefault="002717B5" w:rsidP="002717B5">
      <w:pPr>
        <w:numPr>
          <w:ilvl w:val="0"/>
          <w:numId w:val="24"/>
        </w:numPr>
        <w:rPr>
          <w:rFonts w:cs="Arial"/>
          <w:szCs w:val="22"/>
        </w:rPr>
      </w:pPr>
      <w:r w:rsidRPr="002717B5">
        <w:rPr>
          <w:rFonts w:cs="Arial"/>
          <w:szCs w:val="22"/>
        </w:rPr>
        <w:t>Relationships are also key within the HR service and with other support services, e.g. Legal, Finance, ICT, Procurement, Strategy</w:t>
      </w:r>
    </w:p>
    <w:p w:rsidR="002717B5" w:rsidRPr="002717B5" w:rsidRDefault="002717B5" w:rsidP="002717B5">
      <w:pPr>
        <w:numPr>
          <w:ilvl w:val="0"/>
          <w:numId w:val="24"/>
        </w:numPr>
        <w:rPr>
          <w:rFonts w:cs="Arial"/>
          <w:szCs w:val="22"/>
        </w:rPr>
      </w:pPr>
      <w:r w:rsidRPr="002717B5">
        <w:rPr>
          <w:rFonts w:cs="Arial"/>
          <w:szCs w:val="22"/>
        </w:rPr>
        <w:t>Trade Unions and employee representative groups</w:t>
      </w:r>
    </w:p>
    <w:p w:rsidR="002717B5" w:rsidRPr="002717B5" w:rsidRDefault="002717B5" w:rsidP="002717B5">
      <w:pPr>
        <w:numPr>
          <w:ilvl w:val="0"/>
          <w:numId w:val="24"/>
        </w:numPr>
        <w:rPr>
          <w:rFonts w:cs="Arial"/>
          <w:szCs w:val="22"/>
        </w:rPr>
      </w:pPr>
      <w:r w:rsidRPr="002717B5">
        <w:rPr>
          <w:rFonts w:cs="Arial"/>
          <w:szCs w:val="22"/>
        </w:rPr>
        <w:lastRenderedPageBreak/>
        <w:t>The post-holder will work closely with Strategic Leads and Advisors within the service</w:t>
      </w:r>
    </w:p>
    <w:p w:rsidR="002717B5" w:rsidRPr="002717B5" w:rsidRDefault="002717B5" w:rsidP="00EB687D">
      <w:pPr>
        <w:rPr>
          <w:rFonts w:cs="Arial"/>
          <w:szCs w:val="22"/>
        </w:rPr>
      </w:pP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2717B5" w:rsidRDefault="002717B5" w:rsidP="002717B5">
      <w:pPr>
        <w:rPr>
          <w:rFonts w:cs="Arial"/>
          <w:szCs w:val="22"/>
        </w:rPr>
      </w:pPr>
    </w:p>
    <w:p w:rsidR="002717B5" w:rsidRPr="002717B5" w:rsidRDefault="002717B5" w:rsidP="002717B5">
      <w:pPr>
        <w:numPr>
          <w:ilvl w:val="0"/>
          <w:numId w:val="25"/>
        </w:numPr>
        <w:rPr>
          <w:rFonts w:cs="Arial"/>
          <w:szCs w:val="22"/>
        </w:rPr>
      </w:pPr>
      <w:r w:rsidRPr="002717B5">
        <w:rPr>
          <w:rFonts w:cs="Arial"/>
          <w:szCs w:val="22"/>
        </w:rPr>
        <w:t>The Human Resources team is based at 5 Pancras Square, although staff are expected to base themselves for much of the week alongside colleagues in their patch or to work either remotely or from home.</w:t>
      </w:r>
    </w:p>
    <w:p w:rsidR="002717B5" w:rsidRPr="002717B5" w:rsidRDefault="002717B5" w:rsidP="002717B5">
      <w:pPr>
        <w:numPr>
          <w:ilvl w:val="0"/>
          <w:numId w:val="25"/>
        </w:numPr>
        <w:rPr>
          <w:rFonts w:cs="Arial"/>
          <w:szCs w:val="22"/>
        </w:rPr>
      </w:pPr>
      <w:r w:rsidRPr="002717B5">
        <w:rPr>
          <w:rFonts w:cs="Arial"/>
          <w:szCs w:val="22"/>
        </w:rPr>
        <w:t>The post holder may occasionally be required to work at weekends or in the evening, particularly if the working patterns of their patch include out of hours arrangements.</w:t>
      </w:r>
    </w:p>
    <w:p w:rsidR="002717B5" w:rsidRPr="002717B5" w:rsidRDefault="002717B5" w:rsidP="002717B5">
      <w:pPr>
        <w:numPr>
          <w:ilvl w:val="0"/>
          <w:numId w:val="25"/>
        </w:numPr>
        <w:rPr>
          <w:rFonts w:cs="Arial"/>
          <w:szCs w:val="22"/>
        </w:rPr>
      </w:pPr>
      <w:r w:rsidRPr="002717B5">
        <w:rPr>
          <w:rFonts w:cs="Arial"/>
          <w:szCs w:val="22"/>
        </w:rPr>
        <w:t>The post-holder will be required to work in an ‘agile’ way in line with Camden’s move to a paperless and flexible work environment.</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2717B5" w:rsidRPr="0069405C" w:rsidRDefault="002717B5" w:rsidP="00EB687D">
      <w:pPr>
        <w:rPr>
          <w:rFonts w:cs="Arial"/>
          <w:b/>
          <w:szCs w:val="22"/>
        </w:rPr>
      </w:pPr>
    </w:p>
    <w:p w:rsidR="002717B5" w:rsidRPr="002717B5" w:rsidRDefault="002717B5" w:rsidP="002717B5">
      <w:pPr>
        <w:numPr>
          <w:ilvl w:val="0"/>
          <w:numId w:val="26"/>
        </w:numPr>
        <w:rPr>
          <w:rFonts w:cs="Arial"/>
          <w:szCs w:val="22"/>
        </w:rPr>
      </w:pPr>
      <w:r w:rsidRPr="002717B5">
        <w:rPr>
          <w:rFonts w:cs="Arial"/>
          <w:szCs w:val="22"/>
        </w:rPr>
        <w:t>Experience of managing teams, including managing performance and development</w:t>
      </w:r>
    </w:p>
    <w:p w:rsidR="002717B5" w:rsidRPr="002717B5" w:rsidRDefault="002717B5" w:rsidP="002717B5">
      <w:pPr>
        <w:numPr>
          <w:ilvl w:val="0"/>
          <w:numId w:val="26"/>
        </w:numPr>
        <w:rPr>
          <w:rFonts w:cs="Arial"/>
          <w:szCs w:val="22"/>
        </w:rPr>
      </w:pPr>
      <w:r w:rsidRPr="002717B5">
        <w:rPr>
          <w:rFonts w:cs="Arial"/>
          <w:szCs w:val="22"/>
        </w:rPr>
        <w:t>Detailed knowledge (typically gained through a recognised professional qualification e.g. CIPD) of professional HR practice and procedure</w:t>
      </w:r>
    </w:p>
    <w:p w:rsidR="002717B5" w:rsidRPr="002717B5" w:rsidRDefault="002717B5" w:rsidP="002717B5">
      <w:pPr>
        <w:numPr>
          <w:ilvl w:val="0"/>
          <w:numId w:val="26"/>
        </w:numPr>
        <w:rPr>
          <w:rFonts w:cs="Arial"/>
          <w:szCs w:val="22"/>
        </w:rPr>
      </w:pPr>
      <w:r w:rsidRPr="002717B5">
        <w:rPr>
          <w:rFonts w:cs="Arial"/>
          <w:szCs w:val="22"/>
        </w:rPr>
        <w:t>Good working knowledge of employment legislation and trends;</w:t>
      </w:r>
    </w:p>
    <w:p w:rsidR="002717B5" w:rsidRPr="002717B5" w:rsidRDefault="002717B5" w:rsidP="002717B5">
      <w:pPr>
        <w:numPr>
          <w:ilvl w:val="0"/>
          <w:numId w:val="26"/>
        </w:numPr>
        <w:rPr>
          <w:rFonts w:cs="Arial"/>
          <w:szCs w:val="22"/>
        </w:rPr>
      </w:pPr>
      <w:r w:rsidRPr="002717B5">
        <w:rPr>
          <w:rFonts w:cs="Arial"/>
          <w:szCs w:val="22"/>
        </w:rPr>
        <w:t>Collaborative approach demonstrating mutual trust and support, within the council and with partners;</w:t>
      </w:r>
    </w:p>
    <w:p w:rsidR="002717B5" w:rsidRPr="002717B5" w:rsidRDefault="002717B5" w:rsidP="002717B5">
      <w:pPr>
        <w:numPr>
          <w:ilvl w:val="0"/>
          <w:numId w:val="26"/>
        </w:numPr>
        <w:rPr>
          <w:rFonts w:cs="Arial"/>
          <w:szCs w:val="22"/>
        </w:rPr>
      </w:pPr>
      <w:r w:rsidRPr="002717B5">
        <w:rPr>
          <w:rFonts w:cs="Arial"/>
          <w:szCs w:val="22"/>
        </w:rPr>
        <w:t>Strong communication and influencing skills;</w:t>
      </w:r>
    </w:p>
    <w:p w:rsidR="002717B5" w:rsidRPr="002717B5" w:rsidRDefault="002717B5" w:rsidP="002717B5">
      <w:pPr>
        <w:numPr>
          <w:ilvl w:val="0"/>
          <w:numId w:val="26"/>
        </w:numPr>
        <w:rPr>
          <w:rFonts w:cs="Arial"/>
          <w:szCs w:val="22"/>
        </w:rPr>
      </w:pPr>
      <w:r w:rsidRPr="002717B5">
        <w:rPr>
          <w:rFonts w:cs="Arial"/>
          <w:szCs w:val="22"/>
        </w:rPr>
        <w:t>Ability to analyse problems, identify root cause and develop a range of solutions, which will add value;</w:t>
      </w:r>
    </w:p>
    <w:p w:rsidR="002717B5" w:rsidRPr="002717B5" w:rsidRDefault="002717B5" w:rsidP="002717B5">
      <w:pPr>
        <w:numPr>
          <w:ilvl w:val="0"/>
          <w:numId w:val="26"/>
        </w:numPr>
        <w:rPr>
          <w:rFonts w:cs="Arial"/>
          <w:szCs w:val="22"/>
        </w:rPr>
      </w:pPr>
      <w:r w:rsidRPr="002717B5">
        <w:rPr>
          <w:rFonts w:cs="Arial"/>
          <w:szCs w:val="22"/>
        </w:rPr>
        <w:t>Able to focus on internal and external customers, being innovative and creative, open to ideas and challenge and committed to individual learning and development;</w:t>
      </w:r>
    </w:p>
    <w:p w:rsidR="002717B5" w:rsidRPr="002717B5" w:rsidRDefault="002717B5" w:rsidP="002717B5">
      <w:pPr>
        <w:numPr>
          <w:ilvl w:val="0"/>
          <w:numId w:val="26"/>
        </w:numPr>
        <w:rPr>
          <w:rFonts w:cs="Arial"/>
          <w:szCs w:val="22"/>
        </w:rPr>
      </w:pPr>
      <w:r w:rsidRPr="002717B5">
        <w:rPr>
          <w:rFonts w:cs="Arial"/>
          <w:szCs w:val="22"/>
        </w:rPr>
        <w:t>Evidence of having planned work over short to medium term to include contributing to project deliverables.</w:t>
      </w:r>
    </w:p>
    <w:p w:rsidR="002717B5" w:rsidRPr="002717B5" w:rsidRDefault="002717B5" w:rsidP="002717B5">
      <w:pPr>
        <w:numPr>
          <w:ilvl w:val="0"/>
          <w:numId w:val="26"/>
        </w:numPr>
        <w:rPr>
          <w:rFonts w:cs="Arial"/>
          <w:szCs w:val="22"/>
        </w:rPr>
      </w:pPr>
      <w:r w:rsidRPr="002717B5">
        <w:rPr>
          <w:rFonts w:cs="Arial"/>
          <w:szCs w:val="22"/>
        </w:rPr>
        <w:t>Ability to build and maintain effective working relationships at all levels across the organisation in order to influence and get things done.</w:t>
      </w:r>
    </w:p>
    <w:p w:rsidR="002717B5" w:rsidRDefault="002717B5" w:rsidP="00EB687D">
      <w:pPr>
        <w:rPr>
          <w:rFonts w:cs="Arial"/>
          <w:b/>
          <w:szCs w:val="22"/>
        </w:rPr>
      </w:pPr>
    </w:p>
    <w:p w:rsidR="002717B5" w:rsidRDefault="002717B5" w:rsidP="00EB687D">
      <w:pPr>
        <w:rPr>
          <w:rFonts w:cs="Arial"/>
          <w:b/>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2717B5" w:rsidP="00EB687D">
      <w:pPr>
        <w:rPr>
          <w:rFonts w:cs="Arial"/>
          <w:szCs w:val="22"/>
        </w:rPr>
      </w:pPr>
      <w:hyperlink r:id="rId7" w:history="1">
        <w:r w:rsidR="00192DD3" w:rsidRPr="00D72ADC">
          <w:rPr>
            <w:rStyle w:val="Hyperlink"/>
          </w:rPr>
          <w:t>https://camdengov.referrals.selectminds.com/togetherwearecamden/info/page1</w:t>
        </w:r>
      </w:hyperlink>
      <w:r w:rsidR="00192DD3">
        <w:t xml:space="preserve"> </w:t>
      </w:r>
    </w:p>
    <w:p w:rsidR="0069405C" w:rsidRPr="0069405C" w:rsidRDefault="0069405C" w:rsidP="00EB687D">
      <w:pPr>
        <w:rPr>
          <w:rFonts w:cs="Arial"/>
          <w:szCs w:val="22"/>
        </w:rPr>
      </w:pPr>
    </w:p>
    <w:p w:rsidR="0069405C" w:rsidRPr="0069405C" w:rsidRDefault="0069405C" w:rsidP="00EB687D">
      <w:pPr>
        <w:rPr>
          <w:rFonts w:cs="Arial"/>
          <w:szCs w:val="22"/>
        </w:rPr>
      </w:pPr>
    </w:p>
    <w:p w:rsidR="00C97F42" w:rsidRDefault="00740DC5" w:rsidP="00EB687D">
      <w:pPr>
        <w:rPr>
          <w:rFonts w:cs="Arial"/>
          <w:b/>
          <w:szCs w:val="22"/>
        </w:rPr>
      </w:pPr>
      <w:r w:rsidRPr="0069405C">
        <w:rPr>
          <w:rFonts w:cs="Arial"/>
          <w:b/>
          <w:szCs w:val="22"/>
        </w:rPr>
        <w:t>Chart Structure</w:t>
      </w:r>
    </w:p>
    <w:p w:rsidR="002717B5" w:rsidRDefault="002717B5" w:rsidP="00EB687D">
      <w:pPr>
        <w:rPr>
          <w:rFonts w:cs="Arial"/>
          <w:b/>
          <w:szCs w:val="22"/>
        </w:rPr>
      </w:pPr>
    </w:p>
    <w:p w:rsidR="002717B5" w:rsidRPr="002717B5" w:rsidRDefault="002717B5" w:rsidP="002717B5">
      <w:pPr>
        <w:rPr>
          <w:rFonts w:cs="Arial"/>
          <w:szCs w:val="22"/>
        </w:rPr>
      </w:pPr>
      <w:r w:rsidRPr="002717B5">
        <w:rPr>
          <w:rFonts w:cs="Arial"/>
          <w:szCs w:val="22"/>
        </w:rPr>
        <w:t>This post reports to the Director of Human Resources. Human Resources is in the Corporate Services Directorate</w:t>
      </w:r>
    </w:p>
    <w:p w:rsidR="002717B5" w:rsidRPr="002717B5" w:rsidRDefault="002717B5" w:rsidP="00EB687D">
      <w:pPr>
        <w:rPr>
          <w:rFonts w:cs="Arial"/>
          <w:szCs w:val="22"/>
        </w:rPr>
      </w:pPr>
    </w:p>
    <w:sectPr w:rsidR="002717B5" w:rsidRPr="002717B5"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A2A55"/>
    <w:multiLevelType w:val="hybridMultilevel"/>
    <w:tmpl w:val="66AE8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25BB2"/>
    <w:multiLevelType w:val="hybridMultilevel"/>
    <w:tmpl w:val="26C01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12F31D89"/>
    <w:multiLevelType w:val="multilevel"/>
    <w:tmpl w:val="5718C5D6"/>
    <w:numStyleLink w:val="HayGroupBulletlist"/>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C11414"/>
    <w:multiLevelType w:val="multilevel"/>
    <w:tmpl w:val="F0AE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DD165F1"/>
    <w:multiLevelType w:val="multilevel"/>
    <w:tmpl w:val="638A148E"/>
    <w:numStyleLink w:val="HayGroupNumberingList"/>
  </w:abstractNum>
  <w:abstractNum w:abstractNumId="11" w15:restartNumberingAfterBreak="0">
    <w:nsid w:val="316E1768"/>
    <w:multiLevelType w:val="multilevel"/>
    <w:tmpl w:val="5718C5D6"/>
    <w:numStyleLink w:val="HayGroupBulletlist"/>
  </w:abstractNum>
  <w:abstractNum w:abstractNumId="12"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DC392B"/>
    <w:multiLevelType w:val="hybridMultilevel"/>
    <w:tmpl w:val="AE22D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DB01A0"/>
    <w:multiLevelType w:val="hybridMultilevel"/>
    <w:tmpl w:val="05EA5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AB378BA"/>
    <w:multiLevelType w:val="hybridMultilevel"/>
    <w:tmpl w:val="7ABE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3"/>
  </w:num>
  <w:num w:numId="3">
    <w:abstractNumId w:val="17"/>
  </w:num>
  <w:num w:numId="4">
    <w:abstractNumId w:val="24"/>
  </w:num>
  <w:num w:numId="5">
    <w:abstractNumId w:val="3"/>
  </w:num>
  <w:num w:numId="6">
    <w:abstractNumId w:val="9"/>
  </w:num>
  <w:num w:numId="7">
    <w:abstractNumId w:val="22"/>
  </w:num>
  <w:num w:numId="8">
    <w:abstractNumId w:val="18"/>
  </w:num>
  <w:num w:numId="9">
    <w:abstractNumId w:val="7"/>
  </w:num>
  <w:num w:numId="10">
    <w:abstractNumId w:val="12"/>
  </w:num>
  <w:num w:numId="11">
    <w:abstractNumId w:val="2"/>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 w:numId="19">
    <w:abstractNumId w:val="20"/>
  </w:num>
  <w:num w:numId="20">
    <w:abstractNumId w:val="19"/>
  </w:num>
  <w:num w:numId="21">
    <w:abstractNumId w:val="8"/>
  </w:num>
  <w:num w:numId="22">
    <w:abstractNumId w:val="13"/>
  </w:num>
  <w:num w:numId="23">
    <w:abstractNumId w:val="0"/>
  </w:num>
  <w:num w:numId="24">
    <w:abstractNumId w:val="14"/>
  </w:num>
  <w:num w:numId="25">
    <w:abstractNumId w:val="1"/>
  </w:num>
  <w:num w:numId="26">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92DD3"/>
    <w:rsid w:val="001A0765"/>
    <w:rsid w:val="001A0F55"/>
    <w:rsid w:val="001E0218"/>
    <w:rsid w:val="001F178A"/>
    <w:rsid w:val="00206A7F"/>
    <w:rsid w:val="002276F6"/>
    <w:rsid w:val="002335E9"/>
    <w:rsid w:val="00241AA7"/>
    <w:rsid w:val="00253840"/>
    <w:rsid w:val="00253888"/>
    <w:rsid w:val="0026753A"/>
    <w:rsid w:val="002717B5"/>
    <w:rsid w:val="00281B56"/>
    <w:rsid w:val="00287409"/>
    <w:rsid w:val="002902CB"/>
    <w:rsid w:val="002976AB"/>
    <w:rsid w:val="002A5E19"/>
    <w:rsid w:val="002B66D4"/>
    <w:rsid w:val="002C06AA"/>
    <w:rsid w:val="002E6F4B"/>
    <w:rsid w:val="002E7A75"/>
    <w:rsid w:val="002F24FA"/>
    <w:rsid w:val="00303FA0"/>
    <w:rsid w:val="003056BE"/>
    <w:rsid w:val="0032261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D489C"/>
    <w:rsid w:val="006E3B3B"/>
    <w:rsid w:val="006E74E4"/>
    <w:rsid w:val="006F1C6A"/>
    <w:rsid w:val="007025D2"/>
    <w:rsid w:val="00713850"/>
    <w:rsid w:val="00740DC5"/>
    <w:rsid w:val="00755D02"/>
    <w:rsid w:val="00760BA1"/>
    <w:rsid w:val="00764960"/>
    <w:rsid w:val="00766226"/>
    <w:rsid w:val="00767BDF"/>
    <w:rsid w:val="007A6B99"/>
    <w:rsid w:val="007A7C03"/>
    <w:rsid w:val="007A7EB9"/>
    <w:rsid w:val="007B0D8C"/>
    <w:rsid w:val="007C6F29"/>
    <w:rsid w:val="007D25B4"/>
    <w:rsid w:val="007D7F7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34C9F"/>
    <w:rsid w:val="00D550B2"/>
    <w:rsid w:val="00D70B96"/>
    <w:rsid w:val="00D91480"/>
    <w:rsid w:val="00DA3FA2"/>
    <w:rsid w:val="00DB0AE6"/>
    <w:rsid w:val="00DB5678"/>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45AB7A"/>
  <w15:docId w15:val="{84D8C9A2-69C6-4D0E-B92A-ED33138AE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mdengov.referrals.selectminds.com/togetherwearecamden/info/page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880</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Kabir, Urmi</cp:lastModifiedBy>
  <cp:revision>2</cp:revision>
  <cp:lastPrinted>2009-12-02T09:13:00Z</cp:lastPrinted>
  <dcterms:created xsi:type="dcterms:W3CDTF">2018-05-17T16:43:00Z</dcterms:created>
  <dcterms:modified xsi:type="dcterms:W3CDTF">2018-05-17T16:43:00Z</dcterms:modified>
</cp:coreProperties>
</file>