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E38B2">
        <w:rPr>
          <w:rFonts w:cs="Arial"/>
          <w:b/>
          <w:szCs w:val="22"/>
        </w:rPr>
        <w:t>Head of Strategy (Communities)</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0E38B2">
        <w:rPr>
          <w:rFonts w:cs="Arial"/>
          <w:b/>
          <w:szCs w:val="22"/>
        </w:rPr>
        <w:t xml:space="preserve"> Head of Strategy </w:t>
      </w:r>
      <w:r w:rsidRPr="0069405C">
        <w:rPr>
          <w:rFonts w:cs="Arial"/>
          <w:b/>
          <w:szCs w:val="22"/>
        </w:rPr>
        <w:t xml:space="preserve">is for guidance and must be used in conjunction with the Job Capsule for </w:t>
      </w:r>
    </w:p>
    <w:p w:rsidR="001362D5" w:rsidRDefault="001362D5" w:rsidP="007A6B99">
      <w:pPr>
        <w:rPr>
          <w:rFonts w:cs="Arial"/>
          <w:b/>
          <w:szCs w:val="22"/>
        </w:rPr>
      </w:pPr>
      <w:r w:rsidRPr="0069405C">
        <w:rPr>
          <w:rFonts w:cs="Arial"/>
          <w:b/>
          <w:szCs w:val="22"/>
        </w:rPr>
        <w:t>L</w:t>
      </w:r>
      <w:r w:rsidR="000E38B2">
        <w:rPr>
          <w:rFonts w:cs="Arial"/>
          <w:b/>
          <w:szCs w:val="22"/>
        </w:rPr>
        <w:t>evel 6</w:t>
      </w:r>
      <w:r w:rsidR="002F24FA">
        <w:rPr>
          <w:rFonts w:cs="Arial"/>
          <w:b/>
          <w:szCs w:val="22"/>
        </w:rPr>
        <w:t xml:space="preserve">, </w:t>
      </w:r>
      <w:r w:rsidR="000E38B2">
        <w:rPr>
          <w:rFonts w:cs="Arial"/>
          <w:b/>
          <w:szCs w:val="22"/>
        </w:rPr>
        <w:t>Zone 1</w:t>
      </w:r>
    </w:p>
    <w:p w:rsidR="000E38B2" w:rsidRPr="0069405C" w:rsidRDefault="000E38B2"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0E38B2" w:rsidRPr="000E38B2" w:rsidRDefault="000E38B2" w:rsidP="000E38B2">
      <w:pPr>
        <w:rPr>
          <w:rFonts w:cs="Arial"/>
          <w:b/>
          <w:szCs w:val="22"/>
        </w:rPr>
      </w:pPr>
      <w:r w:rsidRPr="000E38B2">
        <w:rPr>
          <w:rFonts w:cs="Arial"/>
          <w:szCs w:val="22"/>
        </w:rPr>
        <w:t>To act as the strategic lead for the organisation in an organisational area (</w:t>
      </w:r>
      <w:r>
        <w:rPr>
          <w:rFonts w:cs="Arial"/>
          <w:szCs w:val="22"/>
        </w:rPr>
        <w:t>i.e.</w:t>
      </w:r>
      <w:r w:rsidRPr="000E38B2">
        <w:rPr>
          <w:rFonts w:cs="Arial"/>
          <w:szCs w:val="22"/>
        </w:rPr>
        <w:t xml:space="preserve"> a Directorate) and a portfolio of work areas, for example those shown in the functional model for the strategy and change service.  This includes</w:t>
      </w:r>
    </w:p>
    <w:p w:rsidR="000E38B2" w:rsidRPr="000E38B2" w:rsidRDefault="000E38B2" w:rsidP="000E38B2">
      <w:pPr>
        <w:rPr>
          <w:rFonts w:cs="Arial"/>
          <w:szCs w:val="22"/>
        </w:rPr>
      </w:pPr>
    </w:p>
    <w:p w:rsidR="000E38B2" w:rsidRPr="000E38B2" w:rsidRDefault="000E38B2" w:rsidP="000E38B2">
      <w:pPr>
        <w:numPr>
          <w:ilvl w:val="0"/>
          <w:numId w:val="21"/>
        </w:numPr>
        <w:rPr>
          <w:rFonts w:cs="Arial"/>
          <w:szCs w:val="22"/>
        </w:rPr>
      </w:pPr>
      <w:r w:rsidRPr="000E38B2">
        <w:rPr>
          <w:rFonts w:cs="Arial"/>
          <w:szCs w:val="22"/>
        </w:rPr>
        <w:t>Managing the capability and capacity of strategic resources</w:t>
      </w:r>
    </w:p>
    <w:p w:rsidR="000E38B2" w:rsidRPr="000E38B2" w:rsidRDefault="000E38B2" w:rsidP="000E38B2">
      <w:pPr>
        <w:numPr>
          <w:ilvl w:val="0"/>
          <w:numId w:val="21"/>
        </w:numPr>
        <w:rPr>
          <w:rFonts w:cs="Arial"/>
          <w:szCs w:val="22"/>
        </w:rPr>
      </w:pPr>
      <w:r w:rsidRPr="000E38B2">
        <w:rPr>
          <w:rFonts w:cs="Arial"/>
          <w:szCs w:val="22"/>
        </w:rPr>
        <w:t>To act as the relationship manager between Strategy and Change and one or more parts of the organisation, for example a Directorate Management Team, a transformation/support/change service.</w:t>
      </w:r>
    </w:p>
    <w:p w:rsidR="000E38B2" w:rsidRPr="000E38B2" w:rsidRDefault="000E38B2" w:rsidP="000E38B2">
      <w:pPr>
        <w:numPr>
          <w:ilvl w:val="0"/>
          <w:numId w:val="21"/>
        </w:numPr>
        <w:rPr>
          <w:rFonts w:cs="Arial"/>
          <w:szCs w:val="22"/>
        </w:rPr>
      </w:pPr>
      <w:r w:rsidRPr="000E38B2">
        <w:rPr>
          <w:rFonts w:cs="Arial"/>
          <w:szCs w:val="22"/>
        </w:rPr>
        <w:t>Develop, promote and implement strategies and plans that determine the strategic direction of the organisation.</w:t>
      </w:r>
    </w:p>
    <w:p w:rsidR="000E38B2" w:rsidRDefault="000E38B2" w:rsidP="000E38B2">
      <w:pPr>
        <w:numPr>
          <w:ilvl w:val="0"/>
          <w:numId w:val="21"/>
        </w:numPr>
        <w:rPr>
          <w:rFonts w:cs="Arial"/>
          <w:szCs w:val="22"/>
        </w:rPr>
      </w:pPr>
      <w:r w:rsidRPr="000E38B2">
        <w:rPr>
          <w:rFonts w:cs="Arial"/>
          <w:szCs w:val="22"/>
        </w:rPr>
        <w:t>To develop work programmes, negotiate and allocate resources and manage and monitor large scale/high risk/high value projects and programmes</w:t>
      </w:r>
    </w:p>
    <w:p w:rsidR="000E38B2" w:rsidRPr="000E38B2" w:rsidRDefault="000E38B2" w:rsidP="000E38B2">
      <w:pPr>
        <w:numPr>
          <w:ilvl w:val="0"/>
          <w:numId w:val="21"/>
        </w:numPr>
        <w:rPr>
          <w:rFonts w:cs="Arial"/>
          <w:szCs w:val="22"/>
        </w:rPr>
      </w:pPr>
      <w:r w:rsidRPr="000E38B2">
        <w:rPr>
          <w:rFonts w:cs="Arial"/>
          <w:szCs w:val="22"/>
        </w:rPr>
        <w:t>To manage complex, multiple workloads, successfully responding</w:t>
      </w:r>
      <w:r w:rsidRPr="000E38B2">
        <w:t xml:space="preserve"> </w:t>
      </w:r>
      <w:r w:rsidRPr="000E38B2">
        <w:rPr>
          <w:rFonts w:cs="Arial"/>
          <w:szCs w:val="22"/>
        </w:rPr>
        <w:t>to often conflicting demand</w:t>
      </w:r>
    </w:p>
    <w:p w:rsidR="00EB687D" w:rsidRPr="000E38B2" w:rsidRDefault="000E38B2" w:rsidP="000E38B2">
      <w:pPr>
        <w:numPr>
          <w:ilvl w:val="0"/>
          <w:numId w:val="21"/>
        </w:numPr>
        <w:rPr>
          <w:rFonts w:cs="Arial"/>
          <w:szCs w:val="22"/>
        </w:rPr>
      </w:pPr>
      <w:r w:rsidRPr="000E38B2">
        <w:rPr>
          <w:rFonts w:cs="Arial"/>
          <w:szCs w:val="22"/>
        </w:rPr>
        <w:t>To develop the skills and knowledge of staff working in the service</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0E38B2" w:rsidRDefault="00EB687D" w:rsidP="0069405C">
      <w:pPr>
        <w:rPr>
          <w:rFonts w:cs="Arial"/>
          <w:szCs w:val="22"/>
        </w:rPr>
      </w:pPr>
    </w:p>
    <w:p w:rsidR="000E38B2" w:rsidRPr="000E38B2" w:rsidRDefault="000E38B2" w:rsidP="000E38B2">
      <w:pPr>
        <w:numPr>
          <w:ilvl w:val="0"/>
          <w:numId w:val="22"/>
        </w:numPr>
        <w:rPr>
          <w:rFonts w:cs="Arial"/>
          <w:szCs w:val="22"/>
        </w:rPr>
      </w:pPr>
      <w:r w:rsidRPr="000E38B2">
        <w:rPr>
          <w:rFonts w:cs="Arial"/>
          <w:szCs w:val="22"/>
        </w:rPr>
        <w:t>Manage, develop, coordinate and provide the resources, expertise and advice required in the area of responsibility to deliver their objectives</w:t>
      </w:r>
    </w:p>
    <w:p w:rsidR="000E38B2" w:rsidRPr="000E38B2" w:rsidRDefault="000E38B2" w:rsidP="000E38B2">
      <w:pPr>
        <w:numPr>
          <w:ilvl w:val="0"/>
          <w:numId w:val="22"/>
        </w:numPr>
        <w:rPr>
          <w:rFonts w:cs="Arial"/>
          <w:szCs w:val="22"/>
        </w:rPr>
      </w:pPr>
      <w:r w:rsidRPr="000E38B2">
        <w:rPr>
          <w:rFonts w:cs="Arial"/>
          <w:szCs w:val="22"/>
        </w:rPr>
        <w:t>Develop and manage strategic stakeholder relationships</w:t>
      </w:r>
    </w:p>
    <w:p w:rsidR="000E38B2" w:rsidRPr="000E38B2" w:rsidRDefault="000E38B2" w:rsidP="000E38B2">
      <w:pPr>
        <w:numPr>
          <w:ilvl w:val="0"/>
          <w:numId w:val="22"/>
        </w:numPr>
        <w:rPr>
          <w:rFonts w:cs="Arial"/>
          <w:szCs w:val="22"/>
        </w:rPr>
      </w:pPr>
      <w:r w:rsidRPr="000E38B2">
        <w:rPr>
          <w:rFonts w:cs="Arial"/>
          <w:szCs w:val="22"/>
        </w:rPr>
        <w:t>Monitor, and provide advice and guidance, on the national and local political environment</w:t>
      </w:r>
    </w:p>
    <w:p w:rsidR="000E38B2" w:rsidRPr="000E38B2" w:rsidRDefault="000E38B2" w:rsidP="000E38B2">
      <w:pPr>
        <w:numPr>
          <w:ilvl w:val="0"/>
          <w:numId w:val="22"/>
        </w:numPr>
        <w:rPr>
          <w:rFonts w:cs="Arial"/>
          <w:szCs w:val="22"/>
        </w:rPr>
      </w:pPr>
      <w:r w:rsidRPr="000E38B2">
        <w:rPr>
          <w:rFonts w:cs="Arial"/>
          <w:szCs w:val="22"/>
        </w:rPr>
        <w:t>Lead and promote innovation within the organisation and with partners</w:t>
      </w:r>
    </w:p>
    <w:p w:rsidR="000E38B2" w:rsidRPr="000E38B2" w:rsidRDefault="000E38B2" w:rsidP="000E38B2">
      <w:pPr>
        <w:numPr>
          <w:ilvl w:val="0"/>
          <w:numId w:val="22"/>
        </w:numPr>
        <w:rPr>
          <w:rFonts w:cs="Arial"/>
          <w:szCs w:val="22"/>
        </w:rPr>
      </w:pPr>
      <w:r w:rsidRPr="000E38B2">
        <w:rPr>
          <w:rFonts w:cs="Arial"/>
          <w:szCs w:val="22"/>
        </w:rPr>
        <w:t>As</w:t>
      </w:r>
      <w:r w:rsidRPr="000E38B2">
        <w:rPr>
          <w:rFonts w:cs="Arial"/>
          <w:b/>
          <w:szCs w:val="22"/>
        </w:rPr>
        <w:t xml:space="preserve"> </w:t>
      </w:r>
      <w:r w:rsidRPr="000E38B2">
        <w:rPr>
          <w:rFonts w:cs="Arial"/>
          <w:szCs w:val="22"/>
        </w:rPr>
        <w:t>a member of the service management team continually monitor and improve the services offered</w:t>
      </w:r>
    </w:p>
    <w:p w:rsidR="000E38B2" w:rsidRPr="000E38B2" w:rsidRDefault="000E38B2" w:rsidP="000E38B2">
      <w:pPr>
        <w:numPr>
          <w:ilvl w:val="0"/>
          <w:numId w:val="22"/>
        </w:numPr>
        <w:rPr>
          <w:rFonts w:cs="Arial"/>
          <w:szCs w:val="22"/>
        </w:rPr>
      </w:pPr>
      <w:r w:rsidRPr="000E38B2">
        <w:rPr>
          <w:rFonts w:cs="Arial"/>
          <w:szCs w:val="22"/>
        </w:rPr>
        <w:t>Represent the service and the London Borough of Camden at meetings and on bodies and forums</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0E38B2" w:rsidRPr="000E38B2" w:rsidRDefault="000E38B2" w:rsidP="00EB687D">
      <w:pPr>
        <w:rPr>
          <w:rFonts w:cs="Arial"/>
          <w:szCs w:val="22"/>
        </w:rPr>
      </w:pPr>
      <w:r w:rsidRPr="000E38B2">
        <w:rPr>
          <w:rFonts w:cs="Arial"/>
          <w:szCs w:val="22"/>
        </w:rPr>
        <w:t>The post</w:t>
      </w:r>
      <w:r>
        <w:rPr>
          <w:rFonts w:cs="Arial"/>
          <w:szCs w:val="22"/>
        </w:rPr>
        <w:t xml:space="preserve"> </w:t>
      </w:r>
      <w:r w:rsidRPr="000E38B2">
        <w:rPr>
          <w:rFonts w:cs="Arial"/>
          <w:szCs w:val="22"/>
        </w:rPr>
        <w:t>holder will be responsible for the day to day management of staff.</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0E38B2" w:rsidRPr="000E38B2" w:rsidRDefault="000E38B2" w:rsidP="000E38B2">
      <w:pPr>
        <w:rPr>
          <w:rFonts w:cs="Arial"/>
          <w:szCs w:val="22"/>
        </w:rPr>
      </w:pPr>
      <w:r w:rsidRPr="000E38B2">
        <w:rPr>
          <w:rFonts w:cs="Arial"/>
          <w:szCs w:val="22"/>
        </w:rPr>
        <w:t>The post holder will be largely self-managing.  The post holder’s personal management and development will be carried out within the Strategy and Change service.  Day to day management will be by the lead of the project, Director or head of service the post holder may be working to.</w:t>
      </w:r>
    </w:p>
    <w:p w:rsidR="000E38B2" w:rsidRPr="000E38B2" w:rsidRDefault="000E38B2" w:rsidP="000E38B2">
      <w:pPr>
        <w:rPr>
          <w:rFonts w:cs="Arial"/>
          <w:szCs w:val="22"/>
        </w:rPr>
      </w:pPr>
    </w:p>
    <w:p w:rsidR="000E38B2" w:rsidRPr="000E38B2" w:rsidRDefault="000E38B2" w:rsidP="000E38B2">
      <w:pPr>
        <w:rPr>
          <w:rFonts w:cs="Arial"/>
          <w:szCs w:val="22"/>
        </w:rPr>
      </w:pPr>
      <w:r w:rsidRPr="000E38B2">
        <w:rPr>
          <w:rFonts w:cs="Arial"/>
          <w:szCs w:val="22"/>
        </w:rPr>
        <w:t>The post holder will have lead responsibility for developing and maintaining relationships in one or more of the following areas</w:t>
      </w:r>
    </w:p>
    <w:p w:rsidR="000E38B2" w:rsidRPr="000E38B2" w:rsidRDefault="000E38B2" w:rsidP="000E38B2">
      <w:pPr>
        <w:numPr>
          <w:ilvl w:val="0"/>
          <w:numId w:val="23"/>
        </w:numPr>
        <w:rPr>
          <w:rFonts w:cs="Arial"/>
          <w:szCs w:val="22"/>
        </w:rPr>
      </w:pPr>
      <w:r w:rsidRPr="000E38B2">
        <w:rPr>
          <w:rFonts w:cs="Arial"/>
          <w:szCs w:val="22"/>
        </w:rPr>
        <w:t>Camden Management Team</w:t>
      </w:r>
    </w:p>
    <w:p w:rsidR="000E38B2" w:rsidRPr="000E38B2" w:rsidRDefault="000E38B2" w:rsidP="000E38B2">
      <w:pPr>
        <w:numPr>
          <w:ilvl w:val="0"/>
          <w:numId w:val="23"/>
        </w:numPr>
        <w:rPr>
          <w:rFonts w:cs="Arial"/>
          <w:szCs w:val="22"/>
        </w:rPr>
      </w:pPr>
      <w:r w:rsidRPr="000E38B2">
        <w:rPr>
          <w:rFonts w:cs="Arial"/>
          <w:szCs w:val="22"/>
        </w:rPr>
        <w:t>Directorate Management Teams</w:t>
      </w:r>
    </w:p>
    <w:p w:rsidR="000E38B2" w:rsidRPr="000E38B2" w:rsidRDefault="000E38B2" w:rsidP="000E38B2">
      <w:pPr>
        <w:numPr>
          <w:ilvl w:val="0"/>
          <w:numId w:val="23"/>
        </w:numPr>
        <w:rPr>
          <w:rFonts w:cs="Arial"/>
          <w:szCs w:val="22"/>
        </w:rPr>
      </w:pPr>
      <w:r w:rsidRPr="000E38B2">
        <w:rPr>
          <w:rFonts w:cs="Arial"/>
          <w:szCs w:val="22"/>
        </w:rPr>
        <w:t>Senior Leadership Group</w:t>
      </w:r>
    </w:p>
    <w:p w:rsidR="000E38B2" w:rsidRPr="000E38B2" w:rsidRDefault="000E38B2" w:rsidP="000E38B2">
      <w:pPr>
        <w:numPr>
          <w:ilvl w:val="0"/>
          <w:numId w:val="23"/>
        </w:numPr>
        <w:rPr>
          <w:rFonts w:cs="Arial"/>
          <w:szCs w:val="22"/>
        </w:rPr>
      </w:pPr>
      <w:r w:rsidRPr="000E38B2">
        <w:rPr>
          <w:rFonts w:cs="Arial"/>
          <w:szCs w:val="22"/>
        </w:rPr>
        <w:t>The Leader of the Council</w:t>
      </w:r>
    </w:p>
    <w:p w:rsidR="000E38B2" w:rsidRPr="000E38B2" w:rsidRDefault="000E38B2" w:rsidP="000E38B2">
      <w:pPr>
        <w:numPr>
          <w:ilvl w:val="0"/>
          <w:numId w:val="23"/>
        </w:numPr>
        <w:rPr>
          <w:rFonts w:cs="Arial"/>
          <w:szCs w:val="22"/>
        </w:rPr>
      </w:pPr>
      <w:r w:rsidRPr="000E38B2">
        <w:rPr>
          <w:rFonts w:cs="Arial"/>
          <w:szCs w:val="22"/>
        </w:rPr>
        <w:t>Cabinet</w:t>
      </w:r>
    </w:p>
    <w:p w:rsidR="000E38B2" w:rsidRPr="000E38B2" w:rsidRDefault="000E38B2" w:rsidP="000E38B2">
      <w:pPr>
        <w:numPr>
          <w:ilvl w:val="0"/>
          <w:numId w:val="23"/>
        </w:numPr>
        <w:rPr>
          <w:rFonts w:cs="Arial"/>
          <w:szCs w:val="22"/>
        </w:rPr>
      </w:pPr>
      <w:r w:rsidRPr="000E38B2">
        <w:rPr>
          <w:rFonts w:cs="Arial"/>
          <w:szCs w:val="22"/>
        </w:rPr>
        <w:t>Other council bodies</w:t>
      </w:r>
    </w:p>
    <w:p w:rsidR="000E38B2" w:rsidRPr="000E38B2" w:rsidRDefault="000E38B2" w:rsidP="000E38B2">
      <w:pPr>
        <w:numPr>
          <w:ilvl w:val="0"/>
          <w:numId w:val="23"/>
        </w:numPr>
        <w:rPr>
          <w:rFonts w:cs="Arial"/>
          <w:szCs w:val="22"/>
        </w:rPr>
      </w:pPr>
      <w:r w:rsidRPr="000E38B2">
        <w:rPr>
          <w:rFonts w:cs="Arial"/>
          <w:szCs w:val="22"/>
        </w:rPr>
        <w:t>Elected Members</w:t>
      </w:r>
    </w:p>
    <w:p w:rsidR="000E38B2" w:rsidRPr="000E38B2" w:rsidRDefault="000E38B2" w:rsidP="000E38B2">
      <w:pPr>
        <w:numPr>
          <w:ilvl w:val="0"/>
          <w:numId w:val="23"/>
        </w:numPr>
        <w:rPr>
          <w:rFonts w:cs="Arial"/>
          <w:szCs w:val="22"/>
        </w:rPr>
      </w:pPr>
      <w:r w:rsidRPr="000E38B2">
        <w:rPr>
          <w:rFonts w:cs="Arial"/>
          <w:szCs w:val="22"/>
        </w:rPr>
        <w:t>Government departments and bodies</w:t>
      </w:r>
    </w:p>
    <w:p w:rsidR="000E38B2" w:rsidRPr="000E38B2" w:rsidRDefault="000E38B2" w:rsidP="000E38B2">
      <w:pPr>
        <w:numPr>
          <w:ilvl w:val="0"/>
          <w:numId w:val="23"/>
        </w:numPr>
        <w:rPr>
          <w:rFonts w:cs="Arial"/>
          <w:szCs w:val="22"/>
        </w:rPr>
      </w:pPr>
      <w:r w:rsidRPr="000E38B2">
        <w:rPr>
          <w:rFonts w:cs="Arial"/>
          <w:szCs w:val="22"/>
        </w:rPr>
        <w:t>Partner organisations</w:t>
      </w:r>
    </w:p>
    <w:p w:rsidR="000E38B2" w:rsidRPr="000E38B2" w:rsidRDefault="000E38B2" w:rsidP="000E38B2">
      <w:pPr>
        <w:numPr>
          <w:ilvl w:val="0"/>
          <w:numId w:val="23"/>
        </w:numPr>
        <w:rPr>
          <w:rFonts w:cs="Arial"/>
          <w:szCs w:val="22"/>
        </w:rPr>
      </w:pPr>
      <w:r w:rsidRPr="000E38B2">
        <w:rPr>
          <w:rFonts w:cs="Arial"/>
          <w:szCs w:val="22"/>
        </w:rPr>
        <w:t>Voluntary and community groups</w:t>
      </w:r>
    </w:p>
    <w:p w:rsidR="00287409" w:rsidRPr="000E38B2" w:rsidRDefault="00287409"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0E38B2" w:rsidRDefault="000E38B2" w:rsidP="00EB687D">
      <w:pPr>
        <w:rPr>
          <w:rFonts w:cs="Arial"/>
          <w:szCs w:val="22"/>
        </w:rPr>
      </w:pPr>
      <w:r w:rsidRPr="000E38B2">
        <w:rPr>
          <w:rFonts w:cs="Arial"/>
          <w:szCs w:val="22"/>
        </w:rPr>
        <w:t>The post holder may be required to work in a variety of teams and workplaces</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0E38B2" w:rsidRPr="000E38B2" w:rsidRDefault="000E38B2" w:rsidP="000E38B2">
      <w:pPr>
        <w:numPr>
          <w:ilvl w:val="0"/>
          <w:numId w:val="24"/>
        </w:numPr>
        <w:rPr>
          <w:rFonts w:cs="Arial"/>
          <w:szCs w:val="22"/>
        </w:rPr>
      </w:pPr>
      <w:r w:rsidRPr="000E38B2">
        <w:rPr>
          <w:rFonts w:cs="Arial"/>
          <w:szCs w:val="22"/>
        </w:rPr>
        <w:t>Substantial experience at a senior level delivering high profile/high risk/high impact strategies and policies</w:t>
      </w:r>
    </w:p>
    <w:p w:rsidR="000E38B2" w:rsidRPr="000E38B2" w:rsidRDefault="000E38B2" w:rsidP="000E38B2">
      <w:pPr>
        <w:numPr>
          <w:ilvl w:val="0"/>
          <w:numId w:val="24"/>
        </w:numPr>
        <w:rPr>
          <w:rFonts w:cs="Arial"/>
          <w:szCs w:val="22"/>
        </w:rPr>
      </w:pPr>
      <w:r w:rsidRPr="000E38B2">
        <w:rPr>
          <w:rFonts w:cs="Arial"/>
          <w:szCs w:val="22"/>
        </w:rPr>
        <w:t>Substantial experience of coordinating work programmes to deliver priorities</w:t>
      </w:r>
    </w:p>
    <w:p w:rsidR="000E38B2" w:rsidRPr="000E38B2" w:rsidRDefault="000E38B2" w:rsidP="000E38B2">
      <w:pPr>
        <w:numPr>
          <w:ilvl w:val="0"/>
          <w:numId w:val="24"/>
        </w:numPr>
        <w:rPr>
          <w:rFonts w:cs="Arial"/>
          <w:szCs w:val="22"/>
        </w:rPr>
      </w:pPr>
      <w:r w:rsidRPr="000E38B2">
        <w:rPr>
          <w:rFonts w:cs="Arial"/>
          <w:szCs w:val="22"/>
        </w:rPr>
        <w:t>Experience of managing and developing staff</w:t>
      </w:r>
    </w:p>
    <w:p w:rsidR="000E38B2" w:rsidRPr="000E38B2" w:rsidRDefault="000E38B2" w:rsidP="000E38B2">
      <w:pPr>
        <w:numPr>
          <w:ilvl w:val="0"/>
          <w:numId w:val="24"/>
        </w:numPr>
        <w:rPr>
          <w:rFonts w:cs="Arial"/>
          <w:szCs w:val="22"/>
        </w:rPr>
      </w:pPr>
      <w:r w:rsidRPr="000E38B2">
        <w:rPr>
          <w:rFonts w:cs="Arial"/>
          <w:szCs w:val="22"/>
        </w:rPr>
        <w:t>Experience of managing resources</w:t>
      </w:r>
    </w:p>
    <w:p w:rsidR="000E38B2" w:rsidRPr="000E38B2" w:rsidRDefault="000E38B2" w:rsidP="000E38B2">
      <w:pPr>
        <w:numPr>
          <w:ilvl w:val="0"/>
          <w:numId w:val="24"/>
        </w:numPr>
        <w:rPr>
          <w:rFonts w:cs="Arial"/>
          <w:szCs w:val="22"/>
        </w:rPr>
      </w:pPr>
      <w:r w:rsidRPr="000E38B2">
        <w:rPr>
          <w:rFonts w:cs="Arial"/>
          <w:szCs w:val="22"/>
        </w:rPr>
        <w:lastRenderedPageBreak/>
        <w:t>Experience of working at a senior level</w:t>
      </w:r>
    </w:p>
    <w:p w:rsidR="000E38B2" w:rsidRPr="000E38B2" w:rsidRDefault="000E38B2" w:rsidP="000E38B2">
      <w:pPr>
        <w:numPr>
          <w:ilvl w:val="0"/>
          <w:numId w:val="24"/>
        </w:numPr>
        <w:rPr>
          <w:rFonts w:cs="Arial"/>
          <w:szCs w:val="22"/>
        </w:rPr>
      </w:pPr>
      <w:r w:rsidRPr="000E38B2">
        <w:rPr>
          <w:rFonts w:cs="Arial"/>
          <w:szCs w:val="22"/>
        </w:rPr>
        <w:t>Experience of working in a political environment</w:t>
      </w:r>
    </w:p>
    <w:p w:rsidR="000E38B2" w:rsidRPr="000E38B2" w:rsidRDefault="000E38B2" w:rsidP="000E38B2">
      <w:pPr>
        <w:numPr>
          <w:ilvl w:val="0"/>
          <w:numId w:val="24"/>
        </w:numPr>
        <w:rPr>
          <w:rFonts w:cs="Arial"/>
          <w:szCs w:val="22"/>
        </w:rPr>
      </w:pPr>
      <w:r w:rsidRPr="000E38B2">
        <w:rPr>
          <w:rFonts w:cs="Arial"/>
          <w:szCs w:val="22"/>
        </w:rPr>
        <w:t>In depth understanding of the role and structures of local government and its relationship with central government and partner organisations</w:t>
      </w:r>
    </w:p>
    <w:p w:rsidR="000E38B2" w:rsidRPr="0069405C" w:rsidRDefault="000E38B2"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F38BD"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C97F42" w:rsidP="00EB687D">
      <w:pPr>
        <w:rPr>
          <w:rFonts w:cs="Arial"/>
          <w:b/>
          <w:szCs w:val="22"/>
        </w:rPr>
      </w:pPr>
      <w:bookmarkStart w:id="0" w:name="_GoBack"/>
      <w:bookmarkEnd w:id="0"/>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3B6D7D"/>
    <w:multiLevelType w:val="hybridMultilevel"/>
    <w:tmpl w:val="68E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F6828"/>
    <w:multiLevelType w:val="hybridMultilevel"/>
    <w:tmpl w:val="3EA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A3F7D"/>
    <w:multiLevelType w:val="hybridMultilevel"/>
    <w:tmpl w:val="B60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5"/>
  </w:num>
  <w:num w:numId="4">
    <w:abstractNumId w:val="22"/>
  </w:num>
  <w:num w:numId="5">
    <w:abstractNumId w:val="1"/>
  </w:num>
  <w:num w:numId="6">
    <w:abstractNumId w:val="7"/>
  </w:num>
  <w:num w:numId="7">
    <w:abstractNumId w:val="20"/>
  </w:num>
  <w:num w:numId="8">
    <w:abstractNumId w:val="16"/>
  </w:num>
  <w:num w:numId="9">
    <w:abstractNumId w:val="5"/>
  </w:num>
  <w:num w:numId="10">
    <w:abstractNumId w:val="10"/>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4"/>
  </w:num>
  <w:num w:numId="22">
    <w:abstractNumId w:val="6"/>
  </w:num>
  <w:num w:numId="23">
    <w:abstractNumId w:val="11"/>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E38B2"/>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AF38BD"/>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024FDD"/>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0E3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3</cp:revision>
  <cp:lastPrinted>2009-12-02T09:13:00Z</cp:lastPrinted>
  <dcterms:created xsi:type="dcterms:W3CDTF">2018-04-25T13:56:00Z</dcterms:created>
  <dcterms:modified xsi:type="dcterms:W3CDTF">2018-05-10T15:11:00Z</dcterms:modified>
</cp:coreProperties>
</file>