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pPr>
      <w:r>
        <w:rPr>
          <w:rFonts w:ascii="Helvetica Neue" w:hAnsi="Helvetica Neue"/>
          <w:b w:val="1"/>
          <w:bCs w:val="1"/>
          <w:rtl w:val="0"/>
          <w:lang w:val="de-DE"/>
        </w:rPr>
        <w:t xml:space="preserve">Commentary </w:t>
      </w:r>
      <w:r>
        <w:rPr>
          <w:rFonts w:ascii="Helvetica Neue" w:hAnsi="Helvetica Neue"/>
          <w:b w:val="1"/>
          <w:bCs w:val="1"/>
          <w:rtl w:val="0"/>
          <w:lang w:val="en-US"/>
        </w:rPr>
        <w:t xml:space="preserve">on </w:t>
      </w:r>
      <w:r>
        <w:rPr>
          <w:rFonts w:ascii="Helvetica Neue" w:hAnsi="Helvetica Neue"/>
          <w:b w:val="1"/>
          <w:bCs w:val="1"/>
          <w:rtl w:val="0"/>
          <w:lang w:val="de-DE"/>
        </w:rPr>
        <w:t xml:space="preserve">proposal </w:t>
      </w:r>
      <w:r>
        <w:rPr>
          <w:rFonts w:ascii="Helvetica Neue" w:hAnsi="Helvetica Neue"/>
          <w:b w:val="1"/>
          <w:bCs w:val="1"/>
          <w:color w:val="262626"/>
          <w:u w:color="262626"/>
          <w:rtl w:val="0"/>
          <w:lang w:val="de-DE"/>
        </w:rPr>
        <w:t>2017/6978/P</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hAnsi="Helvetica Neue"/>
          <w:sz w:val="20"/>
          <w:szCs w:val="20"/>
          <w:rtl w:val="0"/>
          <w:lang w:val="de-DE"/>
        </w:rPr>
        <w:t>The site, 152 Royal College Street, is located within Camden Broadway Conservation Area. The map below shows the boundaries of the conservation area, and highlights the adjacent building (no 154) as a 'positive building'.</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cs="Helvetica Neue" w:hAnsi="Helvetica Neue" w:eastAsia="Helvetica Neue"/>
          <w:sz w:val="20"/>
          <w:szCs w:val="20"/>
        </w:rPr>
        <w:drawing>
          <wp:inline distT="0" distB="0" distL="0" distR="0">
            <wp:extent cx="5325811" cy="387285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mden Broadway Town#718DC3.jpeg"/>
                    <pic:cNvPicPr>
                      <a:picLocks noChangeAspect="1"/>
                    </pic:cNvPicPr>
                  </pic:nvPicPr>
                  <pic:blipFill>
                    <a:blip r:embed="rId4">
                      <a:extLst/>
                    </a:blip>
                    <a:srcRect l="3059" t="2374" r="4322" b="2558"/>
                    <a:stretch>
                      <a:fillRect/>
                    </a:stretch>
                  </pic:blipFill>
                  <pic:spPr>
                    <a:xfrm>
                      <a:off x="0" y="0"/>
                      <a:ext cx="5325811" cy="3872851"/>
                    </a:xfrm>
                    <a:prstGeom prst="rect">
                      <a:avLst/>
                    </a:prstGeom>
                    <a:ln w="12700" cap="flat">
                      <a:noFill/>
                      <a:miter lim="400000"/>
                    </a:ln>
                    <a:effectLst/>
                  </pic:spPr>
                </pic:pic>
              </a:graphicData>
            </a:graphic>
          </wp:inline>
        </w:drawing>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hAnsi="Helvetica Neue"/>
          <w:b w:val="1"/>
          <w:bCs w:val="1"/>
          <w:sz w:val="20"/>
          <w:szCs w:val="20"/>
          <w:rtl w:val="0"/>
          <w:lang w:val="de-DE"/>
        </w:rPr>
        <w:t>Conservation Area Appraisal</w:t>
      </w:r>
      <w:r>
        <w:rPr>
          <w:rFonts w:ascii="Helvetica Neue" w:hAnsi="Helvetica Neue"/>
          <w:b w:val="1"/>
          <w:bCs w:val="1"/>
          <w:sz w:val="20"/>
          <w:szCs w:val="20"/>
          <w:rtl w:val="0"/>
          <w:lang w:val="en-US"/>
        </w:rPr>
        <w:t xml:space="preserve"> and Management Strategy</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hAnsi="Helvetica Neue"/>
          <w:sz w:val="20"/>
          <w:szCs w:val="20"/>
          <w:rtl w:val="0"/>
          <w:lang w:val="de-DE"/>
        </w:rPr>
        <w:t>The adjacent building on Royal College Street (no 154) has been designated under "BUILDINGS WHICH MAKE A POSITIVE CONTRIBUTION" and "HISTORIC SHOPFRONTS".</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hAnsi="Helvetica Neue"/>
          <w:sz w:val="20"/>
          <w:szCs w:val="20"/>
          <w:rtl w:val="0"/>
          <w:lang w:val="de-DE"/>
        </w:rPr>
        <w:t>Royal College Street and Camden Road were laid out in c.1820 and, with the exception of the north side of Camden Road, a map of 1832 shows that the conservation area</w:t>
      </w:r>
      <w:r>
        <w:rPr>
          <w:rFonts w:ascii="Helvetica Neue" w:hAnsi="Helvetica Neue" w:hint="default"/>
          <w:sz w:val="20"/>
          <w:szCs w:val="20"/>
          <w:rtl w:val="0"/>
          <w:lang w:val="de-DE"/>
        </w:rPr>
        <w:t>’</w:t>
      </w:r>
      <w:r>
        <w:rPr>
          <w:rFonts w:ascii="Helvetica Neue" w:hAnsi="Helvetica Neue"/>
          <w:sz w:val="20"/>
          <w:szCs w:val="20"/>
          <w:rtl w:val="0"/>
          <w:lang w:val="de-DE"/>
        </w:rPr>
        <w:t>s street pattern and built environment was complete by that date. The whole of the area bounded by Randolph Street, St Pancras Way, Camden Road and Royal College Street was built by 1832, giving the area a distinct architectural unity.</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hAnsi="Helvetica Neue"/>
          <w:sz w:val="20"/>
          <w:szCs w:val="20"/>
          <w:rtl w:val="0"/>
          <w:lang w:val="en-US"/>
        </w:rPr>
        <w:t xml:space="preserve">The Appraisal  and Management Strategy places significant emphasis on the importance of well-designed shopfronts within the conservation area: </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hAnsi="Helvetica Neue" w:hint="default"/>
          <w:i w:val="1"/>
          <w:iCs w:val="1"/>
          <w:sz w:val="20"/>
          <w:szCs w:val="20"/>
          <w:rtl w:val="0"/>
          <w:lang w:val="en-US"/>
        </w:rPr>
        <w:t>“</w:t>
      </w:r>
      <w:r>
        <w:rPr>
          <w:rFonts w:ascii="Helvetica Neue" w:hAnsi="Helvetica Neue"/>
          <w:i w:val="1"/>
          <w:iCs w:val="1"/>
          <w:sz w:val="20"/>
          <w:szCs w:val="20"/>
          <w:rtl w:val="0"/>
          <w:lang w:val="de-DE"/>
        </w:rPr>
        <w:t>Shopfronts are an important element in the character of the commercial</w:t>
      </w:r>
      <w:r>
        <w:rPr>
          <w:rFonts w:ascii="Helvetica Neue" w:hAnsi="Helvetica Neue"/>
          <w:i w:val="1"/>
          <w:iCs w:val="1"/>
          <w:sz w:val="20"/>
          <w:szCs w:val="20"/>
          <w:rtl w:val="0"/>
          <w:lang w:val="en-US"/>
        </w:rPr>
        <w:t xml:space="preserve"> </w:t>
      </w:r>
      <w:r>
        <w:rPr>
          <w:rFonts w:ascii="Helvetica Neue" w:hAnsi="Helvetica Neue"/>
          <w:i w:val="1"/>
          <w:iCs w:val="1"/>
          <w:sz w:val="20"/>
          <w:szCs w:val="20"/>
          <w:rtl w:val="0"/>
          <w:lang w:val="de-DE"/>
        </w:rPr>
        <w:t>part of the Camden Broadway Conservation Area.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tl w:val="0"/>
        </w:rPr>
      </w:pPr>
      <w:r>
        <w:rPr>
          <w:i w:val="1"/>
          <w:iCs w:val="1"/>
          <w:sz w:val="20"/>
          <w:szCs w:val="20"/>
          <w:u w:color="000000"/>
          <w:rtl w:val="0"/>
          <w:lang w:val="en-US"/>
        </w:rPr>
        <w:t>The installation of a new shopfront, shutters or grilles or othe</w:t>
      </w:r>
      <w:r>
        <w:rPr>
          <w:i w:val="1"/>
          <w:iCs w:val="1"/>
          <w:sz w:val="20"/>
          <w:szCs w:val="20"/>
          <w:u w:color="000000"/>
          <w:rtl w:val="0"/>
          <w:lang w:val="en-US"/>
        </w:rPr>
        <w:t xml:space="preserve">r </w:t>
      </w:r>
      <w:r>
        <w:rPr>
          <w:i w:val="1"/>
          <w:iCs w:val="1"/>
          <w:sz w:val="20"/>
          <w:szCs w:val="20"/>
          <w:u w:color="000000"/>
          <w:rtl w:val="0"/>
          <w:lang w:val="en-US"/>
        </w:rPr>
        <w:t>alterations to the shopfront will need planning permission. Poorly</w:t>
      </w:r>
      <w:r>
        <w:rPr>
          <w:i w:val="1"/>
          <w:iCs w:val="1"/>
          <w:sz w:val="20"/>
          <w:szCs w:val="20"/>
          <w:u w:color="000000"/>
          <w:rtl w:val="0"/>
          <w:lang w:val="en-US"/>
        </w:rPr>
        <w:t xml:space="preserve"> </w:t>
      </w:r>
      <w:r>
        <w:rPr>
          <w:i w:val="1"/>
          <w:iCs w:val="1"/>
          <w:sz w:val="20"/>
          <w:szCs w:val="20"/>
          <w:u w:color="000000"/>
          <w:rtl w:val="0"/>
          <w:lang w:val="en-US"/>
        </w:rPr>
        <w:t>designed shopfronts detract from the character and appearance of the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tl w:val="0"/>
        </w:rPr>
      </w:pPr>
      <w:r>
        <w:rPr>
          <w:i w:val="1"/>
          <w:iCs w:val="1"/>
          <w:sz w:val="20"/>
          <w:szCs w:val="20"/>
          <w:u w:color="000000"/>
          <w:rtl w:val="0"/>
          <w:lang w:val="en-US"/>
        </w:rPr>
        <w:t>conservation area, and the Council expects the quality, design and</w:t>
      </w:r>
      <w:r>
        <w:rPr>
          <w:i w:val="1"/>
          <w:iCs w:val="1"/>
          <w:sz w:val="20"/>
          <w:szCs w:val="20"/>
          <w:u w:color="000000"/>
          <w:rtl w:val="0"/>
          <w:lang w:val="en-US"/>
        </w:rPr>
        <w:t xml:space="preserve"> </w:t>
      </w:r>
      <w:r>
        <w:rPr>
          <w:i w:val="1"/>
          <w:iCs w:val="1"/>
          <w:sz w:val="20"/>
          <w:szCs w:val="20"/>
          <w:u w:color="000000"/>
          <w:rtl w:val="0"/>
          <w:lang w:val="en-US"/>
        </w:rPr>
        <w:t>materials of new shopfronts to respond sensitively to their historic</w:t>
      </w:r>
      <w:r>
        <w:rPr>
          <w:i w:val="1"/>
          <w:iCs w:val="1"/>
          <w:sz w:val="20"/>
          <w:szCs w:val="20"/>
          <w:u w:color="000000"/>
          <w:rtl w:val="0"/>
          <w:lang w:val="en-US"/>
        </w:rPr>
        <w:t xml:space="preserve"> </w:t>
      </w:r>
      <w:r>
        <w:rPr>
          <w:i w:val="1"/>
          <w:iCs w:val="1"/>
          <w:sz w:val="20"/>
          <w:szCs w:val="20"/>
          <w:u w:color="000000"/>
          <w:rtl w:val="0"/>
        </w:rPr>
        <w:t>setting.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tl w:val="0"/>
        </w:rPr>
      </w:pPr>
      <w:r>
        <w:rPr>
          <w:i w:val="1"/>
          <w:iCs w:val="1"/>
          <w:sz w:val="20"/>
          <w:szCs w:val="20"/>
          <w:u w:color="000000"/>
          <w:rtl w:val="0"/>
          <w:lang w:val="en-US"/>
        </w:rPr>
        <w:t>Detailed guidance on shopfronts can be found in section 43 of</w:t>
      </w:r>
      <w:r>
        <w:rPr>
          <w:i w:val="1"/>
          <w:iCs w:val="1"/>
          <w:sz w:val="20"/>
          <w:szCs w:val="20"/>
          <w:u w:color="000000"/>
          <w:rtl w:val="0"/>
          <w:lang w:val="en-US"/>
        </w:rPr>
        <w:t xml:space="preserve"> </w:t>
      </w:r>
      <w:r>
        <w:rPr>
          <w:i w:val="1"/>
          <w:iCs w:val="1"/>
          <w:sz w:val="20"/>
          <w:szCs w:val="20"/>
          <w:u w:color="000000"/>
          <w:rtl w:val="0"/>
          <w:lang w:val="nl-NL"/>
        </w:rPr>
        <w:t>Camden</w:t>
      </w:r>
      <w:r>
        <w:rPr>
          <w:i w:val="1"/>
          <w:iCs w:val="1"/>
          <w:sz w:val="20"/>
          <w:szCs w:val="20"/>
          <w:u w:color="000000"/>
          <w:rtl w:val="0"/>
        </w:rPr>
        <w:t>’</w:t>
      </w:r>
      <w:r>
        <w:rPr>
          <w:i w:val="1"/>
          <w:iCs w:val="1"/>
          <w:sz w:val="20"/>
          <w:szCs w:val="20"/>
          <w:u w:color="000000"/>
          <w:rtl w:val="0"/>
          <w:lang w:val="en-US"/>
        </w:rPr>
        <w:t>s Supplementary Planning Guidance, which is available on</w:t>
      </w:r>
      <w:r>
        <w:rPr>
          <w:i w:val="1"/>
          <w:iCs w:val="1"/>
          <w:sz w:val="20"/>
          <w:szCs w:val="20"/>
          <w:u w:color="000000"/>
          <w:rtl w:val="0"/>
          <w:lang w:val="en-US"/>
        </w:rPr>
        <w:t xml:space="preserve"> </w:t>
      </w:r>
      <w:r>
        <w:rPr>
          <w:i w:val="1"/>
          <w:iCs w:val="1"/>
          <w:sz w:val="20"/>
          <w:szCs w:val="20"/>
          <w:u w:color="000000"/>
          <w:rtl w:val="0"/>
          <w:lang w:val="en-US"/>
        </w:rPr>
        <w:t>the Council</w:t>
      </w:r>
      <w:r>
        <w:rPr>
          <w:i w:val="1"/>
          <w:iCs w:val="1"/>
          <w:sz w:val="20"/>
          <w:szCs w:val="20"/>
          <w:u w:color="000000"/>
          <w:rtl w:val="0"/>
        </w:rPr>
        <w:t>’</w:t>
      </w:r>
      <w:r>
        <w:rPr>
          <w:i w:val="1"/>
          <w:iCs w:val="1"/>
          <w:sz w:val="20"/>
          <w:szCs w:val="20"/>
          <w:u w:color="000000"/>
          <w:rtl w:val="0"/>
          <w:lang w:val="en-US"/>
        </w:rPr>
        <w:t>s website.</w:t>
      </w:r>
      <w:r>
        <w:rPr>
          <w:i w:val="1"/>
          <w:iCs w:val="1"/>
          <w:sz w:val="20"/>
          <w:szCs w:val="20"/>
          <w:u w:color="000000"/>
          <w:rtl w:val="0"/>
          <w:lang w:val="en-US"/>
        </w:rPr>
        <w:t>”</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hAnsi="Helvetica Neue"/>
          <w:b w:val="1"/>
          <w:bCs w:val="1"/>
          <w:sz w:val="20"/>
          <w:szCs w:val="20"/>
          <w:rtl w:val="0"/>
          <w:lang w:val="de-DE"/>
        </w:rPr>
        <w:t>Proposal - General Design Quality</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00" w:lineRule="atLeast"/>
        <w:ind w:left="0" w:right="0" w:firstLine="0"/>
        <w:jc w:val="left"/>
        <w:rPr>
          <w:rtl w:val="0"/>
        </w:rPr>
      </w:pPr>
      <w:r>
        <w:rPr>
          <w:color w:val="26282a"/>
          <w:sz w:val="20"/>
          <w:szCs w:val="20"/>
          <w:shd w:val="clear" w:color="auto" w:fill="ffffff"/>
          <w:rtl w:val="0"/>
          <w:lang w:val="en-US"/>
        </w:rPr>
        <w:t>The applicant presented the revised designs at our CAAC meeting in January. Since our members decided not to object to the previous proposal</w:t>
      </w:r>
      <w:r>
        <w:rPr>
          <w:color w:val="26282a"/>
          <w:sz w:val="20"/>
          <w:szCs w:val="20"/>
          <w:shd w:val="clear" w:color="auto" w:fill="ffffff"/>
          <w:rtl w:val="0"/>
          <w:lang w:val="en-US"/>
        </w:rPr>
        <w:t xml:space="preserve"> (</w:t>
      </w:r>
      <w:r>
        <w:rPr>
          <w:rStyle w:val="Hyperlink.0"/>
          <w:color w:val="0000ff"/>
          <w:sz w:val="20"/>
          <w:szCs w:val="20"/>
          <w:u w:val="single" w:color="0000ff"/>
          <w:shd w:val="clear" w:color="auto" w:fill="ffffff"/>
          <w:rtl w:val="0"/>
        </w:rPr>
        <w:fldChar w:fldCharType="begin" w:fldLock="0"/>
      </w:r>
      <w:r>
        <w:rPr>
          <w:rStyle w:val="Hyperlink.0"/>
          <w:color w:val="0000ff"/>
          <w:sz w:val="20"/>
          <w:szCs w:val="20"/>
          <w:u w:val="single" w:color="0000ff"/>
          <w:shd w:val="clear" w:color="auto" w:fill="ffffff"/>
          <w:rtl w:val="0"/>
        </w:rPr>
        <w:instrText xml:space="preserve"> HYPERLINK "http://planningrecords.camden.gov.uk/Northgate/PlanningExplorer17/Generic/StdDetails.aspx?PT=Planning%20Applications%20On-Line&amp;TYPE=PL/PlanningPK.xml&amp;PARAM0=411837&amp;XSLT=/Northgate/PlanningExplorer17/SiteFiles/Skins/Camden/xslt/PL/PLDetails.xslt&amp;FT=Planning%20Application%20Details&amp;PUBLIC=Y&amp;XMLSIDE=/Northgate/PlanningExplorer17/SiteFiles/Skins/Camden/Menus/PL.xml&amp;DAURI=PLANNING"</w:instrText>
      </w:r>
      <w:r>
        <w:rPr>
          <w:rStyle w:val="Hyperlink.0"/>
          <w:color w:val="0000ff"/>
          <w:sz w:val="20"/>
          <w:szCs w:val="20"/>
          <w:u w:val="single" w:color="0000ff"/>
          <w:shd w:val="clear" w:color="auto" w:fill="ffffff"/>
          <w:rtl w:val="0"/>
        </w:rPr>
        <w:fldChar w:fldCharType="separate" w:fldLock="0"/>
      </w:r>
      <w:r>
        <w:rPr>
          <w:rStyle w:val="Hyperlink.0"/>
          <w:color w:val="0000ff"/>
          <w:sz w:val="20"/>
          <w:szCs w:val="20"/>
          <w:u w:val="single" w:color="0000ff"/>
          <w:shd w:val="clear" w:color="auto" w:fill="ffffff"/>
          <w:rtl w:val="0"/>
        </w:rPr>
        <w:t>2015/4396/P</w:t>
      </w:r>
      <w:r>
        <w:rPr>
          <w:color w:val="26282a"/>
          <w:sz w:val="20"/>
          <w:szCs w:val="20"/>
          <w:shd w:val="clear" w:color="auto" w:fill="ffffff"/>
          <w:rtl w:val="0"/>
        </w:rPr>
        <w:fldChar w:fldCharType="end" w:fldLock="0"/>
      </w:r>
      <w:r>
        <w:rPr>
          <w:color w:val="26282a"/>
          <w:sz w:val="20"/>
          <w:szCs w:val="20"/>
          <w:shd w:val="clear" w:color="auto" w:fill="ffffff"/>
          <w:rtl w:val="0"/>
          <w:lang w:val="en-US"/>
        </w:rPr>
        <w:t>)</w:t>
      </w:r>
      <w:r>
        <w:rPr>
          <w:color w:val="26282a"/>
          <w:sz w:val="20"/>
          <w:szCs w:val="20"/>
          <w:shd w:val="clear" w:color="auto" w:fill="ffffff"/>
          <w:rtl w:val="0"/>
          <w:lang w:val="en-US"/>
        </w:rPr>
        <w:t xml:space="preserve">, they decided not to comment on aspects of the application that hadn't fundamentally changed, but resolved to submit the </w:t>
      </w:r>
      <w:r>
        <w:rPr>
          <w:color w:val="26282a"/>
          <w:sz w:val="20"/>
          <w:szCs w:val="20"/>
          <w:shd w:val="clear" w:color="auto" w:fill="ffffff"/>
          <w:rtl w:val="0"/>
          <w:lang w:val="en-US"/>
        </w:rPr>
        <w:t>below</w:t>
      </w:r>
      <w:r>
        <w:rPr>
          <w:color w:val="26282a"/>
          <w:sz w:val="20"/>
          <w:szCs w:val="20"/>
          <w:shd w:val="clear" w:color="auto" w:fill="ffffff"/>
          <w:rtl w:val="0"/>
          <w:lang w:val="en-US"/>
        </w:rPr>
        <w:t xml:space="preserve"> concerns as comment.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00" w:lineRule="atLeast"/>
        <w:ind w:left="0" w:right="0" w:firstLine="0"/>
        <w:jc w:val="left"/>
        <w:rPr>
          <w:rtl w:val="0"/>
        </w:rPr>
      </w:pP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hAnsi="Helvetica Neue"/>
          <w:b w:val="1"/>
          <w:bCs w:val="1"/>
          <w:sz w:val="20"/>
          <w:szCs w:val="20"/>
          <w:rtl w:val="0"/>
          <w:lang w:val="de-DE"/>
        </w:rPr>
        <w:t>Proposal - G</w:t>
      </w:r>
      <w:r>
        <w:rPr>
          <w:rFonts w:ascii="Helvetica Neue" w:hAnsi="Helvetica Neue"/>
          <w:b w:val="1"/>
          <w:bCs w:val="1"/>
          <w:sz w:val="20"/>
          <w:szCs w:val="20"/>
          <w:rtl w:val="0"/>
          <w:lang w:val="en-US"/>
        </w:rPr>
        <w:t>round floor unit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00" w:lineRule="atLeast"/>
        <w:ind w:left="0" w:right="0" w:firstLine="0"/>
        <w:jc w:val="left"/>
        <w:rPr>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00" w:lineRule="atLeast"/>
        <w:ind w:left="0" w:right="0" w:firstLine="0"/>
        <w:jc w:val="left"/>
        <w:rPr>
          <w:rtl w:val="0"/>
        </w:rPr>
      </w:pPr>
      <w:r>
        <w:rPr>
          <w:color w:val="26282a"/>
          <w:sz w:val="20"/>
          <w:szCs w:val="20"/>
          <w:shd w:val="clear" w:color="auto" w:fill="ffffff"/>
          <w:rtl w:val="0"/>
          <w:lang w:val="en-US"/>
        </w:rPr>
        <w:t>Members concerns focussed on the ground floor and</w:t>
      </w:r>
      <w:r>
        <w:rPr>
          <w:color w:val="26282a"/>
          <w:sz w:val="20"/>
          <w:szCs w:val="20"/>
          <w:shd w:val="clear" w:color="auto" w:fill="ffffff"/>
          <w:rtl w:val="0"/>
          <w:lang w:val="en-US"/>
        </w:rPr>
        <w:t xml:space="preserve"> </w:t>
      </w:r>
      <w:r>
        <w:rPr>
          <w:color w:val="26282a"/>
          <w:sz w:val="20"/>
          <w:szCs w:val="20"/>
          <w:shd w:val="clear" w:color="auto" w:fill="ffffff"/>
          <w:rtl w:val="0"/>
        </w:rPr>
        <w:t xml:space="preserve">any </w:t>
      </w:r>
      <w:r>
        <w:rPr>
          <w:color w:val="26282a"/>
          <w:sz w:val="20"/>
          <w:szCs w:val="20"/>
          <w:shd w:val="clear" w:color="auto" w:fill="ffffff"/>
          <w:rtl w:val="0"/>
          <w:lang w:val="en-US"/>
        </w:rPr>
        <w:t xml:space="preserve">associated </w:t>
      </w:r>
      <w:r>
        <w:rPr>
          <w:color w:val="26282a"/>
          <w:sz w:val="20"/>
          <w:szCs w:val="20"/>
          <w:shd w:val="clear" w:color="auto" w:fill="ffffff"/>
          <w:rtl w:val="0"/>
          <w:lang w:val="en-US"/>
        </w:rPr>
        <w:t xml:space="preserve">railing outside the ground floor facade. </w:t>
      </w:r>
      <w:r>
        <w:rPr>
          <w:color w:val="26282a"/>
          <w:sz w:val="20"/>
          <w:szCs w:val="20"/>
          <w:shd w:val="clear" w:color="auto" w:fill="ffffff"/>
          <w:rtl w:val="0"/>
          <w:lang w:val="en-US"/>
        </w:rPr>
        <w:t>They welcomed the</w:t>
      </w:r>
      <w:r>
        <w:rPr>
          <w:color w:val="26282a"/>
          <w:sz w:val="20"/>
          <w:szCs w:val="20"/>
          <w:shd w:val="clear" w:color="auto" w:fill="ffffff"/>
          <w:rtl w:val="0"/>
          <w:lang w:val="en-US"/>
        </w:rPr>
        <w:t xml:space="preserve"> labelling </w:t>
      </w:r>
      <w:r>
        <w:rPr>
          <w:color w:val="26282a"/>
          <w:sz w:val="20"/>
          <w:szCs w:val="20"/>
          <w:shd w:val="clear" w:color="auto" w:fill="ffffff"/>
          <w:rtl w:val="0"/>
          <w:lang w:val="en-US"/>
        </w:rPr>
        <w:t xml:space="preserve">of </w:t>
      </w:r>
      <w:r>
        <w:rPr>
          <w:color w:val="26282a"/>
          <w:sz w:val="20"/>
          <w:szCs w:val="20"/>
          <w:shd w:val="clear" w:color="auto" w:fill="ffffff"/>
          <w:rtl w:val="0"/>
          <w:lang w:val="en-US"/>
        </w:rPr>
        <w:t xml:space="preserve">the ground floor unit as live/ work, however as the application description refers to a residential unit the </w:t>
      </w:r>
      <w:r>
        <w:rPr>
          <w:color w:val="26282a"/>
          <w:sz w:val="20"/>
          <w:szCs w:val="20"/>
          <w:shd w:val="clear" w:color="auto" w:fill="ffffff"/>
          <w:rtl w:val="0"/>
          <w:lang w:val="en-US"/>
        </w:rPr>
        <w:t xml:space="preserve">resulting ambiguity of the ground floor </w:t>
      </w:r>
      <w:r>
        <w:rPr>
          <w:color w:val="26282a"/>
          <w:sz w:val="20"/>
          <w:szCs w:val="20"/>
          <w:shd w:val="clear" w:color="auto" w:fill="ffffff"/>
          <w:rtl w:val="0"/>
          <w:lang w:val="en-US"/>
        </w:rPr>
        <w:t>use remains our main concern.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00" w:lineRule="atLeast"/>
        <w:ind w:left="0" w:right="0" w:firstLine="0"/>
        <w:jc w:val="left"/>
        <w:rPr>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00" w:lineRule="atLeast"/>
        <w:ind w:left="0" w:right="0" w:firstLine="0"/>
        <w:jc w:val="left"/>
        <w:rPr>
          <w:rtl w:val="0"/>
        </w:rPr>
      </w:pPr>
      <w:r>
        <w:rPr>
          <w:color w:val="26282a"/>
          <w:sz w:val="20"/>
          <w:szCs w:val="20"/>
          <w:shd w:val="clear" w:color="auto" w:fill="ffffff"/>
          <w:rtl w:val="0"/>
          <w:lang w:val="en-US"/>
        </w:rPr>
        <w:t>Within the context of the local centre around Camden Broadway, and in particularly in the context of recent improvements within the retail along this stretch of Royal College Street, our members felt that this prominent corner should be given over to an active commercial use. To ensure the viability of such a use, the ground floor facade must not be obscured by any railings.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00" w:lineRule="atLeast"/>
        <w:ind w:left="0" w:right="0" w:firstLine="0"/>
        <w:jc w:val="left"/>
        <w:rPr>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00" w:lineRule="atLeast"/>
        <w:ind w:left="0" w:right="0" w:firstLine="0"/>
        <w:jc w:val="left"/>
        <w:rPr>
          <w:rtl w:val="0"/>
        </w:rPr>
      </w:pPr>
      <w:r>
        <w:rPr>
          <w:sz w:val="20"/>
          <w:szCs w:val="20"/>
          <w:u w:color="000000"/>
          <w:shd w:val="clear" w:color="auto" w:fill="ffffff"/>
          <w:rtl w:val="0"/>
          <w:lang w:val="en-US"/>
        </w:rPr>
        <w:t>Members agreed to not object to</w:t>
      </w:r>
      <w:r>
        <w:rPr>
          <w:sz w:val="20"/>
          <w:szCs w:val="20"/>
          <w:u w:color="000000"/>
          <w:shd w:val="clear" w:color="auto" w:fill="ffffff"/>
          <w:rtl w:val="0"/>
        </w:rPr>
        <w:t xml:space="preserve"> </w:t>
      </w:r>
      <w:r>
        <w:rPr>
          <w:sz w:val="20"/>
          <w:szCs w:val="20"/>
          <w:u w:color="000000"/>
          <w:shd w:val="clear" w:color="auto" w:fill="ffffff"/>
          <w:rtl w:val="0"/>
          <w:lang w:val="en-US"/>
        </w:rPr>
        <w:t>this</w:t>
      </w:r>
      <w:r>
        <w:rPr>
          <w:sz w:val="20"/>
          <w:szCs w:val="20"/>
          <w:u w:color="000000"/>
          <w:shd w:val="clear" w:color="auto" w:fill="ffffff"/>
          <w:rtl w:val="0"/>
          <w:lang w:val="en-US"/>
        </w:rPr>
        <w:t xml:space="preserve"> planning </w:t>
      </w:r>
      <w:r>
        <w:rPr>
          <w:sz w:val="20"/>
          <w:szCs w:val="20"/>
          <w:u w:color="000000"/>
          <w:shd w:val="clear" w:color="auto" w:fill="ffffff"/>
          <w:rtl w:val="0"/>
          <w:lang w:val="en-US"/>
        </w:rPr>
        <w:t>application</w:t>
      </w:r>
      <w:r>
        <w:rPr>
          <w:sz w:val="20"/>
          <w:szCs w:val="20"/>
          <w:u w:color="000000"/>
          <w:shd w:val="clear" w:color="auto" w:fill="ffffff"/>
          <w:rtl w:val="0"/>
        </w:rPr>
        <w:t xml:space="preserve"> </w:t>
      </w:r>
      <w:r>
        <w:rPr>
          <w:sz w:val="20"/>
          <w:szCs w:val="20"/>
          <w:u w:color="000000"/>
          <w:shd w:val="clear" w:color="auto" w:fill="ffffff"/>
          <w:rtl w:val="0"/>
          <w:lang w:val="en-US"/>
        </w:rPr>
        <w:t xml:space="preserve">on the basis of </w:t>
      </w:r>
      <w:r>
        <w:rPr>
          <w:sz w:val="20"/>
          <w:szCs w:val="20"/>
          <w:u w:color="000000"/>
          <w:shd w:val="clear" w:color="auto" w:fill="ffffff"/>
          <w:rtl w:val="0"/>
          <w:lang w:val="en-US"/>
        </w:rPr>
        <w:t>two key aspects safeguarded</w:t>
      </w:r>
      <w:r>
        <w:rPr>
          <w:sz w:val="20"/>
          <w:szCs w:val="20"/>
          <w:u w:color="000000"/>
          <w:shd w:val="clear" w:color="auto" w:fill="ffffff"/>
          <w:rtl w:val="0"/>
          <w:lang w:val="en-US"/>
        </w:rPr>
        <w:t xml:space="preserve"> in the form of conditions</w:t>
      </w:r>
      <w:r>
        <w:rPr>
          <w:sz w:val="20"/>
          <w:szCs w:val="20"/>
          <w:u w:color="000000"/>
          <w:shd w:val="clear" w:color="auto" w:fill="ffffff"/>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00" w:lineRule="atLeast"/>
        <w:ind w:left="0" w:right="0" w:firstLine="0"/>
        <w:jc w:val="left"/>
        <w:rPr>
          <w:rtl w:val="0"/>
        </w:rPr>
      </w:pPr>
    </w:p>
    <w:p>
      <w:pPr>
        <w:pStyle w:val="Default"/>
        <w:numPr>
          <w:ilvl w:val="0"/>
          <w:numId w:val="2"/>
        </w:numPr>
        <w:bidi w:val="0"/>
        <w:spacing w:line="300" w:lineRule="atLeast"/>
        <w:ind w:right="0"/>
        <w:jc w:val="left"/>
        <w:rPr>
          <w:sz w:val="20"/>
          <w:szCs w:val="20"/>
          <w:shd w:val="clear" w:color="auto" w:fill="ffffff"/>
          <w:rtl w:val="0"/>
        </w:rPr>
      </w:pPr>
      <w:r>
        <w:rPr>
          <w:sz w:val="20"/>
          <w:szCs w:val="20"/>
          <w:u w:color="000000"/>
          <w:shd w:val="clear" w:color="auto" w:fill="ffffff"/>
          <w:rtl w:val="0"/>
        </w:rPr>
        <w:tab/>
      </w:r>
      <w:r>
        <w:rPr>
          <w:sz w:val="20"/>
          <w:szCs w:val="20"/>
          <w:u w:color="000000"/>
          <w:shd w:val="clear" w:color="auto" w:fill="ffffff"/>
          <w:rtl w:val="0"/>
          <w:lang w:val="en-US"/>
        </w:rPr>
        <w:t xml:space="preserve">Commercial use of the ground floor and presentation of </w:t>
      </w:r>
      <w:r>
        <w:rPr>
          <w:sz w:val="20"/>
          <w:szCs w:val="20"/>
          <w:u w:color="000000"/>
          <w:shd w:val="clear" w:color="auto" w:fill="ffffff"/>
          <w:rtl w:val="0"/>
          <w:lang w:val="en-US"/>
        </w:rPr>
        <w:t>an active ground floor frontage, i.e. retail use</w:t>
      </w:r>
      <w:r>
        <w:rPr>
          <w:sz w:val="20"/>
          <w:szCs w:val="20"/>
          <w:u w:color="000000"/>
          <w:shd w:val="clear" w:color="auto" w:fill="ffffff"/>
          <w:rtl w:val="0"/>
          <w:lang w:val="en-US"/>
        </w:rPr>
        <w:t xml:space="preserve">; </w:t>
      </w:r>
    </w:p>
    <w:p>
      <w:pPr>
        <w:pStyle w:val="Default"/>
        <w:numPr>
          <w:ilvl w:val="0"/>
          <w:numId w:val="2"/>
        </w:numPr>
        <w:bidi w:val="0"/>
        <w:spacing w:line="300" w:lineRule="atLeast"/>
        <w:ind w:right="0"/>
        <w:jc w:val="left"/>
        <w:rPr>
          <w:sz w:val="20"/>
          <w:szCs w:val="20"/>
          <w:shd w:val="clear" w:color="auto" w:fill="ffffff"/>
          <w:rtl w:val="0"/>
          <w:lang w:val="en-US"/>
        </w:rPr>
      </w:pPr>
      <w:r>
        <w:rPr>
          <w:sz w:val="20"/>
          <w:szCs w:val="20"/>
          <w:u w:color="000000"/>
          <w:shd w:val="clear" w:color="auto" w:fill="ffffff"/>
          <w:rtl w:val="0"/>
          <w:lang w:val="en-US"/>
        </w:rPr>
        <w:t>N</w:t>
      </w:r>
      <w:r>
        <w:rPr>
          <w:sz w:val="20"/>
          <w:szCs w:val="20"/>
          <w:u w:color="000000"/>
          <w:shd w:val="clear" w:color="auto" w:fill="ffffff"/>
          <w:rtl w:val="0"/>
        </w:rPr>
        <w:t>o blind glazing</w:t>
      </w:r>
      <w:r>
        <w:rPr>
          <w:sz w:val="20"/>
          <w:szCs w:val="20"/>
          <w:u w:color="000000"/>
          <w:shd w:val="clear" w:color="auto" w:fill="ffffff"/>
          <w:rtl w:val="0"/>
          <w:lang w:val="en-US"/>
        </w:rPr>
        <w:t xml:space="preserve">, </w:t>
      </w:r>
      <w:r>
        <w:rPr>
          <w:sz w:val="20"/>
          <w:szCs w:val="20"/>
          <w:u w:color="000000"/>
          <w:shd w:val="clear" w:color="auto" w:fill="ffffff"/>
          <w:rtl w:val="0"/>
          <w:lang w:val="en-US"/>
        </w:rPr>
        <w:t>curtains</w:t>
      </w:r>
      <w:r>
        <w:rPr>
          <w:sz w:val="20"/>
          <w:szCs w:val="20"/>
          <w:u w:color="000000"/>
          <w:shd w:val="clear" w:color="auto" w:fill="ffffff"/>
          <w:rtl w:val="0"/>
          <w:lang w:val="en-US"/>
        </w:rPr>
        <w:t xml:space="preserve"> or other associated device obstructing views through the ground floor street and corner window into the the ground floor</w:t>
      </w:r>
      <w:r>
        <w:rPr>
          <w:sz w:val="20"/>
          <w:szCs w:val="20"/>
          <w:u w:color="000000"/>
          <w:shd w:val="clear" w:color="auto" w:fill="ffffff"/>
          <w:rtl w:val="0"/>
        </w:rPr>
        <w:br w:type="textWrapping"/>
      </w:r>
    </w:p>
    <w:p>
      <w:pPr>
        <w:pStyle w:val="Default"/>
        <w:numPr>
          <w:ilvl w:val="0"/>
          <w:numId w:val="2"/>
        </w:numPr>
        <w:bidi w:val="0"/>
        <w:spacing w:line="300" w:lineRule="atLeast"/>
        <w:ind w:right="0"/>
        <w:jc w:val="left"/>
        <w:rPr>
          <w:sz w:val="20"/>
          <w:szCs w:val="20"/>
          <w:shd w:val="clear" w:color="auto" w:fill="ffffff"/>
          <w:rtl w:val="0"/>
        </w:rPr>
      </w:pPr>
      <w:r>
        <w:rPr>
          <w:sz w:val="20"/>
          <w:szCs w:val="20"/>
          <w:u w:color="000000"/>
          <w:shd w:val="clear" w:color="auto" w:fill="ffffff"/>
          <w:rtl w:val="0"/>
        </w:rPr>
        <w:tab/>
        <w:t>no railing outside the ground floor, to ensure accessibility and attractiveness of commercial ground floor unit and also to ensure this important corner is appropriately expressed in streetscape terms. Members felt a railing would also create a visibility issue from Baynes St.</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num" w:pos="205"/>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5" w:hanging="9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758"/>
          <w:tab w:val="left" w:pos="1440"/>
          <w:tab w:val="left" w:pos="2160"/>
          <w:tab w:val="left" w:pos="2880"/>
          <w:tab w:val="left" w:pos="3600"/>
          <w:tab w:val="left" w:pos="4320"/>
          <w:tab w:val="left" w:pos="5040"/>
          <w:tab w:val="left" w:pos="5760"/>
          <w:tab w:val="left" w:pos="6480"/>
          <w:tab w:val="left" w:pos="7200"/>
          <w:tab w:val="left" w:pos="7920"/>
          <w:tab w:val="left" w:pos="8640"/>
        </w:tabs>
        <w:ind w:left="1478" w:hanging="87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num" w:pos="1358"/>
          <w:tab w:val="left" w:pos="1440"/>
          <w:tab w:val="left" w:pos="2160"/>
          <w:tab w:val="left" w:pos="2880"/>
          <w:tab w:val="left" w:pos="3600"/>
          <w:tab w:val="left" w:pos="4320"/>
          <w:tab w:val="left" w:pos="5040"/>
          <w:tab w:val="left" w:pos="5760"/>
          <w:tab w:val="left" w:pos="6480"/>
          <w:tab w:val="left" w:pos="7200"/>
          <w:tab w:val="left" w:pos="7920"/>
          <w:tab w:val="left" w:pos="8640"/>
        </w:tabs>
        <w:ind w:left="2078" w:hanging="8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1440"/>
          <w:tab w:val="num" w:pos="1958"/>
          <w:tab w:val="left" w:pos="2160"/>
          <w:tab w:val="left" w:pos="2880"/>
          <w:tab w:val="left" w:pos="3600"/>
          <w:tab w:val="left" w:pos="4320"/>
          <w:tab w:val="left" w:pos="5040"/>
          <w:tab w:val="left" w:pos="5760"/>
          <w:tab w:val="left" w:pos="6480"/>
          <w:tab w:val="left" w:pos="7200"/>
          <w:tab w:val="left" w:pos="7920"/>
          <w:tab w:val="left" w:pos="8640"/>
        </w:tabs>
        <w:ind w:left="2678" w:hanging="87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1440"/>
          <w:tab w:val="left" w:pos="2160"/>
          <w:tab w:val="num" w:pos="2558"/>
          <w:tab w:val="left" w:pos="2880"/>
          <w:tab w:val="left" w:pos="3600"/>
          <w:tab w:val="left" w:pos="4320"/>
          <w:tab w:val="left" w:pos="5040"/>
          <w:tab w:val="left" w:pos="5760"/>
          <w:tab w:val="left" w:pos="6480"/>
          <w:tab w:val="left" w:pos="7200"/>
          <w:tab w:val="left" w:pos="7920"/>
          <w:tab w:val="left" w:pos="8640"/>
        </w:tabs>
        <w:ind w:left="3278" w:hanging="87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1440"/>
          <w:tab w:val="left" w:pos="2160"/>
          <w:tab w:val="left" w:pos="2880"/>
          <w:tab w:val="num" w:pos="3158"/>
          <w:tab w:val="left" w:pos="3600"/>
          <w:tab w:val="left" w:pos="4320"/>
          <w:tab w:val="left" w:pos="5040"/>
          <w:tab w:val="left" w:pos="5760"/>
          <w:tab w:val="left" w:pos="6480"/>
          <w:tab w:val="left" w:pos="7200"/>
          <w:tab w:val="left" w:pos="7920"/>
          <w:tab w:val="left" w:pos="8640"/>
        </w:tabs>
        <w:ind w:left="3878" w:hanging="8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1440"/>
          <w:tab w:val="left" w:pos="2160"/>
          <w:tab w:val="left" w:pos="2880"/>
          <w:tab w:val="left" w:pos="3600"/>
          <w:tab w:val="num" w:pos="3758"/>
          <w:tab w:val="left" w:pos="4320"/>
          <w:tab w:val="left" w:pos="5040"/>
          <w:tab w:val="left" w:pos="5760"/>
          <w:tab w:val="left" w:pos="6480"/>
          <w:tab w:val="left" w:pos="7200"/>
          <w:tab w:val="left" w:pos="7920"/>
          <w:tab w:val="left" w:pos="8640"/>
        </w:tabs>
        <w:ind w:left="4478" w:hanging="87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1440"/>
          <w:tab w:val="left" w:pos="2160"/>
          <w:tab w:val="left" w:pos="2880"/>
          <w:tab w:val="left" w:pos="3600"/>
          <w:tab w:val="num" w:pos="4358"/>
          <w:tab w:val="left" w:pos="5040"/>
          <w:tab w:val="left" w:pos="5760"/>
          <w:tab w:val="left" w:pos="6480"/>
          <w:tab w:val="left" w:pos="7200"/>
          <w:tab w:val="left" w:pos="7920"/>
          <w:tab w:val="left" w:pos="8640"/>
        </w:tabs>
        <w:ind w:left="5078" w:hanging="87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1440"/>
          <w:tab w:val="left" w:pos="2160"/>
          <w:tab w:val="left" w:pos="2880"/>
          <w:tab w:val="left" w:pos="3600"/>
          <w:tab w:val="left" w:pos="4320"/>
          <w:tab w:val="num" w:pos="4958"/>
          <w:tab w:val="left" w:pos="5040"/>
          <w:tab w:val="left" w:pos="5760"/>
          <w:tab w:val="left" w:pos="6480"/>
          <w:tab w:val="left" w:pos="7200"/>
          <w:tab w:val="left" w:pos="7920"/>
          <w:tab w:val="left" w:pos="8640"/>
        </w:tabs>
        <w:ind w:left="5678" w:hanging="8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color w:val="0000ff"/>
      <w:u w:val="single" w:color="0000ff"/>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