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A5" w:rsidRPr="002A34A5" w:rsidRDefault="002A34A5" w:rsidP="002A34A5">
      <w:pPr>
        <w:rPr>
          <w:b/>
        </w:rPr>
      </w:pPr>
      <w:bookmarkStart w:id="0" w:name="_GoBack"/>
      <w:bookmarkEnd w:id="0"/>
    </w:p>
    <w:p w:rsidR="002A34A5" w:rsidRDefault="002A34A5" w:rsidP="002A34A5">
      <w:pPr>
        <w:jc w:val="center"/>
        <w:rPr>
          <w:rFonts w:ascii="Arial" w:hAnsi="Arial" w:cs="Arial"/>
          <w:b/>
          <w:bCs/>
          <w:sz w:val="24"/>
          <w:szCs w:val="24"/>
        </w:rPr>
      </w:pPr>
      <w:r w:rsidRPr="002A34A5">
        <w:rPr>
          <w:rFonts w:ascii="Arial" w:hAnsi="Arial" w:cs="Arial"/>
          <w:b/>
          <w:bCs/>
          <w:sz w:val="24"/>
          <w:szCs w:val="24"/>
        </w:rPr>
        <w:t>Supplementary Information for Planning Committee</w:t>
      </w:r>
    </w:p>
    <w:sdt>
      <w:sdtPr>
        <w:rPr>
          <w:rFonts w:ascii="Arial" w:hAnsi="Arial" w:cs="Arial"/>
          <w:b/>
          <w:sz w:val="24"/>
          <w:szCs w:val="24"/>
        </w:rPr>
        <w:id w:val="1548110251"/>
        <w:placeholder>
          <w:docPart w:val="06B8E15C31ED49B5990275276C3AC6FE"/>
        </w:placeholder>
      </w:sdtPr>
      <w:sdtEndPr/>
      <w:sdtContent>
        <w:p w:rsidR="002F6B05" w:rsidRPr="002A34A5" w:rsidRDefault="00E549E5" w:rsidP="002A34A5">
          <w:pPr>
            <w:jc w:val="center"/>
            <w:rPr>
              <w:rFonts w:ascii="Arial" w:hAnsi="Arial" w:cs="Arial"/>
              <w:b/>
              <w:sz w:val="24"/>
              <w:szCs w:val="24"/>
            </w:rPr>
          </w:pPr>
          <w:r>
            <w:rPr>
              <w:rFonts w:ascii="Arial" w:hAnsi="Arial" w:cs="Arial"/>
              <w:b/>
              <w:sz w:val="24"/>
              <w:szCs w:val="24"/>
            </w:rPr>
            <w:t>14</w:t>
          </w:r>
          <w:r w:rsidRPr="00E549E5">
            <w:rPr>
              <w:rFonts w:ascii="Arial" w:hAnsi="Arial" w:cs="Arial"/>
              <w:b/>
              <w:sz w:val="24"/>
              <w:szCs w:val="24"/>
              <w:vertAlign w:val="superscript"/>
            </w:rPr>
            <w:t>th</w:t>
          </w:r>
          <w:r>
            <w:rPr>
              <w:rFonts w:ascii="Arial" w:hAnsi="Arial" w:cs="Arial"/>
              <w:b/>
              <w:sz w:val="24"/>
              <w:szCs w:val="24"/>
            </w:rPr>
            <w:t xml:space="preserve"> December 2017</w:t>
          </w:r>
        </w:p>
      </w:sdtContent>
    </w:sdt>
    <w:p w:rsidR="002A34A5" w:rsidRDefault="002A34A5" w:rsidP="002A34A5">
      <w:pPr>
        <w:pBdr>
          <w:top w:val="single" w:sz="4" w:space="1" w:color="auto"/>
        </w:pBdr>
        <w:rPr>
          <w:rFonts w:ascii="Arial" w:hAnsi="Arial" w:cs="Arial"/>
          <w:sz w:val="24"/>
          <w:szCs w:val="24"/>
        </w:rPr>
      </w:pPr>
    </w:p>
    <w:p w:rsidR="002A34A5" w:rsidRPr="002A34A5" w:rsidRDefault="002A34A5" w:rsidP="002A34A5">
      <w:pPr>
        <w:rPr>
          <w:rFonts w:ascii="Arial" w:hAnsi="Arial" w:cs="Arial"/>
          <w:sz w:val="24"/>
          <w:szCs w:val="24"/>
        </w:rPr>
      </w:pPr>
      <w:r w:rsidRPr="002A34A5">
        <w:rPr>
          <w:rFonts w:ascii="Arial" w:hAnsi="Arial" w:cs="Arial"/>
          <w:sz w:val="24"/>
          <w:szCs w:val="24"/>
        </w:rPr>
        <w:t xml:space="preserve">Agenda Item: </w:t>
      </w:r>
      <w:r w:rsidRPr="002A34A5">
        <w:rPr>
          <w:rFonts w:ascii="Arial" w:hAnsi="Arial" w:cs="Arial"/>
          <w:sz w:val="24"/>
          <w:szCs w:val="24"/>
        </w:rPr>
        <w:tab/>
      </w:r>
      <w:r w:rsidR="002B0617">
        <w:rPr>
          <w:rFonts w:ascii="Arial" w:hAnsi="Arial" w:cs="Arial"/>
          <w:sz w:val="24"/>
          <w:szCs w:val="24"/>
        </w:rPr>
        <w:t xml:space="preserve"> </w:t>
      </w:r>
      <w:r w:rsidR="002F6B05">
        <w:rPr>
          <w:rFonts w:ascii="Arial" w:hAnsi="Arial" w:cs="Arial"/>
          <w:sz w:val="24"/>
          <w:szCs w:val="24"/>
        </w:rPr>
        <w:tab/>
      </w:r>
      <w:sdt>
        <w:sdtPr>
          <w:rPr>
            <w:rFonts w:ascii="Arial" w:hAnsi="Arial" w:cs="Arial"/>
            <w:sz w:val="24"/>
            <w:szCs w:val="24"/>
          </w:rPr>
          <w:id w:val="287793047"/>
          <w:placeholder>
            <w:docPart w:val="3FFEB05AD16F4E42AD1A26B67C5D7F0D"/>
          </w:placeholder>
        </w:sdtPr>
        <w:sdtEndPr/>
        <w:sdtContent>
          <w:r w:rsidR="00E549E5">
            <w:rPr>
              <w:rFonts w:ascii="Arial" w:hAnsi="Arial" w:cs="Arial"/>
              <w:sz w:val="24"/>
              <w:szCs w:val="24"/>
            </w:rPr>
            <w:t>4</w:t>
          </w:r>
        </w:sdtContent>
      </w:sdt>
    </w:p>
    <w:p w:rsidR="002F6B05" w:rsidRDefault="002A34A5" w:rsidP="002A34A5">
      <w:pPr>
        <w:rPr>
          <w:rFonts w:ascii="Arial" w:hAnsi="Arial" w:cs="Arial"/>
          <w:sz w:val="24"/>
          <w:szCs w:val="24"/>
        </w:rPr>
      </w:pPr>
      <w:r w:rsidRPr="002A34A5">
        <w:rPr>
          <w:rFonts w:ascii="Arial" w:hAnsi="Arial" w:cs="Arial"/>
          <w:sz w:val="24"/>
          <w:szCs w:val="24"/>
        </w:rPr>
        <w:t xml:space="preserve">Application Numbers: </w:t>
      </w:r>
      <w:r w:rsidRPr="002A34A5">
        <w:rPr>
          <w:rFonts w:ascii="Arial" w:hAnsi="Arial" w:cs="Arial"/>
          <w:sz w:val="24"/>
          <w:szCs w:val="24"/>
        </w:rPr>
        <w:tab/>
      </w:r>
      <w:sdt>
        <w:sdtPr>
          <w:rPr>
            <w:rFonts w:ascii="Arial" w:hAnsi="Arial" w:cs="Arial"/>
            <w:sz w:val="24"/>
            <w:szCs w:val="24"/>
          </w:rPr>
          <w:id w:val="-2130540424"/>
          <w:placeholder>
            <w:docPart w:val="A610C189880646139B88426BFA5E9805"/>
          </w:placeholder>
        </w:sdtPr>
        <w:sdtEndPr/>
        <w:sdtContent>
          <w:r w:rsidR="00E549E5">
            <w:rPr>
              <w:rFonts w:ascii="Arial" w:hAnsi="Arial" w:cs="Arial"/>
              <w:sz w:val="24"/>
              <w:szCs w:val="24"/>
            </w:rPr>
            <w:t>2016/2094/P</w:t>
          </w:r>
        </w:sdtContent>
      </w:sdt>
    </w:p>
    <w:p w:rsidR="007D6E4F" w:rsidRDefault="002A34A5" w:rsidP="002A34A5">
      <w:pPr>
        <w:rPr>
          <w:rFonts w:ascii="Arial" w:hAnsi="Arial" w:cs="Arial"/>
          <w:sz w:val="24"/>
          <w:szCs w:val="24"/>
        </w:rPr>
      </w:pPr>
      <w:r w:rsidRPr="002A34A5">
        <w:rPr>
          <w:rFonts w:ascii="Arial" w:hAnsi="Arial" w:cs="Arial"/>
          <w:sz w:val="24"/>
          <w:szCs w:val="24"/>
        </w:rPr>
        <w:t xml:space="preserve">Address: </w:t>
      </w:r>
      <w:r w:rsidRPr="002A34A5">
        <w:rPr>
          <w:rFonts w:ascii="Arial" w:hAnsi="Arial" w:cs="Arial"/>
          <w:sz w:val="24"/>
          <w:szCs w:val="24"/>
        </w:rPr>
        <w:tab/>
      </w:r>
      <w:r w:rsidRPr="002A34A5">
        <w:rPr>
          <w:rFonts w:ascii="Arial" w:hAnsi="Arial" w:cs="Arial"/>
          <w:sz w:val="24"/>
          <w:szCs w:val="24"/>
        </w:rPr>
        <w:tab/>
      </w:r>
      <w:r w:rsidR="002F6B05">
        <w:rPr>
          <w:rFonts w:ascii="Arial" w:hAnsi="Arial" w:cs="Arial"/>
          <w:sz w:val="24"/>
          <w:szCs w:val="24"/>
        </w:rPr>
        <w:tab/>
      </w:r>
      <w:sdt>
        <w:sdtPr>
          <w:rPr>
            <w:rFonts w:ascii="Arial" w:hAnsi="Arial" w:cs="Arial"/>
            <w:sz w:val="24"/>
            <w:szCs w:val="24"/>
          </w:rPr>
          <w:id w:val="1531296145"/>
          <w:placeholder>
            <w:docPart w:val="1390F13AE8EC4CF5915A1C9672E2E2E8"/>
          </w:placeholder>
        </w:sdtPr>
        <w:sdtEndPr/>
        <w:sdtContent>
          <w:r w:rsidR="00E549E5">
            <w:rPr>
              <w:rFonts w:ascii="Arial" w:hAnsi="Arial" w:cs="Arial"/>
              <w:sz w:val="24"/>
              <w:szCs w:val="24"/>
            </w:rPr>
            <w:t>150 Holborn, London, EC1N 2NS</w:t>
          </w:r>
        </w:sdtContent>
      </w:sdt>
    </w:p>
    <w:p w:rsidR="00C805FB" w:rsidRDefault="00C805FB" w:rsidP="002A34A5">
      <w:pPr>
        <w:pBdr>
          <w:bottom w:val="single" w:sz="4" w:space="1" w:color="auto"/>
        </w:pBdr>
        <w:rPr>
          <w:rFonts w:ascii="Arial" w:hAnsi="Arial" w:cs="Arial"/>
          <w:sz w:val="24"/>
          <w:szCs w:val="24"/>
        </w:rPr>
      </w:pPr>
    </w:p>
    <w:p w:rsidR="00C805FB" w:rsidRPr="00620597" w:rsidRDefault="00BD754C" w:rsidP="00620597">
      <w:pPr>
        <w:pStyle w:val="ListParagraph"/>
        <w:numPr>
          <w:ilvl w:val="0"/>
          <w:numId w:val="11"/>
        </w:numPr>
        <w:spacing w:after="0"/>
        <w:ind w:left="426" w:hanging="426"/>
        <w:rPr>
          <w:rFonts w:ascii="Arial" w:hAnsi="Arial" w:cs="Arial"/>
          <w:sz w:val="24"/>
          <w:szCs w:val="24"/>
        </w:rPr>
      </w:pPr>
      <w:r w:rsidRPr="00620597">
        <w:rPr>
          <w:rFonts w:ascii="Arial" w:hAnsi="Arial" w:cs="Arial"/>
          <w:sz w:val="24"/>
          <w:szCs w:val="24"/>
          <w:u w:val="single"/>
        </w:rPr>
        <w:t>Additional consultation response</w:t>
      </w:r>
      <w:r w:rsidRPr="00620597">
        <w:rPr>
          <w:rFonts w:ascii="Arial" w:hAnsi="Arial" w:cs="Arial"/>
          <w:sz w:val="24"/>
          <w:szCs w:val="24"/>
        </w:rPr>
        <w:t xml:space="preserve"> (New paragraph following 4.18)</w:t>
      </w:r>
    </w:p>
    <w:p w:rsidR="00C70CE3" w:rsidRPr="0047023A" w:rsidRDefault="00C70CE3" w:rsidP="00C70CE3">
      <w:pPr>
        <w:pStyle w:val="ListParagraph"/>
        <w:spacing w:after="0"/>
        <w:rPr>
          <w:rFonts w:ascii="Arial" w:hAnsi="Arial" w:cs="Arial"/>
          <w:sz w:val="24"/>
          <w:szCs w:val="24"/>
        </w:rPr>
      </w:pPr>
    </w:p>
    <w:p w:rsidR="00BD754C" w:rsidRPr="00F516B6" w:rsidRDefault="00BD754C" w:rsidP="009C484E">
      <w:pPr>
        <w:ind w:firstLine="426"/>
        <w:rPr>
          <w:rFonts w:ascii="Arial" w:hAnsi="Arial" w:cs="Arial"/>
          <w:sz w:val="24"/>
          <w:szCs w:val="24"/>
          <w:u w:val="single"/>
        </w:rPr>
      </w:pPr>
      <w:r w:rsidRPr="00F516B6">
        <w:rPr>
          <w:rFonts w:ascii="Arial" w:hAnsi="Arial" w:cs="Arial"/>
          <w:b/>
          <w:sz w:val="24"/>
          <w:szCs w:val="24"/>
          <w:u w:val="single"/>
        </w:rPr>
        <w:t>Westminster Kingsway College</w:t>
      </w:r>
      <w:r w:rsidRPr="00F516B6">
        <w:rPr>
          <w:rFonts w:ascii="Arial" w:hAnsi="Arial" w:cs="Arial"/>
          <w:sz w:val="24"/>
          <w:szCs w:val="24"/>
          <w:u w:val="single"/>
        </w:rPr>
        <w:t xml:space="preserve">: </w:t>
      </w:r>
      <w:r w:rsidRPr="00F516B6">
        <w:rPr>
          <w:rFonts w:ascii="Arial" w:hAnsi="Arial" w:cs="Arial"/>
          <w:b/>
          <w:sz w:val="24"/>
          <w:szCs w:val="24"/>
          <w:u w:val="single"/>
        </w:rPr>
        <w:t>support</w:t>
      </w:r>
    </w:p>
    <w:p w:rsidR="008A4948" w:rsidRDefault="000956D4" w:rsidP="007B5F87">
      <w:pPr>
        <w:pStyle w:val="ListParagraph"/>
        <w:numPr>
          <w:ilvl w:val="1"/>
          <w:numId w:val="11"/>
        </w:numPr>
        <w:ind w:left="426" w:hanging="426"/>
        <w:jc w:val="both"/>
        <w:rPr>
          <w:rFonts w:ascii="Arial" w:hAnsi="Arial" w:cs="Arial"/>
          <w:sz w:val="24"/>
          <w:szCs w:val="24"/>
        </w:rPr>
      </w:pPr>
      <w:r>
        <w:rPr>
          <w:rFonts w:ascii="Arial" w:hAnsi="Arial" w:cs="Arial"/>
          <w:sz w:val="24"/>
          <w:szCs w:val="24"/>
        </w:rPr>
        <w:t>An email</w:t>
      </w:r>
      <w:r w:rsidR="00CB42CE" w:rsidRPr="00C76280">
        <w:rPr>
          <w:rFonts w:ascii="Arial" w:hAnsi="Arial" w:cs="Arial"/>
          <w:sz w:val="24"/>
          <w:szCs w:val="24"/>
        </w:rPr>
        <w:t xml:space="preserve"> of support </w:t>
      </w:r>
      <w:r w:rsidR="00BD754C" w:rsidRPr="00C76280">
        <w:rPr>
          <w:rFonts w:ascii="Arial" w:hAnsi="Arial" w:cs="Arial"/>
          <w:sz w:val="24"/>
          <w:szCs w:val="24"/>
        </w:rPr>
        <w:t xml:space="preserve">for the application </w:t>
      </w:r>
      <w:r w:rsidR="00CB42CE" w:rsidRPr="00C76280">
        <w:rPr>
          <w:rFonts w:ascii="Arial" w:hAnsi="Arial" w:cs="Arial"/>
          <w:sz w:val="24"/>
          <w:szCs w:val="24"/>
        </w:rPr>
        <w:t>was received from</w:t>
      </w:r>
      <w:r w:rsidR="00BD754C" w:rsidRPr="00C76280">
        <w:rPr>
          <w:rFonts w:ascii="Arial" w:hAnsi="Arial" w:cs="Arial"/>
          <w:sz w:val="24"/>
          <w:szCs w:val="24"/>
        </w:rPr>
        <w:t xml:space="preserve"> the </w:t>
      </w:r>
      <w:r w:rsidR="00CB42CE" w:rsidRPr="00C76280">
        <w:rPr>
          <w:rFonts w:ascii="Arial" w:hAnsi="Arial" w:cs="Arial"/>
          <w:sz w:val="24"/>
          <w:szCs w:val="24"/>
        </w:rPr>
        <w:t xml:space="preserve">Principal of Westminster Kingsway College.  </w:t>
      </w:r>
      <w:r w:rsidR="00BD754C" w:rsidRPr="00C76280">
        <w:rPr>
          <w:rFonts w:ascii="Arial" w:hAnsi="Arial" w:cs="Arial"/>
          <w:sz w:val="24"/>
          <w:szCs w:val="24"/>
        </w:rPr>
        <w:t xml:space="preserve">It advises that the College has met with senior staff from DAR Group (the applicant) on a number of occasions and are discussing the best way forward for a mutually beneficial relationship to support student assignments and funding of competitions.  Discussions have also taken place concerning site visits for Construction students and mentoring for these learners.  </w:t>
      </w:r>
      <w:r w:rsidR="00F516B6" w:rsidRPr="00C76280">
        <w:rPr>
          <w:rFonts w:ascii="Arial" w:hAnsi="Arial" w:cs="Arial"/>
          <w:sz w:val="24"/>
          <w:szCs w:val="24"/>
        </w:rPr>
        <w:t>DAR are also offering work experience for the colleges learners and ‘real world’ scenarios for their assignments which they are not always able to get from their home lives.  Should the committee be minded to grant approval for the planning proposals, the College are hopeful that a long-term relationship between the College and DAR Group will be established that would benefit the learners of the College and Camden residents.</w:t>
      </w:r>
    </w:p>
    <w:p w:rsidR="0064066F" w:rsidRPr="007B5F87" w:rsidRDefault="0064066F" w:rsidP="0064066F">
      <w:pPr>
        <w:pStyle w:val="ListParagraph"/>
        <w:ind w:left="426"/>
        <w:jc w:val="both"/>
        <w:rPr>
          <w:rFonts w:ascii="Arial" w:hAnsi="Arial" w:cs="Arial"/>
          <w:sz w:val="24"/>
          <w:szCs w:val="24"/>
        </w:rPr>
      </w:pPr>
    </w:p>
    <w:p w:rsidR="00306AF3" w:rsidRPr="0064066F" w:rsidRDefault="00644DAA" w:rsidP="0064066F">
      <w:pPr>
        <w:pStyle w:val="ListParagraph"/>
        <w:numPr>
          <w:ilvl w:val="0"/>
          <w:numId w:val="11"/>
        </w:numPr>
        <w:spacing w:after="0"/>
        <w:jc w:val="both"/>
        <w:rPr>
          <w:rFonts w:ascii="Arial" w:hAnsi="Arial" w:cs="Arial"/>
          <w:sz w:val="24"/>
          <w:szCs w:val="24"/>
          <w:u w:val="single"/>
        </w:rPr>
      </w:pPr>
      <w:r w:rsidRPr="0064066F">
        <w:rPr>
          <w:rFonts w:ascii="Arial" w:hAnsi="Arial" w:cs="Arial"/>
          <w:sz w:val="24"/>
          <w:szCs w:val="24"/>
          <w:u w:val="single"/>
        </w:rPr>
        <w:t xml:space="preserve">Affordable housing: </w:t>
      </w:r>
    </w:p>
    <w:p w:rsidR="0064066F" w:rsidRDefault="0064066F" w:rsidP="0064066F">
      <w:pPr>
        <w:spacing w:after="0"/>
        <w:jc w:val="both"/>
        <w:rPr>
          <w:rFonts w:ascii="Arial" w:hAnsi="Arial" w:cs="Arial"/>
          <w:sz w:val="24"/>
          <w:szCs w:val="24"/>
          <w:u w:val="single"/>
        </w:rPr>
      </w:pPr>
    </w:p>
    <w:p w:rsidR="0064066F" w:rsidRDefault="0064066F" w:rsidP="0064066F">
      <w:pPr>
        <w:spacing w:after="0"/>
        <w:ind w:left="360"/>
        <w:jc w:val="both"/>
        <w:rPr>
          <w:rFonts w:ascii="Arial" w:hAnsi="Arial" w:cs="Arial"/>
          <w:sz w:val="24"/>
          <w:szCs w:val="24"/>
          <w:u w:val="single"/>
        </w:rPr>
      </w:pPr>
      <w:r>
        <w:rPr>
          <w:rFonts w:ascii="Arial" w:hAnsi="Arial" w:cs="Arial"/>
          <w:sz w:val="24"/>
          <w:szCs w:val="24"/>
          <w:u w:val="single"/>
        </w:rPr>
        <w:t>Review mechanism</w:t>
      </w:r>
    </w:p>
    <w:p w:rsidR="0064066F" w:rsidRDefault="0064066F" w:rsidP="0064066F">
      <w:pPr>
        <w:spacing w:after="0"/>
        <w:ind w:left="360"/>
        <w:jc w:val="both"/>
        <w:rPr>
          <w:rFonts w:ascii="Arial" w:hAnsi="Arial" w:cs="Arial"/>
          <w:sz w:val="24"/>
          <w:szCs w:val="24"/>
          <w:u w:val="single"/>
        </w:rPr>
      </w:pPr>
    </w:p>
    <w:p w:rsidR="0064066F" w:rsidRPr="0064066F" w:rsidRDefault="0064066F" w:rsidP="0064066F">
      <w:pPr>
        <w:pStyle w:val="ListParagraph"/>
        <w:numPr>
          <w:ilvl w:val="1"/>
          <w:numId w:val="11"/>
        </w:numPr>
        <w:spacing w:after="0"/>
        <w:ind w:left="426" w:hanging="426"/>
        <w:jc w:val="both"/>
        <w:rPr>
          <w:rFonts w:ascii="Arial" w:hAnsi="Arial" w:cs="Arial"/>
          <w:sz w:val="24"/>
          <w:szCs w:val="24"/>
        </w:rPr>
      </w:pPr>
      <w:r w:rsidRPr="0064066F">
        <w:rPr>
          <w:rFonts w:ascii="Arial" w:hAnsi="Arial" w:cs="Arial"/>
          <w:sz w:val="24"/>
          <w:szCs w:val="24"/>
        </w:rPr>
        <w:t>Paragraph 9.15 shall be replaced with (</w:t>
      </w:r>
      <w:r w:rsidRPr="0064066F">
        <w:rPr>
          <w:rFonts w:ascii="Arial" w:hAnsi="Arial" w:cs="Arial"/>
          <w:b/>
          <w:i/>
          <w:sz w:val="24"/>
          <w:szCs w:val="24"/>
        </w:rPr>
        <w:t>additions shown in bold and italics and deleted parts scored out</w:t>
      </w:r>
      <w:r w:rsidRPr="0064066F">
        <w:rPr>
          <w:rFonts w:ascii="Arial" w:hAnsi="Arial" w:cs="Arial"/>
          <w:sz w:val="24"/>
          <w:szCs w:val="24"/>
        </w:rPr>
        <w:t>)</w:t>
      </w:r>
    </w:p>
    <w:p w:rsidR="0064066F" w:rsidRDefault="0064066F" w:rsidP="0064066F">
      <w:pPr>
        <w:pStyle w:val="ListParagraph"/>
        <w:spacing w:after="0"/>
        <w:ind w:left="1080"/>
        <w:jc w:val="both"/>
        <w:rPr>
          <w:rFonts w:ascii="Arial" w:hAnsi="Arial" w:cs="Arial"/>
          <w:sz w:val="24"/>
          <w:szCs w:val="24"/>
        </w:rPr>
      </w:pPr>
    </w:p>
    <w:p w:rsidR="0064066F" w:rsidRPr="0064066F" w:rsidRDefault="0064066F" w:rsidP="0064066F">
      <w:pPr>
        <w:pStyle w:val="ListParagraph"/>
        <w:spacing w:after="0"/>
        <w:ind w:left="1440" w:hanging="1014"/>
        <w:jc w:val="both"/>
        <w:rPr>
          <w:rFonts w:ascii="Arial" w:hAnsi="Arial" w:cs="Arial"/>
          <w:b/>
          <w:i/>
          <w:strike/>
          <w:sz w:val="24"/>
          <w:szCs w:val="24"/>
        </w:rPr>
      </w:pPr>
      <w:r>
        <w:rPr>
          <w:rFonts w:ascii="Arial" w:hAnsi="Arial" w:cs="Arial"/>
          <w:sz w:val="24"/>
          <w:szCs w:val="24"/>
        </w:rPr>
        <w:t>9.15</w:t>
      </w:r>
      <w:r w:rsidRPr="0064066F">
        <w:rPr>
          <w:rFonts w:ascii="Arial" w:hAnsi="Arial" w:cs="Arial"/>
          <w:sz w:val="24"/>
          <w:szCs w:val="24"/>
        </w:rPr>
        <w:tab/>
        <w:t xml:space="preserve">Given that the proposal fails to meet policy required levels of market housing and affordable housing on-site, planning permission must be subject to a review mechanism provided within the s106 agreement.  This would protect the applicant’s ability to clear the scheme deficit before any deferred contributions become payable and would potentially allow the Council to secure money towards affordable housing in the event of circumstances in terms of viability changing.  Given that the </w:t>
      </w:r>
      <w:r w:rsidRPr="0064066F">
        <w:rPr>
          <w:rFonts w:ascii="Arial" w:hAnsi="Arial" w:cs="Arial"/>
          <w:sz w:val="24"/>
          <w:szCs w:val="24"/>
        </w:rPr>
        <w:lastRenderedPageBreak/>
        <w:t xml:space="preserve">residential use is a small part of the scheme and the office use would be the predominant use, it is recommended that a deferred contribution clause be included in the s106 agreement to be triggered at a point </w:t>
      </w:r>
      <w:r w:rsidRPr="0064066F">
        <w:rPr>
          <w:rFonts w:ascii="Arial" w:hAnsi="Arial" w:cs="Arial"/>
          <w:strike/>
          <w:sz w:val="24"/>
          <w:szCs w:val="24"/>
        </w:rPr>
        <w:t>12 months post practical completion.</w:t>
      </w:r>
      <w:r>
        <w:rPr>
          <w:rFonts w:ascii="Arial" w:hAnsi="Arial" w:cs="Arial"/>
          <w:strike/>
          <w:sz w:val="24"/>
          <w:szCs w:val="24"/>
        </w:rPr>
        <w:t xml:space="preserve">  </w:t>
      </w:r>
      <w:r w:rsidRPr="0064066F">
        <w:rPr>
          <w:rFonts w:ascii="Arial" w:hAnsi="Arial" w:cs="Arial"/>
          <w:b/>
          <w:i/>
          <w:iCs/>
          <w:sz w:val="24"/>
          <w:szCs w:val="24"/>
        </w:rPr>
        <w:t>close to substantial completion</w:t>
      </w:r>
      <w:r w:rsidRPr="0064066F">
        <w:rPr>
          <w:rFonts w:ascii="Arial" w:hAnsi="Arial" w:cs="Arial"/>
          <w:b/>
          <w:i/>
          <w:sz w:val="24"/>
          <w:szCs w:val="24"/>
        </w:rPr>
        <w:t xml:space="preserve"> to provid</w:t>
      </w:r>
      <w:r w:rsidR="00B8255B">
        <w:rPr>
          <w:rFonts w:ascii="Arial" w:hAnsi="Arial" w:cs="Arial"/>
          <w:b/>
          <w:i/>
          <w:sz w:val="24"/>
          <w:szCs w:val="24"/>
        </w:rPr>
        <w:t>e the Council</w:t>
      </w:r>
      <w:r w:rsidRPr="0064066F">
        <w:rPr>
          <w:rFonts w:ascii="Arial" w:hAnsi="Arial" w:cs="Arial"/>
          <w:b/>
          <w:i/>
          <w:sz w:val="24"/>
          <w:szCs w:val="24"/>
        </w:rPr>
        <w:t xml:space="preserve"> with additional security in the event that the developers dispose of their interest in the scheme upon completion</w:t>
      </w:r>
      <w:r w:rsidRPr="0064066F">
        <w:rPr>
          <w:rFonts w:ascii="Arial" w:hAnsi="Arial" w:cs="Arial"/>
          <w:i/>
          <w:sz w:val="24"/>
          <w:szCs w:val="24"/>
        </w:rPr>
        <w:t>.</w:t>
      </w:r>
    </w:p>
    <w:p w:rsidR="00622DC5" w:rsidRPr="00924B15" w:rsidRDefault="00622DC5" w:rsidP="00924B15">
      <w:pPr>
        <w:spacing w:after="0"/>
        <w:jc w:val="both"/>
        <w:rPr>
          <w:rFonts w:ascii="Arial" w:hAnsi="Arial" w:cs="Arial"/>
          <w:b/>
          <w:i/>
          <w:sz w:val="24"/>
          <w:szCs w:val="24"/>
        </w:rPr>
      </w:pPr>
    </w:p>
    <w:p w:rsidR="00622DC5" w:rsidRDefault="00622DC5" w:rsidP="00C70CE3">
      <w:pPr>
        <w:spacing w:after="0"/>
        <w:ind w:left="426"/>
        <w:jc w:val="both"/>
        <w:rPr>
          <w:rFonts w:ascii="Arial" w:hAnsi="Arial" w:cs="Arial"/>
          <w:sz w:val="24"/>
          <w:szCs w:val="24"/>
          <w:u w:val="single"/>
        </w:rPr>
      </w:pPr>
      <w:r w:rsidRPr="006A470E">
        <w:rPr>
          <w:rFonts w:ascii="Arial" w:hAnsi="Arial" w:cs="Arial"/>
          <w:sz w:val="24"/>
          <w:szCs w:val="24"/>
          <w:u w:val="single"/>
        </w:rPr>
        <w:t>Analysis information</w:t>
      </w:r>
    </w:p>
    <w:p w:rsidR="00620597" w:rsidRPr="006A470E" w:rsidRDefault="00620597" w:rsidP="00C70CE3">
      <w:pPr>
        <w:spacing w:after="0"/>
        <w:ind w:left="426"/>
        <w:jc w:val="both"/>
        <w:rPr>
          <w:rFonts w:ascii="Arial" w:hAnsi="Arial" w:cs="Arial"/>
          <w:sz w:val="24"/>
          <w:szCs w:val="24"/>
          <w:u w:val="single"/>
        </w:rPr>
      </w:pPr>
    </w:p>
    <w:p w:rsidR="00622DC5" w:rsidRDefault="00924B15" w:rsidP="00622DC5">
      <w:pPr>
        <w:spacing w:after="0"/>
        <w:ind w:left="426" w:hanging="426"/>
        <w:jc w:val="both"/>
        <w:rPr>
          <w:rFonts w:ascii="Arial" w:hAnsi="Arial" w:cs="Arial"/>
          <w:sz w:val="24"/>
          <w:szCs w:val="24"/>
        </w:rPr>
      </w:pPr>
      <w:r>
        <w:rPr>
          <w:rFonts w:ascii="Arial" w:hAnsi="Arial" w:cs="Arial"/>
          <w:sz w:val="24"/>
          <w:szCs w:val="24"/>
        </w:rPr>
        <w:t>2</w:t>
      </w:r>
      <w:r w:rsidR="008A4948">
        <w:rPr>
          <w:rFonts w:ascii="Arial" w:hAnsi="Arial" w:cs="Arial"/>
          <w:sz w:val="24"/>
          <w:szCs w:val="24"/>
        </w:rPr>
        <w:t>.</w:t>
      </w:r>
      <w:r>
        <w:rPr>
          <w:rFonts w:ascii="Arial" w:hAnsi="Arial" w:cs="Arial"/>
          <w:sz w:val="24"/>
          <w:szCs w:val="24"/>
        </w:rPr>
        <w:t>1</w:t>
      </w:r>
      <w:r w:rsidR="00622DC5">
        <w:rPr>
          <w:rFonts w:ascii="Arial" w:hAnsi="Arial" w:cs="Arial"/>
          <w:sz w:val="24"/>
          <w:szCs w:val="24"/>
        </w:rPr>
        <w:t xml:space="preserve"> In paragraph 9.16 the table listed as Table 4 ‘Payment in Lieu Calculation’ shall be deleted and replaced with:</w:t>
      </w:r>
    </w:p>
    <w:p w:rsidR="00622DC5" w:rsidRDefault="00622DC5" w:rsidP="00622DC5">
      <w:pPr>
        <w:spacing w:after="0"/>
        <w:jc w:val="both"/>
        <w:rPr>
          <w:rFonts w:ascii="Arial" w:hAnsi="Arial" w:cs="Arial"/>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3918"/>
      </w:tblGrid>
      <w:tr w:rsidR="00622DC5" w:rsidRPr="00DE6072" w:rsidTr="007E69C4">
        <w:tc>
          <w:tcPr>
            <w:tcW w:w="8307" w:type="dxa"/>
            <w:gridSpan w:val="2"/>
            <w:shd w:val="clear" w:color="auto" w:fill="auto"/>
          </w:tcPr>
          <w:p w:rsidR="00622DC5" w:rsidRPr="00DE6072" w:rsidRDefault="00622DC5" w:rsidP="001A7C52">
            <w:pPr>
              <w:spacing w:after="0" w:line="260" w:lineRule="atLeast"/>
              <w:jc w:val="both"/>
              <w:rPr>
                <w:rFonts w:ascii="Arial" w:eastAsia="Times New Roman" w:hAnsi="Arial" w:cs="Arial"/>
                <w:b/>
                <w:sz w:val="24"/>
                <w:szCs w:val="24"/>
              </w:rPr>
            </w:pPr>
            <w:r w:rsidRPr="00DE6072">
              <w:rPr>
                <w:rFonts w:ascii="Arial" w:eastAsia="Times New Roman" w:hAnsi="Arial" w:cs="Arial"/>
                <w:b/>
                <w:sz w:val="24"/>
                <w:szCs w:val="24"/>
              </w:rPr>
              <w:t>Table 4: Payment in Lieu Calculation</w:t>
            </w:r>
          </w:p>
        </w:tc>
      </w:tr>
      <w:tr w:rsidR="007E69C4" w:rsidRPr="00DE6072" w:rsidTr="007E69C4">
        <w:tc>
          <w:tcPr>
            <w:tcW w:w="4389" w:type="dxa"/>
            <w:shd w:val="clear" w:color="auto" w:fill="auto"/>
          </w:tcPr>
          <w:p w:rsidR="007E69C4" w:rsidRPr="00DE6072" w:rsidRDefault="007E69C4"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Pr="00DE6072" w:rsidRDefault="007E69C4" w:rsidP="001A7C52">
            <w:pPr>
              <w:spacing w:after="0" w:line="260" w:lineRule="atLeast"/>
              <w:jc w:val="both"/>
              <w:rPr>
                <w:rFonts w:ascii="Arial" w:eastAsia="Times New Roman" w:hAnsi="Arial" w:cs="Arial"/>
                <w:sz w:val="24"/>
                <w:szCs w:val="24"/>
              </w:rPr>
            </w:pPr>
            <w:r w:rsidRPr="00DE6072">
              <w:rPr>
                <w:rFonts w:ascii="Arial" w:eastAsia="Times New Roman" w:hAnsi="Arial" w:cs="Arial"/>
                <w:sz w:val="24"/>
                <w:szCs w:val="24"/>
              </w:rPr>
              <w:t>Floorspace sq. m (GEA)</w:t>
            </w:r>
          </w:p>
          <w:p w:rsidR="007E69C4" w:rsidRPr="00DE6072" w:rsidRDefault="007E69C4" w:rsidP="001A7C52">
            <w:pPr>
              <w:spacing w:after="0" w:line="260" w:lineRule="atLeast"/>
              <w:jc w:val="both"/>
              <w:rPr>
                <w:rFonts w:ascii="Arial" w:eastAsia="Times New Roman" w:hAnsi="Arial" w:cs="Arial"/>
                <w:sz w:val="24"/>
                <w:szCs w:val="24"/>
              </w:rPr>
            </w:pP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Total addition to floorspace proposed</w:t>
            </w:r>
          </w:p>
        </w:tc>
        <w:tc>
          <w:tcPr>
            <w:tcW w:w="3918" w:type="dxa"/>
            <w:shd w:val="clear" w:color="auto" w:fill="auto"/>
          </w:tcPr>
          <w:p w:rsidR="007E69C4" w:rsidRDefault="00CC538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15,635</w:t>
            </w:r>
            <w:r w:rsidR="007E69C4">
              <w:rPr>
                <w:rFonts w:ascii="Arial" w:eastAsia="Times New Roman" w:hAnsi="Arial" w:cs="Arial"/>
                <w:sz w:val="24"/>
                <w:szCs w:val="24"/>
              </w:rPr>
              <w:t xml:space="preserve"> – 11,983 = </w:t>
            </w:r>
            <w:r>
              <w:rPr>
                <w:rFonts w:ascii="Arial" w:eastAsia="Times New Roman" w:hAnsi="Arial" w:cs="Arial"/>
                <w:sz w:val="24"/>
                <w:szCs w:val="24"/>
              </w:rPr>
              <w:t>3,652</w:t>
            </w:r>
            <w:r w:rsidR="007E69C4">
              <w:rPr>
                <w:rFonts w:ascii="Arial" w:eastAsia="Times New Roman" w:hAnsi="Arial" w:cs="Arial"/>
                <w:sz w:val="24"/>
                <w:szCs w:val="24"/>
              </w:rPr>
              <w:t xml:space="preserve"> sq. m (GIA)</w:t>
            </w:r>
          </w:p>
          <w:p w:rsidR="00D71D41" w:rsidRPr="00DE6072" w:rsidRDefault="00D71D41" w:rsidP="001A7C52">
            <w:pPr>
              <w:spacing w:after="0" w:line="260" w:lineRule="atLeast"/>
              <w:jc w:val="both"/>
              <w:rPr>
                <w:rFonts w:ascii="Arial" w:eastAsia="Times New Roman" w:hAnsi="Arial" w:cs="Arial"/>
                <w:sz w:val="24"/>
                <w:szCs w:val="24"/>
              </w:rPr>
            </w:pPr>
          </w:p>
        </w:tc>
      </w:tr>
      <w:tr w:rsidR="007E69C4" w:rsidRPr="00DE6072" w:rsidTr="007E69C4">
        <w:tc>
          <w:tcPr>
            <w:tcW w:w="4389" w:type="dxa"/>
            <w:shd w:val="clear" w:color="auto" w:fill="auto"/>
          </w:tcPr>
          <w:p w:rsidR="007E69C4" w:rsidRPr="00DE6072"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Total addition to floorspace proposed</w:t>
            </w:r>
          </w:p>
        </w:tc>
        <w:tc>
          <w:tcPr>
            <w:tcW w:w="3918" w:type="dxa"/>
            <w:shd w:val="clear" w:color="auto" w:fill="auto"/>
          </w:tcPr>
          <w:p w:rsidR="007E69C4" w:rsidRDefault="00CC538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17,431</w:t>
            </w:r>
            <w:r w:rsidR="007E69C4">
              <w:rPr>
                <w:rFonts w:ascii="Arial" w:eastAsia="Times New Roman" w:hAnsi="Arial" w:cs="Arial"/>
                <w:sz w:val="24"/>
                <w:szCs w:val="24"/>
              </w:rPr>
              <w:t xml:space="preserve"> – 12,798 = </w:t>
            </w:r>
            <w:r>
              <w:rPr>
                <w:rFonts w:ascii="Arial" w:eastAsia="Times New Roman" w:hAnsi="Arial" w:cs="Arial"/>
                <w:sz w:val="24"/>
                <w:szCs w:val="24"/>
              </w:rPr>
              <w:t>4,633</w:t>
            </w:r>
            <w:r w:rsidR="007E69C4">
              <w:rPr>
                <w:rFonts w:ascii="Arial" w:eastAsia="Times New Roman" w:hAnsi="Arial" w:cs="Arial"/>
                <w:sz w:val="24"/>
                <w:szCs w:val="24"/>
              </w:rPr>
              <w:t xml:space="preserve"> sq. m (GEA)</w:t>
            </w:r>
          </w:p>
          <w:p w:rsidR="00D71D41" w:rsidRPr="00DE6072" w:rsidRDefault="00D71D41" w:rsidP="001A7C52">
            <w:pPr>
              <w:spacing w:after="0" w:line="260" w:lineRule="atLeast"/>
              <w:jc w:val="both"/>
              <w:rPr>
                <w:rFonts w:ascii="Arial" w:eastAsia="Times New Roman" w:hAnsi="Arial" w:cs="Arial"/>
                <w:sz w:val="24"/>
                <w:szCs w:val="24"/>
              </w:rPr>
            </w:pPr>
          </w:p>
        </w:tc>
      </w:tr>
      <w:tr w:rsidR="00D71D41" w:rsidRPr="00DE6072"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Self-contained housing floorspace target GIA</w:t>
            </w:r>
          </w:p>
          <w:p w:rsidR="00D71D41"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D71D41" w:rsidRDefault="00CC538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3,652 x 50% = 1,826</w:t>
            </w:r>
            <w:r w:rsidR="00D71D41">
              <w:rPr>
                <w:rFonts w:ascii="Arial" w:eastAsia="Times New Roman" w:hAnsi="Arial" w:cs="Arial"/>
                <w:sz w:val="24"/>
                <w:szCs w:val="24"/>
              </w:rPr>
              <w:t xml:space="preserve"> sq. m (GIA)</w:t>
            </w:r>
          </w:p>
        </w:tc>
      </w:tr>
      <w:tr w:rsidR="00D71D41" w:rsidRPr="00DE6072"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Capacity</w:t>
            </w:r>
          </w:p>
        </w:tc>
        <w:tc>
          <w:tcPr>
            <w:tcW w:w="3918" w:type="dxa"/>
            <w:shd w:val="clear" w:color="auto" w:fill="auto"/>
          </w:tcPr>
          <w:p w:rsidR="00D71D41" w:rsidRDefault="00CC5389" w:rsidP="00522132">
            <w:pPr>
              <w:spacing w:after="0" w:line="260" w:lineRule="atLeast"/>
              <w:jc w:val="both"/>
              <w:rPr>
                <w:rFonts w:ascii="Arial" w:eastAsia="Times New Roman" w:hAnsi="Arial" w:cs="Arial"/>
                <w:sz w:val="24"/>
                <w:szCs w:val="24"/>
              </w:rPr>
            </w:pPr>
            <w:r>
              <w:rPr>
                <w:rFonts w:ascii="Arial" w:eastAsia="Times New Roman" w:hAnsi="Arial" w:cs="Arial"/>
                <w:sz w:val="24"/>
                <w:szCs w:val="24"/>
              </w:rPr>
              <w:t>1,826</w:t>
            </w:r>
            <w:r w:rsidR="00D71D41">
              <w:rPr>
                <w:rFonts w:ascii="Arial" w:eastAsia="Times New Roman" w:hAnsi="Arial" w:cs="Arial"/>
                <w:sz w:val="24"/>
                <w:szCs w:val="24"/>
              </w:rPr>
              <w:t>/100 –</w:t>
            </w:r>
            <w:r>
              <w:rPr>
                <w:rFonts w:ascii="Arial" w:eastAsia="Times New Roman" w:hAnsi="Arial" w:cs="Arial"/>
                <w:sz w:val="24"/>
                <w:szCs w:val="24"/>
              </w:rPr>
              <w:t xml:space="preserve"> 19</w:t>
            </w:r>
            <w:r w:rsidR="00D71D41">
              <w:rPr>
                <w:rFonts w:ascii="Arial" w:eastAsia="Times New Roman" w:hAnsi="Arial" w:cs="Arial"/>
                <w:sz w:val="24"/>
                <w:szCs w:val="24"/>
              </w:rPr>
              <w:t xml:space="preserve"> additional homes </w:t>
            </w:r>
          </w:p>
          <w:p w:rsidR="00522132" w:rsidRDefault="00522132" w:rsidP="00522132">
            <w:pPr>
              <w:spacing w:after="0" w:line="260" w:lineRule="atLeast"/>
              <w:jc w:val="both"/>
              <w:rPr>
                <w:rFonts w:ascii="Arial" w:eastAsia="Times New Roman" w:hAnsi="Arial" w:cs="Arial"/>
                <w:sz w:val="24"/>
                <w:szCs w:val="24"/>
              </w:rPr>
            </w:pP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Self-contained housing floorspace target GEA</w:t>
            </w:r>
          </w:p>
          <w:p w:rsidR="00D71D41" w:rsidRPr="00DE6072"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Pr="00DE6072" w:rsidRDefault="00522132"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4,633 x 50% = 2,316.5</w:t>
            </w:r>
            <w:r w:rsidR="007E69C4">
              <w:rPr>
                <w:rFonts w:ascii="Arial" w:eastAsia="Times New Roman" w:hAnsi="Arial" w:cs="Arial"/>
                <w:sz w:val="24"/>
                <w:szCs w:val="24"/>
              </w:rPr>
              <w:t xml:space="preserve"> sq. m (GEA)</w:t>
            </w: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Total additional self-contained housing provision GEA</w:t>
            </w:r>
          </w:p>
          <w:p w:rsidR="00D71D41" w:rsidRPr="00DE6072"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Pr="00DE6072"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1,435 sq. m (GEA)</w:t>
            </w: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Additional self-contained housing floorspace provision – market GEA</w:t>
            </w:r>
          </w:p>
          <w:p w:rsidR="00D71D41"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1,435 sq. m (GEA)</w:t>
            </w: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Additional self-contained housing floorspace provision – affordable GEA</w:t>
            </w:r>
          </w:p>
          <w:p w:rsidR="00D71D41" w:rsidRPr="00DE6072"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Pr="00DE6072"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0 sq. m (GEA)</w:t>
            </w:r>
          </w:p>
        </w:tc>
      </w:tr>
      <w:tr w:rsidR="007E69C4" w:rsidRPr="00DE6072" w:rsidTr="007E69C4">
        <w:tc>
          <w:tcPr>
            <w:tcW w:w="4389" w:type="dxa"/>
            <w:shd w:val="clear" w:color="auto" w:fill="auto"/>
          </w:tcPr>
          <w:p w:rsidR="00D71D41"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 xml:space="preserve">Affordable housing percentage target </w:t>
            </w:r>
          </w:p>
          <w:p w:rsidR="007E69C4" w:rsidRPr="00DE6072"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 xml:space="preserve"> </w:t>
            </w:r>
          </w:p>
        </w:tc>
        <w:tc>
          <w:tcPr>
            <w:tcW w:w="3918" w:type="dxa"/>
            <w:shd w:val="clear" w:color="auto" w:fill="auto"/>
          </w:tcPr>
          <w:p w:rsidR="007E69C4" w:rsidRPr="00DE6072" w:rsidRDefault="00522132"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38</w:t>
            </w:r>
            <w:r w:rsidR="007E69C4">
              <w:rPr>
                <w:rFonts w:ascii="Arial" w:eastAsia="Times New Roman" w:hAnsi="Arial" w:cs="Arial"/>
                <w:sz w:val="24"/>
                <w:szCs w:val="24"/>
              </w:rPr>
              <w:t>%</w:t>
            </w: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 xml:space="preserve">Affordable housing </w:t>
            </w:r>
            <w:r w:rsidR="00D71D41">
              <w:rPr>
                <w:rFonts w:ascii="Arial" w:eastAsia="Times New Roman" w:hAnsi="Arial" w:cs="Arial"/>
                <w:sz w:val="24"/>
                <w:szCs w:val="24"/>
              </w:rPr>
              <w:t xml:space="preserve">floorspace </w:t>
            </w:r>
            <w:r>
              <w:rPr>
                <w:rFonts w:ascii="Arial" w:eastAsia="Times New Roman" w:hAnsi="Arial" w:cs="Arial"/>
                <w:sz w:val="24"/>
                <w:szCs w:val="24"/>
              </w:rPr>
              <w:t>target</w:t>
            </w:r>
            <w:r w:rsidR="00D71D41">
              <w:rPr>
                <w:rFonts w:ascii="Arial" w:eastAsia="Times New Roman" w:hAnsi="Arial" w:cs="Arial"/>
                <w:sz w:val="24"/>
                <w:szCs w:val="24"/>
              </w:rPr>
              <w:t xml:space="preserve"> (GEA)</w:t>
            </w:r>
          </w:p>
          <w:p w:rsidR="00D71D41" w:rsidRPr="00DE6072"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Pr="00DE6072" w:rsidRDefault="00522132"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2,316.5 x 38% = 880.27</w:t>
            </w:r>
            <w:r w:rsidR="00D71D41">
              <w:rPr>
                <w:rFonts w:ascii="Arial" w:eastAsia="Times New Roman" w:hAnsi="Arial" w:cs="Arial"/>
                <w:sz w:val="24"/>
                <w:szCs w:val="24"/>
              </w:rPr>
              <w:t xml:space="preserve"> sq. (GEA)</w:t>
            </w:r>
          </w:p>
        </w:tc>
      </w:tr>
      <w:tr w:rsidR="007E69C4" w:rsidRPr="00DE6072" w:rsidTr="007E69C4">
        <w:tc>
          <w:tcPr>
            <w:tcW w:w="4389" w:type="dxa"/>
            <w:shd w:val="clear" w:color="auto" w:fill="auto"/>
          </w:tcPr>
          <w:p w:rsidR="007E69C4" w:rsidRDefault="007E69C4"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Affordable housing shortfall</w:t>
            </w:r>
            <w:r w:rsidR="00D71D41">
              <w:rPr>
                <w:rFonts w:ascii="Arial" w:eastAsia="Times New Roman" w:hAnsi="Arial" w:cs="Arial"/>
                <w:sz w:val="24"/>
                <w:szCs w:val="24"/>
              </w:rPr>
              <w:t xml:space="preserve"> (GEA)</w:t>
            </w:r>
          </w:p>
          <w:p w:rsidR="00D71D41" w:rsidRPr="00DE6072"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7E69C4" w:rsidRPr="00DE6072" w:rsidRDefault="00522132"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880.27</w:t>
            </w:r>
            <w:r w:rsidR="00D71D41">
              <w:rPr>
                <w:rFonts w:ascii="Arial" w:eastAsia="Times New Roman" w:hAnsi="Arial" w:cs="Arial"/>
                <w:sz w:val="24"/>
                <w:szCs w:val="24"/>
              </w:rPr>
              <w:t xml:space="preserve"> – 0 </w:t>
            </w:r>
            <w:r>
              <w:rPr>
                <w:rFonts w:ascii="Arial" w:eastAsia="Times New Roman" w:hAnsi="Arial" w:cs="Arial"/>
                <w:sz w:val="24"/>
                <w:szCs w:val="24"/>
              </w:rPr>
              <w:t>= 880.27</w:t>
            </w:r>
            <w:r w:rsidR="00D71D41">
              <w:rPr>
                <w:rFonts w:ascii="Arial" w:eastAsia="Times New Roman" w:hAnsi="Arial" w:cs="Arial"/>
                <w:sz w:val="24"/>
                <w:szCs w:val="24"/>
              </w:rPr>
              <w:t>sq. m GEA</w:t>
            </w:r>
            <w:r w:rsidR="007E69C4" w:rsidRPr="00DE6072">
              <w:rPr>
                <w:rFonts w:ascii="Arial" w:eastAsia="Times New Roman" w:hAnsi="Arial" w:cs="Arial"/>
                <w:sz w:val="24"/>
                <w:szCs w:val="24"/>
              </w:rPr>
              <w:t xml:space="preserve"> </w:t>
            </w:r>
          </w:p>
        </w:tc>
      </w:tr>
      <w:tr w:rsidR="00D71D41"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Payment in lieu of affordable housing (shortfall GEA x £2,650 sq. m)</w:t>
            </w:r>
          </w:p>
          <w:p w:rsidR="00D71D41"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D71D41" w:rsidRPr="00DE6072" w:rsidRDefault="00522132"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lastRenderedPageBreak/>
              <w:t>880.27 x £2,650 = £2,332,715.50</w:t>
            </w:r>
          </w:p>
        </w:tc>
      </w:tr>
      <w:tr w:rsidR="00D71D41"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Market housing percentage target (100% - affordable percentage target</w:t>
            </w:r>
          </w:p>
          <w:p w:rsidR="00D71D41" w:rsidRDefault="00D71D41" w:rsidP="001A7C52">
            <w:pPr>
              <w:spacing w:after="0" w:line="260" w:lineRule="atLeast"/>
              <w:jc w:val="both"/>
              <w:rPr>
                <w:rFonts w:ascii="Arial" w:eastAsia="Times New Roman" w:hAnsi="Arial" w:cs="Arial"/>
                <w:sz w:val="24"/>
                <w:szCs w:val="24"/>
              </w:rPr>
            </w:pPr>
          </w:p>
        </w:tc>
        <w:tc>
          <w:tcPr>
            <w:tcW w:w="3918" w:type="dxa"/>
            <w:shd w:val="clear" w:color="auto" w:fill="auto"/>
          </w:tcPr>
          <w:p w:rsidR="00D71D41" w:rsidRPr="00DE6072"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100% –</w:t>
            </w:r>
            <w:r w:rsidR="00522132">
              <w:rPr>
                <w:rFonts w:ascii="Arial" w:eastAsia="Times New Roman" w:hAnsi="Arial" w:cs="Arial"/>
                <w:sz w:val="24"/>
                <w:szCs w:val="24"/>
              </w:rPr>
              <w:t xml:space="preserve"> 38</w:t>
            </w:r>
            <w:r>
              <w:rPr>
                <w:rFonts w:ascii="Arial" w:eastAsia="Times New Roman" w:hAnsi="Arial" w:cs="Arial"/>
                <w:sz w:val="24"/>
                <w:szCs w:val="24"/>
              </w:rPr>
              <w:t>%</w:t>
            </w:r>
            <w:r w:rsidR="00522132">
              <w:rPr>
                <w:rFonts w:ascii="Arial" w:eastAsia="Times New Roman" w:hAnsi="Arial" w:cs="Arial"/>
                <w:sz w:val="24"/>
                <w:szCs w:val="24"/>
              </w:rPr>
              <w:t xml:space="preserve"> = 62</w:t>
            </w:r>
            <w:r>
              <w:rPr>
                <w:rFonts w:ascii="Arial" w:eastAsia="Times New Roman" w:hAnsi="Arial" w:cs="Arial"/>
                <w:sz w:val="24"/>
                <w:szCs w:val="24"/>
              </w:rPr>
              <w:t>%</w:t>
            </w:r>
          </w:p>
        </w:tc>
      </w:tr>
      <w:tr w:rsidR="00D71D41"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Market housing floorspace target GEA</w:t>
            </w:r>
          </w:p>
        </w:tc>
        <w:tc>
          <w:tcPr>
            <w:tcW w:w="3918" w:type="dxa"/>
            <w:shd w:val="clear" w:color="auto" w:fill="auto"/>
          </w:tcPr>
          <w:p w:rsidR="00D71D41" w:rsidRPr="00DE6072" w:rsidRDefault="00522132"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2,316.5 x 62</w:t>
            </w:r>
            <w:r w:rsidR="00E869F1">
              <w:rPr>
                <w:rFonts w:ascii="Arial" w:eastAsia="Times New Roman" w:hAnsi="Arial" w:cs="Arial"/>
                <w:sz w:val="24"/>
                <w:szCs w:val="24"/>
              </w:rPr>
              <w:t>% = 1,436.23</w:t>
            </w:r>
            <w:r w:rsidR="00D71D41">
              <w:rPr>
                <w:rFonts w:ascii="Arial" w:eastAsia="Times New Roman" w:hAnsi="Arial" w:cs="Arial"/>
                <w:sz w:val="24"/>
                <w:szCs w:val="24"/>
              </w:rPr>
              <w:t xml:space="preserve"> sq. m GEA</w:t>
            </w:r>
          </w:p>
        </w:tc>
      </w:tr>
      <w:tr w:rsidR="00D71D41"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Market housing shortfall GEA</w:t>
            </w:r>
          </w:p>
        </w:tc>
        <w:tc>
          <w:tcPr>
            <w:tcW w:w="3918" w:type="dxa"/>
            <w:shd w:val="clear" w:color="auto" w:fill="auto"/>
          </w:tcPr>
          <w:p w:rsidR="00D71D41" w:rsidRPr="00DE6072" w:rsidRDefault="00E869F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1,436.23</w:t>
            </w:r>
            <w:r w:rsidR="00D71D41">
              <w:rPr>
                <w:rFonts w:ascii="Arial" w:eastAsia="Times New Roman" w:hAnsi="Arial" w:cs="Arial"/>
                <w:sz w:val="24"/>
                <w:szCs w:val="24"/>
              </w:rPr>
              <w:t xml:space="preserve"> – 1,</w:t>
            </w:r>
            <w:r>
              <w:rPr>
                <w:rFonts w:ascii="Arial" w:eastAsia="Times New Roman" w:hAnsi="Arial" w:cs="Arial"/>
                <w:sz w:val="24"/>
                <w:szCs w:val="24"/>
              </w:rPr>
              <w:t>435 = 1.23</w:t>
            </w:r>
            <w:r w:rsidR="00D71D41">
              <w:rPr>
                <w:rFonts w:ascii="Arial" w:eastAsia="Times New Roman" w:hAnsi="Arial" w:cs="Arial"/>
                <w:sz w:val="24"/>
                <w:szCs w:val="24"/>
              </w:rPr>
              <w:t xml:space="preserve"> sq. m GEA</w:t>
            </w:r>
          </w:p>
        </w:tc>
      </w:tr>
      <w:tr w:rsidR="00D71D41" w:rsidTr="007E69C4">
        <w:tc>
          <w:tcPr>
            <w:tcW w:w="4389" w:type="dxa"/>
            <w:shd w:val="clear" w:color="auto" w:fill="auto"/>
          </w:tcPr>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Payment in lieu of market housing (shortfall GEA x £700 per sq. m)</w:t>
            </w:r>
          </w:p>
        </w:tc>
        <w:tc>
          <w:tcPr>
            <w:tcW w:w="3918" w:type="dxa"/>
            <w:shd w:val="clear" w:color="auto" w:fill="auto"/>
          </w:tcPr>
          <w:p w:rsidR="00D71D41" w:rsidRPr="00DE6072" w:rsidRDefault="00E869F1" w:rsidP="00E869F1">
            <w:pPr>
              <w:spacing w:after="0" w:line="260" w:lineRule="atLeast"/>
              <w:jc w:val="both"/>
              <w:rPr>
                <w:rFonts w:ascii="Arial" w:eastAsia="Times New Roman" w:hAnsi="Arial" w:cs="Arial"/>
                <w:sz w:val="24"/>
                <w:szCs w:val="24"/>
              </w:rPr>
            </w:pPr>
            <w:r>
              <w:rPr>
                <w:rFonts w:ascii="Arial" w:eastAsia="Times New Roman" w:hAnsi="Arial" w:cs="Arial"/>
                <w:sz w:val="24"/>
                <w:szCs w:val="24"/>
              </w:rPr>
              <w:t>1.23</w:t>
            </w:r>
            <w:r w:rsidR="00D71D41">
              <w:rPr>
                <w:rFonts w:ascii="Arial" w:eastAsia="Times New Roman" w:hAnsi="Arial" w:cs="Arial"/>
                <w:sz w:val="24"/>
                <w:szCs w:val="24"/>
              </w:rPr>
              <w:t xml:space="preserve"> x £700 = £</w:t>
            </w:r>
            <w:r>
              <w:rPr>
                <w:rFonts w:ascii="Arial" w:eastAsia="Times New Roman" w:hAnsi="Arial" w:cs="Arial"/>
                <w:sz w:val="24"/>
                <w:szCs w:val="24"/>
              </w:rPr>
              <w:t>861</w:t>
            </w:r>
          </w:p>
        </w:tc>
      </w:tr>
      <w:tr w:rsidR="007E69C4" w:rsidTr="007E69C4">
        <w:tc>
          <w:tcPr>
            <w:tcW w:w="4389" w:type="dxa"/>
            <w:shd w:val="clear" w:color="auto" w:fill="auto"/>
          </w:tcPr>
          <w:p w:rsidR="007E69C4" w:rsidRPr="005326E9" w:rsidRDefault="00D71D41" w:rsidP="001A7C52">
            <w:pPr>
              <w:spacing w:after="0" w:line="260" w:lineRule="atLeast"/>
              <w:jc w:val="both"/>
              <w:rPr>
                <w:rFonts w:ascii="Arial" w:eastAsia="Times New Roman" w:hAnsi="Arial" w:cs="Arial"/>
                <w:b/>
                <w:sz w:val="24"/>
                <w:szCs w:val="24"/>
              </w:rPr>
            </w:pPr>
            <w:r w:rsidRPr="005326E9">
              <w:rPr>
                <w:rFonts w:ascii="Arial" w:eastAsia="Times New Roman" w:hAnsi="Arial" w:cs="Arial"/>
                <w:b/>
                <w:sz w:val="24"/>
                <w:szCs w:val="24"/>
              </w:rPr>
              <w:t xml:space="preserve">TOTAL </w:t>
            </w:r>
            <w:r w:rsidR="007E69C4" w:rsidRPr="005326E9">
              <w:rPr>
                <w:rFonts w:ascii="Arial" w:eastAsia="Times New Roman" w:hAnsi="Arial" w:cs="Arial"/>
                <w:b/>
                <w:sz w:val="24"/>
                <w:szCs w:val="24"/>
              </w:rPr>
              <w:t>PAYMENT</w:t>
            </w:r>
          </w:p>
          <w:p w:rsidR="00D71D41" w:rsidRDefault="00D71D41"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(affordable plus market housing shortfall)</w:t>
            </w:r>
          </w:p>
        </w:tc>
        <w:tc>
          <w:tcPr>
            <w:tcW w:w="3918" w:type="dxa"/>
            <w:shd w:val="clear" w:color="auto" w:fill="auto"/>
          </w:tcPr>
          <w:p w:rsidR="007E69C4" w:rsidRPr="00DE6072" w:rsidRDefault="00D71D41" w:rsidP="00E869F1">
            <w:pPr>
              <w:spacing w:after="0" w:line="260" w:lineRule="atLeast"/>
              <w:jc w:val="both"/>
              <w:rPr>
                <w:rFonts w:ascii="Arial" w:eastAsia="Times New Roman" w:hAnsi="Arial" w:cs="Arial"/>
                <w:sz w:val="24"/>
                <w:szCs w:val="24"/>
              </w:rPr>
            </w:pPr>
            <w:r>
              <w:rPr>
                <w:rFonts w:ascii="Arial" w:eastAsia="Times New Roman" w:hAnsi="Arial" w:cs="Arial"/>
                <w:sz w:val="24"/>
                <w:szCs w:val="24"/>
              </w:rPr>
              <w:t>£</w:t>
            </w:r>
            <w:r w:rsidR="00E869F1">
              <w:rPr>
                <w:rFonts w:ascii="Arial" w:eastAsia="Times New Roman" w:hAnsi="Arial" w:cs="Arial"/>
                <w:sz w:val="24"/>
                <w:szCs w:val="24"/>
              </w:rPr>
              <w:t>2,332,715</w:t>
            </w:r>
            <w:r>
              <w:rPr>
                <w:rFonts w:ascii="Arial" w:eastAsia="Times New Roman" w:hAnsi="Arial" w:cs="Arial"/>
                <w:sz w:val="24"/>
                <w:szCs w:val="24"/>
              </w:rPr>
              <w:t xml:space="preserve"> + £</w:t>
            </w:r>
            <w:r w:rsidR="00E869F1">
              <w:rPr>
                <w:rFonts w:ascii="Arial" w:eastAsia="Times New Roman" w:hAnsi="Arial" w:cs="Arial"/>
                <w:sz w:val="24"/>
                <w:szCs w:val="24"/>
              </w:rPr>
              <w:t>861 = £2,333,576</w:t>
            </w:r>
          </w:p>
        </w:tc>
      </w:tr>
    </w:tbl>
    <w:p w:rsidR="00622DC5" w:rsidRDefault="00622DC5" w:rsidP="00622DC5">
      <w:pPr>
        <w:spacing w:after="0"/>
        <w:ind w:left="426" w:hanging="426"/>
        <w:jc w:val="both"/>
        <w:rPr>
          <w:rFonts w:ascii="Arial" w:hAnsi="Arial" w:cs="Arial"/>
          <w:sz w:val="24"/>
          <w:szCs w:val="24"/>
        </w:rPr>
      </w:pPr>
    </w:p>
    <w:p w:rsidR="006E4575" w:rsidRDefault="00924B15" w:rsidP="000956D4">
      <w:pPr>
        <w:spacing w:after="0"/>
        <w:jc w:val="both"/>
        <w:rPr>
          <w:rFonts w:ascii="Arial" w:hAnsi="Arial" w:cs="Arial"/>
          <w:sz w:val="24"/>
          <w:szCs w:val="24"/>
          <w:u w:val="single"/>
        </w:rPr>
      </w:pPr>
      <w:r>
        <w:rPr>
          <w:rFonts w:ascii="Arial" w:hAnsi="Arial" w:cs="Arial"/>
          <w:sz w:val="24"/>
          <w:szCs w:val="24"/>
        </w:rPr>
        <w:t>3</w:t>
      </w:r>
      <w:r w:rsidR="000956D4" w:rsidRPr="000956D4">
        <w:rPr>
          <w:rFonts w:ascii="Arial" w:hAnsi="Arial" w:cs="Arial"/>
          <w:sz w:val="24"/>
          <w:szCs w:val="24"/>
        </w:rPr>
        <w:t>.0</w:t>
      </w:r>
      <w:r w:rsidR="000956D4" w:rsidRPr="000956D4">
        <w:rPr>
          <w:rFonts w:ascii="Arial" w:hAnsi="Arial" w:cs="Arial"/>
          <w:sz w:val="24"/>
          <w:szCs w:val="24"/>
        </w:rPr>
        <w:tab/>
      </w:r>
      <w:r w:rsidR="006E4575" w:rsidRPr="006E4575">
        <w:rPr>
          <w:rFonts w:ascii="Arial" w:hAnsi="Arial" w:cs="Arial"/>
          <w:sz w:val="24"/>
          <w:szCs w:val="24"/>
          <w:u w:val="single"/>
        </w:rPr>
        <w:t>Energy</w:t>
      </w:r>
    </w:p>
    <w:p w:rsidR="006E4575" w:rsidRDefault="006E4575" w:rsidP="000956D4">
      <w:pPr>
        <w:spacing w:after="0"/>
        <w:jc w:val="both"/>
        <w:rPr>
          <w:rFonts w:ascii="Arial" w:hAnsi="Arial" w:cs="Arial"/>
          <w:sz w:val="24"/>
          <w:szCs w:val="24"/>
          <w:u w:val="single"/>
        </w:rPr>
      </w:pPr>
    </w:p>
    <w:p w:rsidR="006E4575" w:rsidRDefault="00924B15" w:rsidP="006E4575">
      <w:pPr>
        <w:spacing w:after="0"/>
        <w:ind w:left="426" w:hanging="426"/>
        <w:jc w:val="both"/>
        <w:rPr>
          <w:rFonts w:ascii="Arial" w:hAnsi="Arial" w:cs="Arial"/>
          <w:sz w:val="24"/>
          <w:szCs w:val="24"/>
        </w:rPr>
      </w:pPr>
      <w:r>
        <w:rPr>
          <w:rFonts w:ascii="Arial" w:hAnsi="Arial" w:cs="Arial"/>
          <w:sz w:val="24"/>
          <w:szCs w:val="24"/>
        </w:rPr>
        <w:t>3</w:t>
      </w:r>
      <w:r w:rsidR="006E4575" w:rsidRPr="006E4575">
        <w:rPr>
          <w:rFonts w:ascii="Arial" w:hAnsi="Arial" w:cs="Arial"/>
          <w:sz w:val="24"/>
          <w:szCs w:val="24"/>
        </w:rPr>
        <w:t>.1</w:t>
      </w:r>
      <w:r w:rsidR="006E4575" w:rsidRPr="006E4575">
        <w:rPr>
          <w:rFonts w:ascii="Arial" w:hAnsi="Arial" w:cs="Arial"/>
          <w:sz w:val="24"/>
          <w:szCs w:val="24"/>
        </w:rPr>
        <w:tab/>
      </w:r>
      <w:r w:rsidR="006E4575">
        <w:rPr>
          <w:rFonts w:ascii="Arial" w:hAnsi="Arial" w:cs="Arial"/>
          <w:sz w:val="24"/>
          <w:szCs w:val="24"/>
        </w:rPr>
        <w:t>Paragraph 18.4 of the Committee Report shall be shall be replaced with (</w:t>
      </w:r>
      <w:r w:rsidR="006E4575" w:rsidRPr="00376667">
        <w:rPr>
          <w:rFonts w:ascii="Arial" w:hAnsi="Arial" w:cs="Arial"/>
          <w:b/>
          <w:i/>
          <w:sz w:val="24"/>
          <w:szCs w:val="24"/>
        </w:rPr>
        <w:t>additions shown in bold and italics</w:t>
      </w:r>
      <w:r w:rsidR="006E4575">
        <w:rPr>
          <w:rFonts w:ascii="Arial" w:hAnsi="Arial" w:cs="Arial"/>
          <w:b/>
          <w:i/>
          <w:sz w:val="24"/>
          <w:szCs w:val="24"/>
        </w:rPr>
        <w:t xml:space="preserve"> and deleted parts scored out</w:t>
      </w:r>
      <w:r w:rsidR="006E4575">
        <w:rPr>
          <w:rFonts w:ascii="Arial" w:hAnsi="Arial" w:cs="Arial"/>
          <w:sz w:val="24"/>
          <w:szCs w:val="24"/>
        </w:rPr>
        <w:t>)</w:t>
      </w:r>
    </w:p>
    <w:p w:rsidR="006E4575" w:rsidRDefault="006E4575" w:rsidP="000956D4">
      <w:pPr>
        <w:spacing w:after="0"/>
        <w:jc w:val="both"/>
        <w:rPr>
          <w:rFonts w:ascii="Arial" w:hAnsi="Arial" w:cs="Arial"/>
          <w:sz w:val="24"/>
          <w:szCs w:val="24"/>
        </w:rPr>
      </w:pPr>
    </w:p>
    <w:p w:rsidR="006E4575" w:rsidRDefault="006E4575" w:rsidP="006E4575">
      <w:pPr>
        <w:spacing w:after="0"/>
        <w:ind w:left="993" w:hanging="567"/>
        <w:jc w:val="both"/>
        <w:rPr>
          <w:rFonts w:ascii="Arial" w:hAnsi="Arial" w:cs="Arial"/>
          <w:sz w:val="24"/>
          <w:szCs w:val="24"/>
        </w:rPr>
      </w:pPr>
      <w:r w:rsidRPr="006E4575">
        <w:rPr>
          <w:rFonts w:ascii="Arial" w:hAnsi="Arial" w:cs="Arial"/>
          <w:sz w:val="24"/>
          <w:szCs w:val="24"/>
        </w:rPr>
        <w:t>18.4</w:t>
      </w:r>
      <w:r w:rsidRPr="006E4575">
        <w:rPr>
          <w:rFonts w:ascii="Arial" w:hAnsi="Arial" w:cs="Arial"/>
          <w:sz w:val="24"/>
          <w:szCs w:val="24"/>
        </w:rPr>
        <w:tab/>
        <w:t xml:space="preserve">To comply with the London Plan the proposal must secure a minimum 35% reduction in regulated CO2 emissions below the maximum threshold allowed under Part L of the Building Regulations 2013.  The proposed development would achieve a carbon reduction of 20.2% for the commercial elements, 5.4% for the retail elements and 18.7% for the residential and an overall weighed reduction of </w:t>
      </w:r>
      <w:r w:rsidRPr="006E4575">
        <w:rPr>
          <w:rFonts w:ascii="Arial" w:hAnsi="Arial" w:cs="Arial"/>
          <w:strike/>
          <w:sz w:val="24"/>
          <w:szCs w:val="24"/>
        </w:rPr>
        <w:t>21.8</w:t>
      </w:r>
      <w:r>
        <w:rPr>
          <w:rFonts w:ascii="Arial" w:hAnsi="Arial" w:cs="Arial"/>
          <w:sz w:val="24"/>
          <w:szCs w:val="24"/>
        </w:rPr>
        <w:t xml:space="preserve"> </w:t>
      </w:r>
      <w:r w:rsidRPr="006E4575">
        <w:rPr>
          <w:rFonts w:ascii="Arial" w:hAnsi="Arial" w:cs="Arial"/>
          <w:b/>
          <w:sz w:val="24"/>
          <w:szCs w:val="24"/>
        </w:rPr>
        <w:t>18.5</w:t>
      </w:r>
      <w:r w:rsidRPr="006E4575">
        <w:rPr>
          <w:rFonts w:ascii="Arial" w:hAnsi="Arial" w:cs="Arial"/>
          <w:sz w:val="24"/>
          <w:szCs w:val="24"/>
        </w:rPr>
        <w:t>%.  Where the London Plan carbon reduction target cannot be met on-site, the Council may accept the provision of measures elsewhere in the borough or a financial contribution (charged at £90/tonne CO2/year over a 30-year period) to secure the delivery of carbon reduction measures elsewhere in the borough.</w:t>
      </w:r>
    </w:p>
    <w:p w:rsidR="006E4575" w:rsidRDefault="006E4575" w:rsidP="006E4575">
      <w:pPr>
        <w:spacing w:after="0"/>
        <w:ind w:left="709" w:hanging="709"/>
        <w:jc w:val="both"/>
        <w:rPr>
          <w:rFonts w:ascii="Arial" w:hAnsi="Arial" w:cs="Arial"/>
          <w:sz w:val="24"/>
          <w:szCs w:val="24"/>
        </w:rPr>
      </w:pPr>
    </w:p>
    <w:p w:rsidR="006E4575" w:rsidRDefault="00924B15" w:rsidP="006E4575">
      <w:pPr>
        <w:spacing w:after="0"/>
        <w:ind w:left="426" w:hanging="426"/>
        <w:jc w:val="both"/>
        <w:rPr>
          <w:rFonts w:ascii="Arial" w:hAnsi="Arial" w:cs="Arial"/>
          <w:sz w:val="24"/>
          <w:szCs w:val="24"/>
        </w:rPr>
      </w:pPr>
      <w:r>
        <w:rPr>
          <w:rFonts w:ascii="Arial" w:hAnsi="Arial" w:cs="Arial"/>
          <w:sz w:val="24"/>
          <w:szCs w:val="24"/>
        </w:rPr>
        <w:t>3</w:t>
      </w:r>
      <w:r w:rsidR="006E4575">
        <w:rPr>
          <w:rFonts w:ascii="Arial" w:hAnsi="Arial" w:cs="Arial"/>
          <w:sz w:val="24"/>
          <w:szCs w:val="24"/>
        </w:rPr>
        <w:t>.2</w:t>
      </w:r>
      <w:r w:rsidR="006E4575">
        <w:rPr>
          <w:rFonts w:ascii="Arial" w:hAnsi="Arial" w:cs="Arial"/>
          <w:sz w:val="24"/>
          <w:szCs w:val="24"/>
        </w:rPr>
        <w:tab/>
        <w:t>Paragraph 18.5 of the Committee Report shall be replaced with (</w:t>
      </w:r>
      <w:r w:rsidR="006E4575" w:rsidRPr="00376667">
        <w:rPr>
          <w:rFonts w:ascii="Arial" w:hAnsi="Arial" w:cs="Arial"/>
          <w:b/>
          <w:i/>
          <w:sz w:val="24"/>
          <w:szCs w:val="24"/>
        </w:rPr>
        <w:t>additions shown in bold and italics</w:t>
      </w:r>
      <w:r w:rsidR="006E4575">
        <w:rPr>
          <w:rFonts w:ascii="Arial" w:hAnsi="Arial" w:cs="Arial"/>
          <w:b/>
          <w:i/>
          <w:sz w:val="24"/>
          <w:szCs w:val="24"/>
        </w:rPr>
        <w:t xml:space="preserve"> and deleted parts scored out</w:t>
      </w:r>
      <w:r w:rsidR="006E4575">
        <w:rPr>
          <w:rFonts w:ascii="Arial" w:hAnsi="Arial" w:cs="Arial"/>
          <w:sz w:val="24"/>
          <w:szCs w:val="24"/>
        </w:rPr>
        <w:t>)</w:t>
      </w:r>
    </w:p>
    <w:p w:rsidR="006E4575" w:rsidRDefault="006E4575" w:rsidP="006E4575">
      <w:pPr>
        <w:spacing w:after="0"/>
        <w:ind w:left="426" w:hanging="426"/>
        <w:jc w:val="both"/>
        <w:rPr>
          <w:rFonts w:ascii="Arial" w:hAnsi="Arial" w:cs="Arial"/>
          <w:sz w:val="24"/>
          <w:szCs w:val="24"/>
        </w:rPr>
      </w:pPr>
    </w:p>
    <w:p w:rsidR="006E4575" w:rsidRPr="00FA1809" w:rsidRDefault="006E4575" w:rsidP="006E4575">
      <w:pPr>
        <w:spacing w:after="0" w:line="260" w:lineRule="atLeast"/>
        <w:ind w:left="993" w:hanging="567"/>
        <w:jc w:val="both"/>
        <w:rPr>
          <w:rFonts w:ascii="Arial" w:eastAsia="Times New Roman" w:hAnsi="Arial" w:cs="Arial"/>
          <w:bCs/>
          <w:sz w:val="24"/>
          <w:szCs w:val="24"/>
        </w:rPr>
      </w:pPr>
      <w:r>
        <w:rPr>
          <w:rFonts w:ascii="Arial" w:hAnsi="Arial" w:cs="Arial"/>
          <w:sz w:val="24"/>
          <w:szCs w:val="24"/>
        </w:rPr>
        <w:t xml:space="preserve">18.5 </w:t>
      </w:r>
      <w:r w:rsidRPr="005B4409">
        <w:rPr>
          <w:rFonts w:ascii="Arial" w:eastAsia="Times New Roman" w:hAnsi="Arial" w:cs="Arial"/>
          <w:bCs/>
          <w:sz w:val="24"/>
          <w:szCs w:val="24"/>
        </w:rPr>
        <w:t xml:space="preserve">The proposals for the site are for a mixed-use development with offices, retail and residential units. </w:t>
      </w:r>
      <w:r>
        <w:rPr>
          <w:rFonts w:ascii="Arial" w:eastAsia="Times New Roman" w:hAnsi="Arial" w:cs="Arial"/>
          <w:bCs/>
          <w:sz w:val="24"/>
          <w:szCs w:val="24"/>
        </w:rPr>
        <w:t xml:space="preserve"> </w:t>
      </w:r>
      <w:r w:rsidRPr="005B4409">
        <w:rPr>
          <w:rFonts w:ascii="Arial" w:eastAsia="Times New Roman" w:hAnsi="Arial" w:cs="Arial"/>
          <w:bCs/>
          <w:sz w:val="24"/>
          <w:szCs w:val="24"/>
        </w:rPr>
        <w:t>All viable measur</w:t>
      </w:r>
      <w:r>
        <w:rPr>
          <w:rFonts w:ascii="Arial" w:eastAsia="Times New Roman" w:hAnsi="Arial" w:cs="Arial"/>
          <w:bCs/>
          <w:sz w:val="24"/>
          <w:szCs w:val="24"/>
        </w:rPr>
        <w:t>es within the ‘be l</w:t>
      </w:r>
      <w:r w:rsidRPr="005B4409">
        <w:rPr>
          <w:rFonts w:ascii="Arial" w:eastAsia="Times New Roman" w:hAnsi="Arial" w:cs="Arial"/>
          <w:bCs/>
          <w:sz w:val="24"/>
          <w:szCs w:val="24"/>
        </w:rPr>
        <w:t xml:space="preserve">ean, be clean and be </w:t>
      </w:r>
      <w:r w:rsidRPr="005B4409">
        <w:rPr>
          <w:rFonts w:ascii="Arial" w:hAnsi="Arial" w:cs="Arial"/>
          <w:bCs/>
          <w:sz w:val="24"/>
          <w:szCs w:val="24"/>
        </w:rPr>
        <w:t xml:space="preserve">green’ sections of the energy hierarchy have been maximised for the development. The proposed development would achieve a carbon reduction </w:t>
      </w:r>
      <w:r>
        <w:rPr>
          <w:rFonts w:ascii="Arial" w:hAnsi="Arial" w:cs="Arial"/>
          <w:bCs/>
          <w:sz w:val="24"/>
          <w:szCs w:val="24"/>
        </w:rPr>
        <w:t>of 20.2</w:t>
      </w:r>
      <w:r w:rsidRPr="005B4409">
        <w:rPr>
          <w:rFonts w:ascii="Arial" w:hAnsi="Arial" w:cs="Arial"/>
          <w:bCs/>
          <w:sz w:val="24"/>
          <w:szCs w:val="24"/>
        </w:rPr>
        <w:t xml:space="preserve">% for the commercial elements, </w:t>
      </w:r>
      <w:r>
        <w:rPr>
          <w:rFonts w:ascii="Arial" w:hAnsi="Arial" w:cs="Arial"/>
          <w:bCs/>
          <w:sz w:val="24"/>
          <w:szCs w:val="24"/>
        </w:rPr>
        <w:t>5.4% for the retail elements and 18.7</w:t>
      </w:r>
      <w:r w:rsidRPr="005B4409">
        <w:rPr>
          <w:rFonts w:ascii="Arial" w:hAnsi="Arial" w:cs="Arial"/>
          <w:bCs/>
          <w:sz w:val="24"/>
          <w:szCs w:val="24"/>
        </w:rPr>
        <w:t>% for the residential and an ov</w:t>
      </w:r>
      <w:r>
        <w:rPr>
          <w:rFonts w:ascii="Arial" w:hAnsi="Arial" w:cs="Arial"/>
          <w:bCs/>
          <w:sz w:val="24"/>
          <w:szCs w:val="24"/>
        </w:rPr>
        <w:t xml:space="preserve">erall weighed reduction of </w:t>
      </w:r>
      <w:r w:rsidRPr="006E4575">
        <w:rPr>
          <w:rFonts w:ascii="Arial" w:hAnsi="Arial" w:cs="Arial"/>
          <w:bCs/>
          <w:strike/>
          <w:sz w:val="24"/>
          <w:szCs w:val="24"/>
        </w:rPr>
        <w:t>21.8</w:t>
      </w:r>
      <w:r>
        <w:rPr>
          <w:rFonts w:ascii="Arial" w:hAnsi="Arial" w:cs="Arial"/>
          <w:bCs/>
          <w:sz w:val="24"/>
          <w:szCs w:val="24"/>
        </w:rPr>
        <w:t xml:space="preserve"> </w:t>
      </w:r>
      <w:r w:rsidRPr="006E4575">
        <w:rPr>
          <w:rFonts w:ascii="Arial" w:hAnsi="Arial" w:cs="Arial"/>
          <w:b/>
          <w:bCs/>
          <w:sz w:val="24"/>
          <w:szCs w:val="24"/>
        </w:rPr>
        <w:t>18.5</w:t>
      </w:r>
      <w:r w:rsidRPr="005B4409">
        <w:rPr>
          <w:rFonts w:ascii="Arial" w:hAnsi="Arial" w:cs="Arial"/>
          <w:bCs/>
          <w:sz w:val="24"/>
          <w:szCs w:val="24"/>
        </w:rPr>
        <w:t xml:space="preserve">%. The measures to reduce energy from the development include high efficiency communal gas fired boilers delivering water heating (low NOx); high efficiency variable refrigerant flow (VRF) units; </w:t>
      </w:r>
      <w:r>
        <w:rPr>
          <w:rFonts w:ascii="Arial" w:hAnsi="Arial" w:cs="Arial"/>
          <w:bCs/>
          <w:sz w:val="24"/>
          <w:szCs w:val="24"/>
        </w:rPr>
        <w:t xml:space="preserve">158 sq. m </w:t>
      </w:r>
      <w:r w:rsidRPr="005B4409">
        <w:rPr>
          <w:rFonts w:ascii="Arial" w:hAnsi="Arial" w:cs="Arial"/>
          <w:bCs/>
          <w:sz w:val="24"/>
          <w:szCs w:val="24"/>
        </w:rPr>
        <w:t xml:space="preserve">of solar PV; A and A+ rated white goods (where applicable); 100% low energy and/or LED internal lighting; solar thermal facilities and green/blue roofs. </w:t>
      </w:r>
      <w:r>
        <w:rPr>
          <w:rFonts w:ascii="Arial" w:hAnsi="Arial" w:cs="Arial"/>
          <w:bCs/>
          <w:sz w:val="24"/>
          <w:szCs w:val="24"/>
        </w:rPr>
        <w:t xml:space="preserve"> </w:t>
      </w:r>
      <w:r w:rsidRPr="005B4409">
        <w:rPr>
          <w:rFonts w:ascii="Arial" w:hAnsi="Arial" w:cs="Arial"/>
          <w:bCs/>
          <w:sz w:val="24"/>
          <w:szCs w:val="24"/>
        </w:rPr>
        <w:t xml:space="preserve">The provision of renewable energy and the site-wide emissions reduction of </w:t>
      </w:r>
      <w:r w:rsidRPr="006E4575">
        <w:rPr>
          <w:rFonts w:ascii="Arial" w:hAnsi="Arial" w:cs="Arial"/>
          <w:bCs/>
          <w:strike/>
          <w:sz w:val="24"/>
          <w:szCs w:val="24"/>
        </w:rPr>
        <w:t>21.8</w:t>
      </w:r>
      <w:r>
        <w:rPr>
          <w:rFonts w:ascii="Arial" w:hAnsi="Arial" w:cs="Arial"/>
          <w:bCs/>
          <w:sz w:val="24"/>
          <w:szCs w:val="24"/>
        </w:rPr>
        <w:t xml:space="preserve"> </w:t>
      </w:r>
      <w:r w:rsidRPr="006E4575">
        <w:rPr>
          <w:rFonts w:ascii="Arial" w:hAnsi="Arial" w:cs="Arial"/>
          <w:b/>
          <w:bCs/>
          <w:i/>
          <w:sz w:val="24"/>
          <w:szCs w:val="24"/>
        </w:rPr>
        <w:t>18.5</w:t>
      </w:r>
      <w:r w:rsidRPr="005B4409">
        <w:rPr>
          <w:rFonts w:ascii="Arial" w:hAnsi="Arial" w:cs="Arial"/>
          <w:bCs/>
          <w:sz w:val="24"/>
          <w:szCs w:val="24"/>
        </w:rPr>
        <w:t xml:space="preserve">% beyond Part L would need to be secured via S106 within an Energy Efficiency and Renewable Plan. Details of the solar panels, solar thermal facilities and </w:t>
      </w:r>
      <w:r w:rsidRPr="005B4409">
        <w:rPr>
          <w:rFonts w:ascii="Arial" w:hAnsi="Arial" w:cs="Arial"/>
          <w:bCs/>
          <w:sz w:val="24"/>
          <w:szCs w:val="24"/>
        </w:rPr>
        <w:lastRenderedPageBreak/>
        <w:t xml:space="preserve">green roof would be secured via planning condition in the event planning permission is granted.  </w:t>
      </w:r>
    </w:p>
    <w:p w:rsidR="006E4575" w:rsidRDefault="006E4575" w:rsidP="000956D4">
      <w:pPr>
        <w:spacing w:after="0"/>
        <w:jc w:val="both"/>
        <w:rPr>
          <w:rFonts w:ascii="Arial" w:hAnsi="Arial" w:cs="Arial"/>
          <w:sz w:val="24"/>
          <w:szCs w:val="24"/>
        </w:rPr>
      </w:pPr>
    </w:p>
    <w:p w:rsidR="00620597" w:rsidRDefault="00924B15" w:rsidP="000956D4">
      <w:pPr>
        <w:spacing w:after="0"/>
        <w:jc w:val="both"/>
        <w:rPr>
          <w:rFonts w:ascii="Arial" w:hAnsi="Arial" w:cs="Arial"/>
          <w:sz w:val="24"/>
          <w:szCs w:val="24"/>
          <w:u w:val="single"/>
        </w:rPr>
      </w:pPr>
      <w:r>
        <w:rPr>
          <w:rFonts w:ascii="Arial" w:hAnsi="Arial" w:cs="Arial"/>
          <w:sz w:val="24"/>
          <w:szCs w:val="24"/>
        </w:rPr>
        <w:t>4</w:t>
      </w:r>
      <w:r w:rsidR="006E4575">
        <w:rPr>
          <w:rFonts w:ascii="Arial" w:hAnsi="Arial" w:cs="Arial"/>
          <w:sz w:val="24"/>
          <w:szCs w:val="24"/>
        </w:rPr>
        <w:t>.0</w:t>
      </w:r>
      <w:r w:rsidR="006E4575">
        <w:rPr>
          <w:rFonts w:ascii="Arial" w:hAnsi="Arial" w:cs="Arial"/>
          <w:sz w:val="24"/>
          <w:szCs w:val="24"/>
        </w:rPr>
        <w:tab/>
      </w:r>
      <w:r w:rsidR="00620597" w:rsidRPr="00620597">
        <w:rPr>
          <w:rFonts w:ascii="Arial" w:hAnsi="Arial" w:cs="Arial"/>
          <w:sz w:val="24"/>
          <w:szCs w:val="24"/>
          <w:u w:val="single"/>
        </w:rPr>
        <w:t>Planning obligations</w:t>
      </w:r>
    </w:p>
    <w:p w:rsidR="000956D4" w:rsidRPr="00620597" w:rsidRDefault="000956D4" w:rsidP="000956D4">
      <w:pPr>
        <w:spacing w:after="0"/>
        <w:jc w:val="both"/>
        <w:rPr>
          <w:rFonts w:ascii="Arial" w:hAnsi="Arial" w:cs="Arial"/>
          <w:sz w:val="24"/>
          <w:szCs w:val="24"/>
          <w:u w:val="single"/>
        </w:rPr>
      </w:pPr>
    </w:p>
    <w:p w:rsidR="00620597" w:rsidRDefault="00924B15" w:rsidP="00620597">
      <w:pPr>
        <w:spacing w:after="0"/>
        <w:ind w:left="709" w:hanging="709"/>
        <w:jc w:val="both"/>
        <w:rPr>
          <w:rFonts w:ascii="Arial" w:hAnsi="Arial" w:cs="Arial"/>
          <w:sz w:val="24"/>
          <w:szCs w:val="24"/>
        </w:rPr>
      </w:pPr>
      <w:r>
        <w:rPr>
          <w:rFonts w:ascii="Arial" w:hAnsi="Arial" w:cs="Arial"/>
          <w:sz w:val="24"/>
          <w:szCs w:val="24"/>
        </w:rPr>
        <w:t>4</w:t>
      </w:r>
      <w:r w:rsidR="000956D4">
        <w:rPr>
          <w:rFonts w:ascii="Arial" w:hAnsi="Arial" w:cs="Arial"/>
          <w:sz w:val="24"/>
          <w:szCs w:val="24"/>
        </w:rPr>
        <w:t>.1</w:t>
      </w:r>
      <w:r w:rsidR="00620597">
        <w:rPr>
          <w:rFonts w:ascii="Arial" w:hAnsi="Arial" w:cs="Arial"/>
          <w:sz w:val="24"/>
          <w:szCs w:val="24"/>
        </w:rPr>
        <w:tab/>
        <w:t xml:space="preserve">In paragraph 26.1 the table listed as ‘Head of term’ shall be deleted and replaced with </w:t>
      </w:r>
      <w:r w:rsidR="00FD342E">
        <w:rPr>
          <w:rFonts w:ascii="Arial" w:hAnsi="Arial" w:cs="Arial"/>
          <w:sz w:val="24"/>
          <w:szCs w:val="24"/>
        </w:rPr>
        <w:t>(</w:t>
      </w:r>
      <w:r w:rsidR="00FD342E" w:rsidRPr="00FD342E">
        <w:rPr>
          <w:rFonts w:ascii="Arial" w:hAnsi="Arial" w:cs="Arial"/>
          <w:b/>
          <w:i/>
          <w:sz w:val="24"/>
          <w:szCs w:val="24"/>
        </w:rPr>
        <w:t>additions shown in bold and italics</w:t>
      </w:r>
      <w:r w:rsidR="00E5642A">
        <w:rPr>
          <w:rFonts w:ascii="Arial" w:hAnsi="Arial" w:cs="Arial"/>
          <w:b/>
          <w:i/>
          <w:sz w:val="24"/>
          <w:szCs w:val="24"/>
        </w:rPr>
        <w:t xml:space="preserve"> and deleted parts scored out</w:t>
      </w:r>
      <w:r w:rsidR="00FD342E">
        <w:rPr>
          <w:rFonts w:ascii="Arial" w:hAnsi="Arial" w:cs="Arial"/>
          <w:sz w:val="24"/>
          <w:szCs w:val="24"/>
        </w:rPr>
        <w:t>)</w:t>
      </w:r>
    </w:p>
    <w:p w:rsidR="005326E9" w:rsidRPr="00622DC5" w:rsidRDefault="005326E9" w:rsidP="00620597">
      <w:pPr>
        <w:spacing w:after="0"/>
        <w:ind w:left="709" w:hanging="709"/>
        <w:jc w:val="both"/>
        <w:rPr>
          <w:rFonts w:ascii="Arial" w:hAnsi="Arial" w:cs="Arial"/>
          <w:sz w:val="24"/>
          <w:szCs w:val="24"/>
        </w:rPr>
      </w:pPr>
      <w:r>
        <w:rPr>
          <w:rFonts w:ascii="Arial" w:hAnsi="Arial" w:cs="Arial"/>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5"/>
        <w:gridCol w:w="1751"/>
      </w:tblGrid>
      <w:tr w:rsidR="005326E9" w:rsidRPr="00A34273" w:rsidTr="00FD342E">
        <w:tc>
          <w:tcPr>
            <w:tcW w:w="6545" w:type="dxa"/>
          </w:tcPr>
          <w:p w:rsidR="005326E9" w:rsidRPr="00A34273" w:rsidRDefault="005326E9" w:rsidP="001A7C52">
            <w:pPr>
              <w:spacing w:after="0" w:line="260" w:lineRule="atLeast"/>
              <w:jc w:val="both"/>
              <w:rPr>
                <w:rFonts w:ascii="Arial" w:eastAsia="Times New Roman" w:hAnsi="Arial" w:cs="Arial"/>
                <w:b/>
                <w:sz w:val="24"/>
                <w:szCs w:val="24"/>
              </w:rPr>
            </w:pPr>
            <w:r>
              <w:rPr>
                <w:rFonts w:ascii="Arial" w:eastAsia="Times New Roman" w:hAnsi="Arial" w:cs="Arial"/>
                <w:b/>
                <w:sz w:val="24"/>
                <w:szCs w:val="24"/>
              </w:rPr>
              <w:t>Head of term</w:t>
            </w:r>
          </w:p>
        </w:tc>
        <w:tc>
          <w:tcPr>
            <w:tcW w:w="1751" w:type="dxa"/>
          </w:tcPr>
          <w:p w:rsidR="005326E9" w:rsidRPr="00A34273" w:rsidRDefault="005326E9" w:rsidP="001A7C52">
            <w:pPr>
              <w:spacing w:after="0" w:line="260" w:lineRule="atLeast"/>
              <w:jc w:val="both"/>
              <w:rPr>
                <w:rFonts w:ascii="Arial" w:eastAsia="Times New Roman" w:hAnsi="Arial" w:cs="Arial"/>
                <w:b/>
                <w:sz w:val="24"/>
                <w:szCs w:val="24"/>
              </w:rPr>
            </w:pPr>
            <w:r w:rsidRPr="00A34273">
              <w:rPr>
                <w:rFonts w:ascii="Arial" w:eastAsia="Times New Roman" w:hAnsi="Arial" w:cs="Arial"/>
                <w:b/>
                <w:sz w:val="24"/>
                <w:szCs w:val="24"/>
              </w:rPr>
              <w:t>Amount (£)</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Affordable housing contribution</w:t>
            </w:r>
          </w:p>
        </w:tc>
        <w:tc>
          <w:tcPr>
            <w:tcW w:w="1751" w:type="dxa"/>
          </w:tcPr>
          <w:p w:rsidR="005326E9"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£500,000</w:t>
            </w:r>
          </w:p>
        </w:tc>
      </w:tr>
      <w:tr w:rsidR="005326E9" w:rsidRPr="00A34273" w:rsidTr="00FD342E">
        <w:tc>
          <w:tcPr>
            <w:tcW w:w="6545" w:type="dxa"/>
          </w:tcPr>
          <w:p w:rsidR="005326E9" w:rsidRPr="002876D4" w:rsidRDefault="005326E9" w:rsidP="00C76280">
            <w:pPr>
              <w:tabs>
                <w:tab w:val="left" w:pos="1014"/>
              </w:tabs>
              <w:spacing w:after="0" w:line="260" w:lineRule="atLeast"/>
              <w:jc w:val="both"/>
              <w:rPr>
                <w:rFonts w:ascii="Arial" w:eastAsia="Times New Roman" w:hAnsi="Arial" w:cs="Arial"/>
                <w:sz w:val="24"/>
                <w:szCs w:val="24"/>
              </w:rPr>
            </w:pPr>
            <w:r>
              <w:rPr>
                <w:rFonts w:ascii="Arial" w:eastAsia="Times New Roman" w:hAnsi="Arial" w:cs="Arial"/>
                <w:sz w:val="24"/>
                <w:szCs w:val="24"/>
              </w:rPr>
              <w:t xml:space="preserve">Market and </w:t>
            </w:r>
            <w:r w:rsidRPr="002876D4">
              <w:rPr>
                <w:rFonts w:ascii="Arial" w:eastAsia="Times New Roman" w:hAnsi="Arial" w:cs="Arial"/>
                <w:sz w:val="24"/>
                <w:szCs w:val="24"/>
              </w:rPr>
              <w:t xml:space="preserve">Affordable housing </w:t>
            </w:r>
            <w:r>
              <w:rPr>
                <w:rFonts w:ascii="Arial" w:eastAsia="Times New Roman" w:hAnsi="Arial" w:cs="Arial"/>
                <w:sz w:val="24"/>
                <w:szCs w:val="24"/>
              </w:rPr>
              <w:t>deferred contribution (capped amount)</w:t>
            </w:r>
            <w:r w:rsidR="00C76280">
              <w:rPr>
                <w:rFonts w:ascii="Arial" w:eastAsia="Times New Roman" w:hAnsi="Arial" w:cs="Arial"/>
                <w:sz w:val="24"/>
                <w:szCs w:val="24"/>
              </w:rPr>
              <w:t xml:space="preserve"> </w:t>
            </w:r>
            <w:r w:rsidR="00C76280" w:rsidRPr="00C76280">
              <w:rPr>
                <w:rFonts w:ascii="Arial" w:eastAsia="Times New Roman" w:hAnsi="Arial" w:cs="Arial"/>
                <w:b/>
                <w:i/>
                <w:sz w:val="24"/>
                <w:szCs w:val="24"/>
              </w:rPr>
              <w:t>(in</w:t>
            </w:r>
            <w:r w:rsidR="00C76280">
              <w:rPr>
                <w:rFonts w:ascii="Arial" w:eastAsia="Times New Roman" w:hAnsi="Arial" w:cs="Arial"/>
                <w:b/>
                <w:i/>
                <w:sz w:val="24"/>
                <w:szCs w:val="24"/>
              </w:rPr>
              <w:t xml:space="preserve"> the event of </w:t>
            </w:r>
            <w:r w:rsidR="00C76280" w:rsidRPr="00C76280">
              <w:rPr>
                <w:rFonts w:ascii="Arial" w:eastAsia="Times New Roman" w:hAnsi="Arial" w:cs="Arial"/>
                <w:b/>
                <w:i/>
                <w:sz w:val="24"/>
                <w:szCs w:val="24"/>
              </w:rPr>
              <w:t>circumstances in terms of viability changing.)</w:t>
            </w:r>
          </w:p>
        </w:tc>
        <w:tc>
          <w:tcPr>
            <w:tcW w:w="1751" w:type="dxa"/>
          </w:tcPr>
          <w:p w:rsidR="005326E9" w:rsidRPr="00FD342E" w:rsidRDefault="005326E9" w:rsidP="001A7C52">
            <w:pPr>
              <w:spacing w:after="0" w:line="260" w:lineRule="atLeast"/>
              <w:jc w:val="both"/>
              <w:rPr>
                <w:rFonts w:ascii="Arial" w:eastAsia="Times New Roman" w:hAnsi="Arial" w:cs="Arial"/>
                <w:b/>
                <w:i/>
                <w:sz w:val="24"/>
                <w:szCs w:val="24"/>
              </w:rPr>
            </w:pPr>
            <w:r w:rsidRPr="00FD342E">
              <w:rPr>
                <w:rFonts w:ascii="Arial" w:eastAsia="Times New Roman" w:hAnsi="Arial" w:cs="Arial"/>
                <w:b/>
                <w:i/>
                <w:sz w:val="24"/>
                <w:szCs w:val="24"/>
              </w:rPr>
              <w:t>£1,833,576</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Local employment, skills and local supply plan including contribution towards employment and skills opportunities</w:t>
            </w:r>
          </w:p>
        </w:tc>
        <w:tc>
          <w:tcPr>
            <w:tcW w:w="1751" w:type="dxa"/>
          </w:tcPr>
          <w:p w:rsidR="005326E9" w:rsidRDefault="005326E9" w:rsidP="001A7C52">
            <w:pPr>
              <w:spacing w:after="0" w:line="260" w:lineRule="atLeast"/>
              <w:jc w:val="both"/>
              <w:rPr>
                <w:rFonts w:ascii="Arial" w:eastAsia="Times New Roman" w:hAnsi="Arial" w:cs="Arial"/>
                <w:sz w:val="24"/>
                <w:szCs w:val="24"/>
              </w:rPr>
            </w:pPr>
            <w:r w:rsidRPr="00063D1C">
              <w:rPr>
                <w:rFonts w:ascii="Arial" w:eastAsia="Times New Roman" w:hAnsi="Arial" w:cs="Arial"/>
                <w:sz w:val="24"/>
                <w:szCs w:val="24"/>
              </w:rPr>
              <w:t>£76,219</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Construction management plan (including monitoring fee)</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£20,000</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Stopping up order</w:t>
            </w:r>
          </w:p>
        </w:tc>
        <w:tc>
          <w:tcPr>
            <w:tcW w:w="1751" w:type="dxa"/>
          </w:tcPr>
          <w:p w:rsidR="005326E9"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Fee TBC</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Car free development</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Work travel plan (including monitoring fee)</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£6,244</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Highways contribution for public highway and public realm improvements</w:t>
            </w:r>
            <w:r>
              <w:rPr>
                <w:rFonts w:ascii="Arial" w:eastAsia="Times New Roman" w:hAnsi="Arial" w:cs="Arial"/>
                <w:sz w:val="24"/>
                <w:szCs w:val="24"/>
              </w:rPr>
              <w:t xml:space="preserve"> including cycle parking spaces on public footpath</w:t>
            </w:r>
          </w:p>
        </w:tc>
        <w:tc>
          <w:tcPr>
            <w:tcW w:w="1751" w:type="dxa"/>
          </w:tcPr>
          <w:p w:rsidR="005326E9" w:rsidRPr="00063D1C" w:rsidRDefault="005326E9" w:rsidP="001A7C52">
            <w:pPr>
              <w:spacing w:after="0" w:line="260" w:lineRule="atLeast"/>
              <w:jc w:val="both"/>
              <w:rPr>
                <w:rFonts w:ascii="Arial" w:eastAsia="Times New Roman" w:hAnsi="Arial" w:cs="Arial"/>
                <w:sz w:val="24"/>
                <w:szCs w:val="24"/>
              </w:rPr>
            </w:pPr>
            <w:r w:rsidRPr="00063D1C">
              <w:rPr>
                <w:rFonts w:ascii="Arial" w:eastAsia="Times New Roman" w:hAnsi="Arial" w:cs="Arial"/>
                <w:sz w:val="24"/>
                <w:szCs w:val="24"/>
              </w:rPr>
              <w:t>£90,185.17</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 xml:space="preserve">Pedestrian, cycling and environmental contributions </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£200,000</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Legible London signage</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£1,000</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London Cycle Hire Scheme</w:t>
            </w:r>
          </w:p>
        </w:tc>
        <w:tc>
          <w:tcPr>
            <w:tcW w:w="1751" w:type="dxa"/>
          </w:tcPr>
          <w:p w:rsidR="005326E9" w:rsidRPr="00063D1C" w:rsidRDefault="005326E9" w:rsidP="001A7C52">
            <w:pPr>
              <w:spacing w:after="0" w:line="260" w:lineRule="atLeast"/>
              <w:jc w:val="both"/>
              <w:rPr>
                <w:rFonts w:ascii="Arial" w:eastAsia="Times New Roman" w:hAnsi="Arial" w:cs="Arial"/>
                <w:sz w:val="24"/>
                <w:szCs w:val="24"/>
              </w:rPr>
            </w:pPr>
            <w:r w:rsidRPr="00063D1C">
              <w:rPr>
                <w:rFonts w:ascii="Arial" w:eastAsia="Times New Roman" w:hAnsi="Arial" w:cs="Arial"/>
                <w:sz w:val="24"/>
                <w:szCs w:val="24"/>
              </w:rPr>
              <w:t>£200,000</w:t>
            </w: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sidRPr="002876D4">
              <w:rPr>
                <w:rFonts w:ascii="Arial" w:eastAsia="Times New Roman" w:hAnsi="Arial" w:cs="Arial"/>
                <w:sz w:val="24"/>
                <w:szCs w:val="24"/>
              </w:rPr>
              <w:t>Delivery and servicing management Plan</w:t>
            </w:r>
          </w:p>
        </w:tc>
        <w:tc>
          <w:tcPr>
            <w:tcW w:w="1751" w:type="dxa"/>
          </w:tcPr>
          <w:p w:rsidR="005326E9" w:rsidRPr="00A34273" w:rsidRDefault="005326E9" w:rsidP="001A7C52">
            <w:pPr>
              <w:spacing w:after="0" w:line="260" w:lineRule="atLeast"/>
              <w:jc w:val="both"/>
              <w:rPr>
                <w:rFonts w:ascii="Arial" w:eastAsia="Times New Roman" w:hAnsi="Arial" w:cs="Arial"/>
                <w:color w:val="00B050"/>
                <w:sz w:val="24"/>
                <w:szCs w:val="24"/>
              </w:rPr>
            </w:pPr>
          </w:p>
        </w:tc>
      </w:tr>
      <w:tr w:rsidR="005326E9" w:rsidRPr="00A34273" w:rsidTr="00FD342E">
        <w:tc>
          <w:tcPr>
            <w:tcW w:w="6545" w:type="dxa"/>
          </w:tcPr>
          <w:p w:rsidR="005326E9" w:rsidRPr="002876D4" w:rsidRDefault="005326E9" w:rsidP="001A7C52">
            <w:pPr>
              <w:tabs>
                <w:tab w:val="left" w:pos="1014"/>
              </w:tabs>
              <w:spacing w:after="0" w:line="260" w:lineRule="atLeast"/>
              <w:jc w:val="both"/>
              <w:rPr>
                <w:rFonts w:ascii="Arial" w:eastAsia="Times New Roman" w:hAnsi="Arial" w:cs="Arial"/>
                <w:sz w:val="24"/>
                <w:szCs w:val="24"/>
              </w:rPr>
            </w:pPr>
            <w:r>
              <w:rPr>
                <w:rFonts w:ascii="Arial" w:eastAsia="Times New Roman" w:hAnsi="Arial" w:cs="Arial"/>
                <w:sz w:val="24"/>
                <w:szCs w:val="24"/>
              </w:rPr>
              <w:t>Level plans</w:t>
            </w:r>
          </w:p>
        </w:tc>
        <w:tc>
          <w:tcPr>
            <w:tcW w:w="1751" w:type="dxa"/>
          </w:tcPr>
          <w:p w:rsidR="005326E9" w:rsidRPr="00A34273" w:rsidRDefault="005326E9" w:rsidP="001A7C52">
            <w:pPr>
              <w:spacing w:after="0" w:line="260" w:lineRule="atLeast"/>
              <w:jc w:val="both"/>
              <w:rPr>
                <w:rFonts w:ascii="Arial" w:eastAsia="Times New Roman" w:hAnsi="Arial" w:cs="Arial"/>
                <w:color w:val="00B050"/>
                <w:sz w:val="24"/>
                <w:szCs w:val="24"/>
              </w:rPr>
            </w:pPr>
          </w:p>
        </w:tc>
      </w:tr>
      <w:tr w:rsidR="005326E9" w:rsidRPr="00A34273" w:rsidTr="00FD342E">
        <w:tc>
          <w:tcPr>
            <w:tcW w:w="6545" w:type="dxa"/>
          </w:tcPr>
          <w:p w:rsidR="005326E9" w:rsidRPr="002876D4" w:rsidRDefault="005326E9" w:rsidP="001A7C52">
            <w:pPr>
              <w:spacing w:after="0" w:line="240" w:lineRule="auto"/>
              <w:jc w:val="both"/>
              <w:rPr>
                <w:rFonts w:ascii="Arial" w:eastAsia="Times New Roman" w:hAnsi="Arial" w:cs="Arial"/>
                <w:sz w:val="24"/>
                <w:szCs w:val="24"/>
              </w:rPr>
            </w:pPr>
            <w:r w:rsidRPr="002876D4">
              <w:rPr>
                <w:rFonts w:ascii="Arial" w:eastAsia="Times New Roman" w:hAnsi="Arial" w:cs="Arial"/>
                <w:sz w:val="24"/>
                <w:szCs w:val="24"/>
              </w:rPr>
              <w:t>Public open space</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£22,775</w:t>
            </w:r>
          </w:p>
        </w:tc>
      </w:tr>
      <w:tr w:rsidR="005326E9" w:rsidRPr="00A34273" w:rsidTr="00FD342E">
        <w:tc>
          <w:tcPr>
            <w:tcW w:w="6545" w:type="dxa"/>
          </w:tcPr>
          <w:p w:rsidR="005326E9" w:rsidRPr="002876D4" w:rsidRDefault="005326E9" w:rsidP="001A7C52">
            <w:pPr>
              <w:spacing w:after="0" w:line="240" w:lineRule="auto"/>
              <w:jc w:val="both"/>
              <w:rPr>
                <w:rFonts w:ascii="Arial" w:eastAsia="Times New Roman" w:hAnsi="Arial" w:cs="Arial"/>
                <w:sz w:val="24"/>
                <w:szCs w:val="24"/>
              </w:rPr>
            </w:pPr>
            <w:r w:rsidRPr="002876D4">
              <w:rPr>
                <w:rFonts w:ascii="Arial" w:eastAsia="Times New Roman" w:hAnsi="Arial" w:cs="Arial"/>
                <w:sz w:val="24"/>
                <w:szCs w:val="24"/>
              </w:rPr>
              <w:t>Retail signage strategy</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Pr="002876D4" w:rsidRDefault="005326E9" w:rsidP="001A7C52">
            <w:pPr>
              <w:spacing w:after="0" w:line="240" w:lineRule="auto"/>
              <w:jc w:val="both"/>
              <w:rPr>
                <w:rFonts w:ascii="Arial" w:eastAsia="Times New Roman" w:hAnsi="Arial" w:cs="Arial"/>
                <w:sz w:val="24"/>
                <w:szCs w:val="24"/>
              </w:rPr>
            </w:pPr>
            <w:r w:rsidRPr="002876D4">
              <w:rPr>
                <w:rFonts w:ascii="Arial" w:eastAsia="Times New Roman" w:hAnsi="Arial" w:cs="Arial"/>
                <w:sz w:val="24"/>
                <w:szCs w:val="24"/>
              </w:rPr>
              <w:t>Basement construction plan</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Pr="002876D4" w:rsidRDefault="005326E9" w:rsidP="001A7C52">
            <w:pPr>
              <w:spacing w:after="0" w:line="240" w:lineRule="auto"/>
              <w:jc w:val="both"/>
              <w:rPr>
                <w:rFonts w:ascii="Arial" w:eastAsia="Times New Roman" w:hAnsi="Arial" w:cs="Arial"/>
                <w:sz w:val="24"/>
                <w:szCs w:val="24"/>
              </w:rPr>
            </w:pPr>
            <w:r>
              <w:rPr>
                <w:rFonts w:ascii="Arial" w:eastAsia="Times New Roman" w:hAnsi="Arial" w:cs="Arial"/>
                <w:sz w:val="24"/>
                <w:szCs w:val="24"/>
              </w:rPr>
              <w:t>Sustainability plan</w:t>
            </w:r>
            <w:r w:rsidR="00AF76D0">
              <w:rPr>
                <w:rFonts w:ascii="Arial" w:eastAsia="Times New Roman" w:hAnsi="Arial" w:cs="Arial"/>
                <w:sz w:val="24"/>
                <w:szCs w:val="24"/>
              </w:rPr>
              <w:t xml:space="preserve"> </w:t>
            </w:r>
            <w:r w:rsidR="00AF76D0" w:rsidRPr="00AF76D0">
              <w:rPr>
                <w:rFonts w:ascii="Arial" w:eastAsia="Times New Roman" w:hAnsi="Arial" w:cs="Arial"/>
                <w:b/>
                <w:i/>
                <w:sz w:val="24"/>
                <w:szCs w:val="24"/>
              </w:rPr>
              <w:t>and post construction review</w:t>
            </w:r>
            <w:r>
              <w:rPr>
                <w:rFonts w:ascii="Arial" w:eastAsia="Times New Roman" w:hAnsi="Arial" w:cs="Arial"/>
                <w:sz w:val="24"/>
                <w:szCs w:val="24"/>
              </w:rPr>
              <w:t xml:space="preserve"> (BREEAM ‘Excellent’ with minimum credit targets in Energy (60%), Materials (40%) and Water (60%)</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Default="005326E9" w:rsidP="001A7C52">
            <w:pPr>
              <w:spacing w:after="0" w:line="240" w:lineRule="auto"/>
              <w:jc w:val="both"/>
              <w:rPr>
                <w:rFonts w:ascii="Arial" w:eastAsia="Times New Roman" w:hAnsi="Arial" w:cs="Arial"/>
                <w:sz w:val="24"/>
                <w:szCs w:val="24"/>
              </w:rPr>
            </w:pPr>
            <w:r>
              <w:rPr>
                <w:rFonts w:ascii="Arial" w:eastAsia="Times New Roman" w:hAnsi="Arial" w:cs="Arial"/>
                <w:sz w:val="24"/>
                <w:szCs w:val="24"/>
              </w:rPr>
              <w:t>Energy efficiency and renewable energy plan</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Default="005326E9" w:rsidP="001A7C52">
            <w:pPr>
              <w:spacing w:after="0" w:line="240" w:lineRule="auto"/>
              <w:jc w:val="both"/>
              <w:rPr>
                <w:rFonts w:ascii="Arial" w:eastAsia="Times New Roman" w:hAnsi="Arial" w:cs="Arial"/>
                <w:sz w:val="24"/>
                <w:szCs w:val="24"/>
              </w:rPr>
            </w:pPr>
            <w:r>
              <w:rPr>
                <w:rFonts w:ascii="Arial" w:eastAsia="Times New Roman" w:hAnsi="Arial" w:cs="Arial"/>
                <w:sz w:val="24"/>
                <w:szCs w:val="24"/>
              </w:rPr>
              <w:t>Carbon offset contribution</w:t>
            </w:r>
          </w:p>
        </w:tc>
        <w:tc>
          <w:tcPr>
            <w:tcW w:w="1751" w:type="dxa"/>
          </w:tcPr>
          <w:p w:rsidR="005326E9" w:rsidRPr="00A34273" w:rsidRDefault="005326E9" w:rsidP="001A7C52">
            <w:pPr>
              <w:spacing w:after="0" w:line="260" w:lineRule="atLeast"/>
              <w:jc w:val="both"/>
              <w:rPr>
                <w:rFonts w:ascii="Arial" w:eastAsia="Times New Roman" w:hAnsi="Arial" w:cs="Arial"/>
                <w:sz w:val="24"/>
                <w:szCs w:val="24"/>
              </w:rPr>
            </w:pPr>
            <w:r>
              <w:rPr>
                <w:rFonts w:ascii="Arial" w:eastAsia="Times New Roman" w:hAnsi="Arial" w:cs="Arial"/>
                <w:sz w:val="24"/>
                <w:szCs w:val="24"/>
              </w:rPr>
              <w:t>£164,349</w:t>
            </w:r>
          </w:p>
        </w:tc>
      </w:tr>
      <w:tr w:rsidR="005326E9" w:rsidRPr="00A34273" w:rsidTr="00FD342E">
        <w:tc>
          <w:tcPr>
            <w:tcW w:w="6545" w:type="dxa"/>
          </w:tcPr>
          <w:p w:rsidR="005326E9" w:rsidRDefault="005326E9" w:rsidP="001A7C52">
            <w:pPr>
              <w:spacing w:after="0" w:line="240" w:lineRule="auto"/>
              <w:jc w:val="both"/>
              <w:rPr>
                <w:rFonts w:ascii="Arial" w:eastAsia="Times New Roman" w:hAnsi="Arial" w:cs="Arial"/>
                <w:sz w:val="24"/>
                <w:szCs w:val="24"/>
              </w:rPr>
            </w:pPr>
            <w:r w:rsidRPr="00692D71">
              <w:rPr>
                <w:rFonts w:ascii="Arial" w:eastAsia="Times New Roman" w:hAnsi="Arial" w:cs="Arial"/>
                <w:strike/>
                <w:sz w:val="24"/>
                <w:szCs w:val="24"/>
              </w:rPr>
              <w:t>CHP and</w:t>
            </w:r>
            <w:r w:rsidR="00692D71">
              <w:rPr>
                <w:rFonts w:ascii="Arial" w:eastAsia="Times New Roman" w:hAnsi="Arial" w:cs="Arial"/>
                <w:sz w:val="24"/>
                <w:szCs w:val="24"/>
              </w:rPr>
              <w:t xml:space="preserve"> F</w:t>
            </w:r>
            <w:r>
              <w:rPr>
                <w:rFonts w:ascii="Arial" w:eastAsia="Times New Roman" w:hAnsi="Arial" w:cs="Arial"/>
                <w:sz w:val="24"/>
                <w:szCs w:val="24"/>
              </w:rPr>
              <w:t>uture proofing details for connecting to a decentralised energy network to ensure that the applicant investigates how all the building uses can be integrated into a single system</w:t>
            </w:r>
          </w:p>
        </w:tc>
        <w:tc>
          <w:tcPr>
            <w:tcW w:w="1751" w:type="dxa"/>
          </w:tcPr>
          <w:p w:rsidR="005326E9"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Default="005326E9" w:rsidP="001A7C52">
            <w:pPr>
              <w:spacing w:after="0" w:line="240" w:lineRule="auto"/>
              <w:jc w:val="both"/>
              <w:rPr>
                <w:rFonts w:ascii="Arial" w:eastAsia="Times New Roman" w:hAnsi="Arial" w:cs="Arial"/>
                <w:sz w:val="24"/>
                <w:szCs w:val="24"/>
              </w:rPr>
            </w:pPr>
            <w:r>
              <w:rPr>
                <w:rFonts w:ascii="Arial" w:eastAsia="Times New Roman" w:hAnsi="Arial" w:cs="Arial"/>
                <w:sz w:val="24"/>
                <w:szCs w:val="24"/>
              </w:rPr>
              <w:t>Accessibility of pedestrian accessway</w:t>
            </w:r>
          </w:p>
        </w:tc>
        <w:tc>
          <w:tcPr>
            <w:tcW w:w="1751" w:type="dxa"/>
          </w:tcPr>
          <w:p w:rsidR="005326E9" w:rsidRDefault="005326E9" w:rsidP="001A7C52">
            <w:pPr>
              <w:spacing w:after="0" w:line="260" w:lineRule="atLeast"/>
              <w:jc w:val="both"/>
              <w:rPr>
                <w:rFonts w:ascii="Arial" w:eastAsia="Times New Roman" w:hAnsi="Arial" w:cs="Arial"/>
                <w:sz w:val="24"/>
                <w:szCs w:val="24"/>
              </w:rPr>
            </w:pPr>
          </w:p>
        </w:tc>
      </w:tr>
      <w:tr w:rsidR="005326E9" w:rsidRPr="00A34273" w:rsidTr="00FD342E">
        <w:tc>
          <w:tcPr>
            <w:tcW w:w="6545" w:type="dxa"/>
          </w:tcPr>
          <w:p w:rsidR="005326E9" w:rsidRPr="00A34273" w:rsidRDefault="005326E9" w:rsidP="001A7C52">
            <w:pPr>
              <w:tabs>
                <w:tab w:val="left" w:pos="1014"/>
              </w:tabs>
              <w:spacing w:after="0" w:line="260" w:lineRule="atLeast"/>
              <w:jc w:val="both"/>
              <w:rPr>
                <w:rFonts w:ascii="Arial" w:eastAsia="Times New Roman" w:hAnsi="Arial" w:cs="Arial"/>
                <w:b/>
                <w:color w:val="00B050"/>
                <w:sz w:val="24"/>
                <w:szCs w:val="24"/>
              </w:rPr>
            </w:pPr>
            <w:r w:rsidRPr="00A34273">
              <w:rPr>
                <w:rFonts w:ascii="Arial" w:eastAsia="Times New Roman" w:hAnsi="Arial" w:cs="Arial"/>
                <w:b/>
                <w:sz w:val="24"/>
                <w:szCs w:val="24"/>
              </w:rPr>
              <w:t>TOTAL</w:t>
            </w:r>
          </w:p>
        </w:tc>
        <w:tc>
          <w:tcPr>
            <w:tcW w:w="1751" w:type="dxa"/>
          </w:tcPr>
          <w:p w:rsidR="005326E9" w:rsidRPr="00FD342E" w:rsidRDefault="005326E9" w:rsidP="005326E9">
            <w:pPr>
              <w:spacing w:after="0" w:line="260" w:lineRule="atLeast"/>
              <w:jc w:val="both"/>
              <w:rPr>
                <w:rFonts w:ascii="Arial" w:eastAsia="Times New Roman" w:hAnsi="Arial" w:cs="Arial"/>
                <w:b/>
                <w:i/>
                <w:sz w:val="24"/>
                <w:szCs w:val="24"/>
              </w:rPr>
            </w:pPr>
            <w:r w:rsidRPr="00FD342E">
              <w:rPr>
                <w:rFonts w:ascii="Arial" w:eastAsia="Times New Roman" w:hAnsi="Arial" w:cs="Arial"/>
                <w:b/>
                <w:i/>
                <w:sz w:val="24"/>
                <w:szCs w:val="24"/>
              </w:rPr>
              <w:t>£3,114,348.17</w:t>
            </w:r>
          </w:p>
        </w:tc>
      </w:tr>
    </w:tbl>
    <w:p w:rsidR="005326E9" w:rsidRDefault="005326E9" w:rsidP="00620597">
      <w:pPr>
        <w:spacing w:after="0"/>
        <w:ind w:left="709" w:hanging="709"/>
        <w:jc w:val="both"/>
        <w:rPr>
          <w:rFonts w:ascii="Arial" w:hAnsi="Arial" w:cs="Arial"/>
          <w:sz w:val="24"/>
          <w:szCs w:val="24"/>
        </w:rPr>
      </w:pPr>
    </w:p>
    <w:p w:rsidR="000956D4" w:rsidRDefault="00924B15" w:rsidP="00620597">
      <w:pPr>
        <w:spacing w:after="0"/>
        <w:ind w:left="709" w:hanging="709"/>
        <w:jc w:val="both"/>
        <w:rPr>
          <w:rFonts w:ascii="Arial" w:hAnsi="Arial" w:cs="Arial"/>
          <w:sz w:val="24"/>
          <w:szCs w:val="24"/>
        </w:rPr>
      </w:pPr>
      <w:r>
        <w:rPr>
          <w:rFonts w:ascii="Arial" w:hAnsi="Arial" w:cs="Arial"/>
          <w:sz w:val="24"/>
          <w:szCs w:val="24"/>
        </w:rPr>
        <w:t>5</w:t>
      </w:r>
      <w:r w:rsidR="000956D4">
        <w:rPr>
          <w:rFonts w:ascii="Arial" w:hAnsi="Arial" w:cs="Arial"/>
          <w:sz w:val="24"/>
          <w:szCs w:val="24"/>
        </w:rPr>
        <w:t>.0</w:t>
      </w:r>
      <w:r w:rsidR="000956D4">
        <w:rPr>
          <w:rFonts w:ascii="Arial" w:hAnsi="Arial" w:cs="Arial"/>
          <w:sz w:val="24"/>
          <w:szCs w:val="24"/>
        </w:rPr>
        <w:tab/>
      </w:r>
      <w:r w:rsidR="000956D4" w:rsidRPr="000956D4">
        <w:rPr>
          <w:rFonts w:ascii="Arial" w:hAnsi="Arial" w:cs="Arial"/>
          <w:sz w:val="24"/>
          <w:szCs w:val="24"/>
          <w:u w:val="single"/>
        </w:rPr>
        <w:t>Conditions</w:t>
      </w:r>
    </w:p>
    <w:p w:rsidR="000956D4" w:rsidRDefault="000956D4" w:rsidP="00620597">
      <w:pPr>
        <w:spacing w:after="0"/>
        <w:ind w:left="709" w:hanging="709"/>
        <w:jc w:val="both"/>
        <w:rPr>
          <w:rFonts w:ascii="Arial" w:hAnsi="Arial" w:cs="Arial"/>
          <w:sz w:val="24"/>
          <w:szCs w:val="24"/>
        </w:rPr>
      </w:pPr>
    </w:p>
    <w:p w:rsidR="000956D4" w:rsidRPr="00622DC5" w:rsidRDefault="00924B15" w:rsidP="00620597">
      <w:pPr>
        <w:spacing w:after="0"/>
        <w:ind w:left="709" w:hanging="709"/>
        <w:jc w:val="both"/>
        <w:rPr>
          <w:rFonts w:ascii="Arial" w:hAnsi="Arial" w:cs="Arial"/>
          <w:sz w:val="24"/>
          <w:szCs w:val="24"/>
        </w:rPr>
      </w:pPr>
      <w:r>
        <w:rPr>
          <w:rFonts w:ascii="Arial" w:hAnsi="Arial" w:cs="Arial"/>
          <w:sz w:val="24"/>
          <w:szCs w:val="24"/>
        </w:rPr>
        <w:t>5</w:t>
      </w:r>
      <w:r w:rsidR="000956D4">
        <w:rPr>
          <w:rFonts w:ascii="Arial" w:hAnsi="Arial" w:cs="Arial"/>
          <w:sz w:val="24"/>
          <w:szCs w:val="24"/>
        </w:rPr>
        <w:t>.1</w:t>
      </w:r>
      <w:r w:rsidR="000956D4">
        <w:rPr>
          <w:rFonts w:ascii="Arial" w:hAnsi="Arial" w:cs="Arial"/>
          <w:sz w:val="24"/>
          <w:szCs w:val="24"/>
        </w:rPr>
        <w:tab/>
        <w:t>Condition 5 (hard and soft landscaping) has been removed as it duplicates condition 11 (hard and soft landscaping).</w:t>
      </w:r>
    </w:p>
    <w:p w:rsidR="002F6B05" w:rsidRPr="002F6B05" w:rsidRDefault="002F6B05" w:rsidP="002F6B05">
      <w:pPr>
        <w:jc w:val="right"/>
        <w:rPr>
          <w:rFonts w:ascii="Arial" w:hAnsi="Arial" w:cs="Arial"/>
          <w:b/>
          <w:sz w:val="24"/>
          <w:szCs w:val="24"/>
        </w:rPr>
      </w:pPr>
      <w:r w:rsidRPr="002F6B05">
        <w:rPr>
          <w:rFonts w:ascii="Arial" w:hAnsi="Arial" w:cs="Arial"/>
          <w:b/>
          <w:sz w:val="24"/>
          <w:szCs w:val="24"/>
        </w:rPr>
        <w:lastRenderedPageBreak/>
        <w:t>ENDS</w:t>
      </w:r>
    </w:p>
    <w:sectPr w:rsidR="002F6B05" w:rsidRPr="002F6B05" w:rsidSect="008C7D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DE3" w:rsidRDefault="008C7DE3" w:rsidP="008C7DE3">
      <w:pPr>
        <w:spacing w:after="0" w:line="240" w:lineRule="auto"/>
      </w:pPr>
      <w:r>
        <w:separator/>
      </w:r>
    </w:p>
  </w:endnote>
  <w:endnote w:type="continuationSeparator" w:id="0">
    <w:p w:rsidR="008C7DE3" w:rsidRDefault="008C7DE3" w:rsidP="008C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DE3" w:rsidRDefault="008C7DE3" w:rsidP="008C7DE3">
      <w:pPr>
        <w:spacing w:after="0" w:line="240" w:lineRule="auto"/>
      </w:pPr>
      <w:r>
        <w:separator/>
      </w:r>
    </w:p>
  </w:footnote>
  <w:footnote w:type="continuationSeparator" w:id="0">
    <w:p w:rsidR="008C7DE3" w:rsidRDefault="008C7DE3" w:rsidP="008C7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4F1"/>
    <w:multiLevelType w:val="hybridMultilevel"/>
    <w:tmpl w:val="41A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45157"/>
    <w:multiLevelType w:val="multilevel"/>
    <w:tmpl w:val="18142E76"/>
    <w:lvl w:ilvl="0">
      <w:start w:val="7"/>
      <w:numFmt w:val="decimal"/>
      <w:lvlText w:val="%1.0"/>
      <w:lvlJc w:val="left"/>
      <w:pPr>
        <w:ind w:left="576" w:hanging="360"/>
      </w:pPr>
      <w:rPr>
        <w:rFonts w:hint="default"/>
        <w:b/>
      </w:rPr>
    </w:lvl>
    <w:lvl w:ilvl="1">
      <w:start w:val="1"/>
      <w:numFmt w:val="decimal"/>
      <w:lvlText w:val="%1.%2"/>
      <w:lvlJc w:val="left"/>
      <w:pPr>
        <w:ind w:left="1296" w:hanging="360"/>
      </w:pPr>
      <w:rPr>
        <w:rFonts w:hint="default"/>
        <w:b w:val="0"/>
      </w:rPr>
    </w:lvl>
    <w:lvl w:ilvl="2">
      <w:start w:val="1"/>
      <w:numFmt w:val="decimal"/>
      <w:lvlText w:val="%1.%2.%3"/>
      <w:lvlJc w:val="left"/>
      <w:pPr>
        <w:ind w:left="2376"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176" w:hanging="1080"/>
      </w:pPr>
      <w:rPr>
        <w:rFonts w:hint="default"/>
        <w:b/>
      </w:rPr>
    </w:lvl>
    <w:lvl w:ilvl="5">
      <w:start w:val="1"/>
      <w:numFmt w:val="decimal"/>
      <w:lvlText w:val="%1.%2.%3.%4.%5.%6"/>
      <w:lvlJc w:val="left"/>
      <w:pPr>
        <w:ind w:left="5256" w:hanging="1440"/>
      </w:pPr>
      <w:rPr>
        <w:rFonts w:hint="default"/>
        <w:b/>
      </w:rPr>
    </w:lvl>
    <w:lvl w:ilvl="6">
      <w:start w:val="1"/>
      <w:numFmt w:val="decimal"/>
      <w:lvlText w:val="%1.%2.%3.%4.%5.%6.%7"/>
      <w:lvlJc w:val="left"/>
      <w:pPr>
        <w:ind w:left="5976" w:hanging="1440"/>
      </w:pPr>
      <w:rPr>
        <w:rFonts w:hint="default"/>
        <w:b/>
      </w:rPr>
    </w:lvl>
    <w:lvl w:ilvl="7">
      <w:start w:val="1"/>
      <w:numFmt w:val="decimal"/>
      <w:lvlText w:val="%1.%2.%3.%4.%5.%6.%7.%8"/>
      <w:lvlJc w:val="left"/>
      <w:pPr>
        <w:ind w:left="7056" w:hanging="1800"/>
      </w:pPr>
      <w:rPr>
        <w:rFonts w:hint="default"/>
        <w:b/>
      </w:rPr>
    </w:lvl>
    <w:lvl w:ilvl="8">
      <w:start w:val="1"/>
      <w:numFmt w:val="decimal"/>
      <w:lvlText w:val="%1.%2.%3.%4.%5.%6.%7.%8.%9"/>
      <w:lvlJc w:val="left"/>
      <w:pPr>
        <w:ind w:left="7776" w:hanging="1800"/>
      </w:pPr>
      <w:rPr>
        <w:rFonts w:hint="default"/>
        <w:b/>
      </w:rPr>
    </w:lvl>
  </w:abstractNum>
  <w:abstractNum w:abstractNumId="2" w15:restartNumberingAfterBreak="0">
    <w:nsid w:val="198A74DE"/>
    <w:multiLevelType w:val="multilevel"/>
    <w:tmpl w:val="B762B4A8"/>
    <w:lvl w:ilvl="0">
      <w:start w:val="3"/>
      <w:numFmt w:val="decimal"/>
      <w:lvlText w:val="%1."/>
      <w:lvlJc w:val="left"/>
      <w:pPr>
        <w:ind w:left="720" w:hanging="360"/>
      </w:pPr>
      <w:rPr>
        <w:rFonts w:hint="default"/>
        <w:u w:val="none"/>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A24B1F"/>
    <w:multiLevelType w:val="multilevel"/>
    <w:tmpl w:val="53685114"/>
    <w:lvl w:ilvl="0">
      <w:start w:val="7"/>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973B89"/>
    <w:multiLevelType w:val="hybridMultilevel"/>
    <w:tmpl w:val="60504C16"/>
    <w:lvl w:ilvl="0" w:tplc="9294C39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47B35"/>
    <w:multiLevelType w:val="multilevel"/>
    <w:tmpl w:val="CF7E896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BC5E97"/>
    <w:multiLevelType w:val="multilevel"/>
    <w:tmpl w:val="32228F10"/>
    <w:lvl w:ilvl="0">
      <w:start w:val="7"/>
      <w:numFmt w:val="decimal"/>
      <w:lvlText w:val="%1"/>
      <w:lvlJc w:val="left"/>
      <w:pPr>
        <w:ind w:left="465" w:hanging="465"/>
      </w:pPr>
      <w:rPr>
        <w:rFonts w:hint="default"/>
      </w:rPr>
    </w:lvl>
    <w:lvl w:ilvl="1">
      <w:start w:val="1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7" w15:restartNumberingAfterBreak="0">
    <w:nsid w:val="43C77C5A"/>
    <w:multiLevelType w:val="multilevel"/>
    <w:tmpl w:val="FDDEB1AA"/>
    <w:lvl w:ilvl="0">
      <w:start w:val="7"/>
      <w:numFmt w:val="decimal"/>
      <w:lvlText w:val="%1"/>
      <w:lvlJc w:val="left"/>
      <w:pPr>
        <w:ind w:left="465" w:hanging="465"/>
      </w:pPr>
      <w:rPr>
        <w:rFonts w:hint="default"/>
      </w:rPr>
    </w:lvl>
    <w:lvl w:ilvl="1">
      <w:start w:val="15"/>
      <w:numFmt w:val="decimal"/>
      <w:lvlText w:val="%1.%2"/>
      <w:lvlJc w:val="left"/>
      <w:pPr>
        <w:ind w:left="930" w:hanging="465"/>
      </w:pPr>
      <w:rPr>
        <w:rFonts w:hint="default"/>
        <w:b w:val="0"/>
        <w:i w:val="0"/>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8" w15:restartNumberingAfterBreak="0">
    <w:nsid w:val="4A73638A"/>
    <w:multiLevelType w:val="multilevel"/>
    <w:tmpl w:val="D8D85FFA"/>
    <w:lvl w:ilvl="0">
      <w:start w:val="7"/>
      <w:numFmt w:val="decimal"/>
      <w:lvlText w:val="%1.11"/>
      <w:lvlJc w:val="left"/>
      <w:pPr>
        <w:ind w:left="360" w:hanging="360"/>
      </w:pPr>
      <w:rPr>
        <w:rFonts w:hint="default"/>
        <w:b/>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560" w:hanging="1800"/>
      </w:pPr>
      <w:rPr>
        <w:rFonts w:hint="default"/>
        <w:b/>
        <w:color w:val="auto"/>
      </w:rPr>
    </w:lvl>
  </w:abstractNum>
  <w:abstractNum w:abstractNumId="9" w15:restartNumberingAfterBreak="0">
    <w:nsid w:val="69BB7D55"/>
    <w:multiLevelType w:val="hybridMultilevel"/>
    <w:tmpl w:val="DAA22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F0261"/>
    <w:multiLevelType w:val="multilevel"/>
    <w:tmpl w:val="D13800E6"/>
    <w:lvl w:ilvl="0">
      <w:start w:val="7"/>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6D1148"/>
    <w:multiLevelType w:val="multilevel"/>
    <w:tmpl w:val="614CF5DC"/>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12" w15:restartNumberingAfterBreak="0">
    <w:nsid w:val="78A92B79"/>
    <w:multiLevelType w:val="multilevel"/>
    <w:tmpl w:val="F5FC6E72"/>
    <w:lvl w:ilvl="0">
      <w:start w:val="7"/>
      <w:numFmt w:val="decimal"/>
      <w:lvlText w:val="%1"/>
      <w:lvlJc w:val="left"/>
      <w:pPr>
        <w:ind w:left="465" w:hanging="465"/>
      </w:pPr>
      <w:rPr>
        <w:rFonts w:hint="default"/>
      </w:rPr>
    </w:lvl>
    <w:lvl w:ilvl="1">
      <w:start w:val="1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num w:numId="1">
    <w:abstractNumId w:val="0"/>
  </w:num>
  <w:num w:numId="2">
    <w:abstractNumId w:val="4"/>
  </w:num>
  <w:num w:numId="3">
    <w:abstractNumId w:val="9"/>
  </w:num>
  <w:num w:numId="4">
    <w:abstractNumId w:val="2"/>
  </w:num>
  <w:num w:numId="5">
    <w:abstractNumId w:val="8"/>
  </w:num>
  <w:num w:numId="6">
    <w:abstractNumId w:val="3"/>
  </w:num>
  <w:num w:numId="7">
    <w:abstractNumId w:val="6"/>
  </w:num>
  <w:num w:numId="8">
    <w:abstractNumId w:val="10"/>
  </w:num>
  <w:num w:numId="9">
    <w:abstractNumId w:val="12"/>
  </w:num>
  <w:num w:numId="10">
    <w:abstractNumId w:val="7"/>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E4"/>
    <w:rsid w:val="000956D4"/>
    <w:rsid w:val="00132460"/>
    <w:rsid w:val="002A34A5"/>
    <w:rsid w:val="002A6BE4"/>
    <w:rsid w:val="002B0617"/>
    <w:rsid w:val="002F6B05"/>
    <w:rsid w:val="00306AF3"/>
    <w:rsid w:val="003352CA"/>
    <w:rsid w:val="00376667"/>
    <w:rsid w:val="00395C76"/>
    <w:rsid w:val="003C45BD"/>
    <w:rsid w:val="00412E42"/>
    <w:rsid w:val="0047023A"/>
    <w:rsid w:val="00522132"/>
    <w:rsid w:val="005326E9"/>
    <w:rsid w:val="00620597"/>
    <w:rsid w:val="00622689"/>
    <w:rsid w:val="00622DC5"/>
    <w:rsid w:val="0064066F"/>
    <w:rsid w:val="00644DAA"/>
    <w:rsid w:val="006675A8"/>
    <w:rsid w:val="00692D71"/>
    <w:rsid w:val="006A470E"/>
    <w:rsid w:val="006E4575"/>
    <w:rsid w:val="00780EAA"/>
    <w:rsid w:val="007B5F87"/>
    <w:rsid w:val="007E69C4"/>
    <w:rsid w:val="008A4948"/>
    <w:rsid w:val="008C7DE3"/>
    <w:rsid w:val="00924B15"/>
    <w:rsid w:val="009753C0"/>
    <w:rsid w:val="009C484E"/>
    <w:rsid w:val="009E1D05"/>
    <w:rsid w:val="00AF76D0"/>
    <w:rsid w:val="00B8255B"/>
    <w:rsid w:val="00B85F9B"/>
    <w:rsid w:val="00BD754C"/>
    <w:rsid w:val="00BE4B43"/>
    <w:rsid w:val="00C70CE3"/>
    <w:rsid w:val="00C76280"/>
    <w:rsid w:val="00C805FB"/>
    <w:rsid w:val="00CB42CE"/>
    <w:rsid w:val="00CC5389"/>
    <w:rsid w:val="00CE48AA"/>
    <w:rsid w:val="00D71D41"/>
    <w:rsid w:val="00E549E5"/>
    <w:rsid w:val="00E5642A"/>
    <w:rsid w:val="00E63E4D"/>
    <w:rsid w:val="00E869F1"/>
    <w:rsid w:val="00F516B6"/>
    <w:rsid w:val="00F77043"/>
    <w:rsid w:val="00FD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5A4E65-D809-4F10-A711-88CE5ACC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4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A34A5"/>
    <w:rPr>
      <w:sz w:val="16"/>
      <w:szCs w:val="16"/>
    </w:rPr>
  </w:style>
  <w:style w:type="paragraph" w:styleId="CommentText">
    <w:name w:val="annotation text"/>
    <w:basedOn w:val="Normal"/>
    <w:link w:val="CommentTextChar"/>
    <w:uiPriority w:val="99"/>
    <w:semiHidden/>
    <w:unhideWhenUsed/>
    <w:rsid w:val="002A34A5"/>
    <w:pPr>
      <w:spacing w:line="240" w:lineRule="auto"/>
    </w:pPr>
    <w:rPr>
      <w:sz w:val="20"/>
      <w:szCs w:val="20"/>
    </w:rPr>
  </w:style>
  <w:style w:type="character" w:customStyle="1" w:styleId="CommentTextChar">
    <w:name w:val="Comment Text Char"/>
    <w:basedOn w:val="DefaultParagraphFont"/>
    <w:link w:val="CommentText"/>
    <w:uiPriority w:val="99"/>
    <w:semiHidden/>
    <w:rsid w:val="002A34A5"/>
    <w:rPr>
      <w:sz w:val="20"/>
      <w:szCs w:val="20"/>
    </w:rPr>
  </w:style>
  <w:style w:type="paragraph" w:styleId="CommentSubject">
    <w:name w:val="annotation subject"/>
    <w:basedOn w:val="CommentText"/>
    <w:next w:val="CommentText"/>
    <w:link w:val="CommentSubjectChar"/>
    <w:uiPriority w:val="99"/>
    <w:semiHidden/>
    <w:unhideWhenUsed/>
    <w:rsid w:val="002A34A5"/>
    <w:rPr>
      <w:b/>
      <w:bCs/>
    </w:rPr>
  </w:style>
  <w:style w:type="character" w:customStyle="1" w:styleId="CommentSubjectChar">
    <w:name w:val="Comment Subject Char"/>
    <w:basedOn w:val="CommentTextChar"/>
    <w:link w:val="CommentSubject"/>
    <w:uiPriority w:val="99"/>
    <w:semiHidden/>
    <w:rsid w:val="002A34A5"/>
    <w:rPr>
      <w:b/>
      <w:bCs/>
      <w:sz w:val="20"/>
      <w:szCs w:val="20"/>
    </w:rPr>
  </w:style>
  <w:style w:type="paragraph" w:styleId="BalloonText">
    <w:name w:val="Balloon Text"/>
    <w:basedOn w:val="Normal"/>
    <w:link w:val="BalloonTextChar"/>
    <w:uiPriority w:val="99"/>
    <w:semiHidden/>
    <w:unhideWhenUsed/>
    <w:rsid w:val="002A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A5"/>
    <w:rPr>
      <w:rFonts w:ascii="Tahoma" w:hAnsi="Tahoma" w:cs="Tahoma"/>
      <w:sz w:val="16"/>
      <w:szCs w:val="16"/>
    </w:rPr>
  </w:style>
  <w:style w:type="paragraph" w:styleId="Footer">
    <w:name w:val="footer"/>
    <w:basedOn w:val="Normal"/>
    <w:link w:val="FooterChar"/>
    <w:uiPriority w:val="99"/>
    <w:unhideWhenUsed/>
    <w:rsid w:val="002A34A5"/>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2A34A5"/>
    <w:rPr>
      <w:sz w:val="21"/>
      <w:lang w:val="en-US" w:eastAsia="ja-JP"/>
    </w:rPr>
  </w:style>
  <w:style w:type="character" w:styleId="PlaceholderText">
    <w:name w:val="Placeholder Text"/>
    <w:basedOn w:val="DefaultParagraphFont"/>
    <w:uiPriority w:val="99"/>
    <w:semiHidden/>
    <w:rsid w:val="002B0617"/>
    <w:rPr>
      <w:color w:val="808080"/>
    </w:rPr>
  </w:style>
  <w:style w:type="paragraph" w:styleId="ListParagraph">
    <w:name w:val="List Paragraph"/>
    <w:basedOn w:val="Normal"/>
    <w:uiPriority w:val="34"/>
    <w:qFormat/>
    <w:rsid w:val="002F6B05"/>
    <w:pPr>
      <w:ind w:left="720"/>
      <w:contextualSpacing/>
    </w:pPr>
  </w:style>
  <w:style w:type="paragraph" w:styleId="Header">
    <w:name w:val="header"/>
    <w:basedOn w:val="Normal"/>
    <w:link w:val="HeaderChar"/>
    <w:uiPriority w:val="99"/>
    <w:unhideWhenUsed/>
    <w:rsid w:val="008C7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8E15C31ED49B5990275276C3AC6FE"/>
        <w:category>
          <w:name w:val="General"/>
          <w:gallery w:val="placeholder"/>
        </w:category>
        <w:types>
          <w:type w:val="bbPlcHdr"/>
        </w:types>
        <w:behaviors>
          <w:behavior w:val="content"/>
        </w:behaviors>
        <w:guid w:val="{D9757800-6009-417D-8DCC-B0D9665FA18E}"/>
      </w:docPartPr>
      <w:docPartBody>
        <w:p w:rsidR="007469F0" w:rsidRDefault="007469F0" w:rsidP="007469F0">
          <w:pPr>
            <w:pStyle w:val="06B8E15C31ED49B5990275276C3AC6FE1"/>
          </w:pPr>
          <w:r w:rsidRPr="002F6B05">
            <w:rPr>
              <w:rStyle w:val="PlaceholderText"/>
              <w:rFonts w:ascii="Arial" w:hAnsi="Arial" w:cs="Arial"/>
              <w:b/>
              <w:sz w:val="24"/>
              <w:szCs w:val="24"/>
            </w:rPr>
            <w:t>Date to be entered DD Month Year</w:t>
          </w:r>
        </w:p>
      </w:docPartBody>
    </w:docPart>
    <w:docPart>
      <w:docPartPr>
        <w:name w:val="3FFEB05AD16F4E42AD1A26B67C5D7F0D"/>
        <w:category>
          <w:name w:val="General"/>
          <w:gallery w:val="placeholder"/>
        </w:category>
        <w:types>
          <w:type w:val="bbPlcHdr"/>
        </w:types>
        <w:behaviors>
          <w:behavior w:val="content"/>
        </w:behaviors>
        <w:guid w:val="{9D9BB671-5116-4FF3-89ED-5AAAAD7D3806}"/>
      </w:docPartPr>
      <w:docPartBody>
        <w:p w:rsidR="007F1660" w:rsidRDefault="007469F0" w:rsidP="007469F0">
          <w:pPr>
            <w:pStyle w:val="3FFEB05AD16F4E42AD1A26B67C5D7F0D"/>
          </w:pPr>
          <w:r w:rsidRPr="002F6B05">
            <w:rPr>
              <w:rStyle w:val="PlaceholderText"/>
              <w:rFonts w:ascii="Arial" w:hAnsi="Arial" w:cs="Arial"/>
              <w:sz w:val="24"/>
              <w:szCs w:val="24"/>
            </w:rPr>
            <w:t>Review agenda to establish agenda item</w:t>
          </w:r>
        </w:p>
      </w:docPartBody>
    </w:docPart>
    <w:docPart>
      <w:docPartPr>
        <w:name w:val="A610C189880646139B88426BFA5E9805"/>
        <w:category>
          <w:name w:val="General"/>
          <w:gallery w:val="placeholder"/>
        </w:category>
        <w:types>
          <w:type w:val="bbPlcHdr"/>
        </w:types>
        <w:behaviors>
          <w:behavior w:val="content"/>
        </w:behaviors>
        <w:guid w:val="{720253AF-9C47-4DB6-AA24-951F05CC8538}"/>
      </w:docPartPr>
      <w:docPartBody>
        <w:p w:rsidR="007F1660" w:rsidRDefault="007469F0" w:rsidP="007469F0">
          <w:pPr>
            <w:pStyle w:val="A610C189880646139B88426BFA5E9805"/>
          </w:pPr>
          <w:r w:rsidRPr="002F6B05">
            <w:rPr>
              <w:rStyle w:val="PlaceholderText"/>
              <w:rFonts w:ascii="Arial" w:hAnsi="Arial" w:cs="Arial"/>
              <w:sz w:val="24"/>
              <w:szCs w:val="24"/>
            </w:rPr>
            <w:t>Application number that info relates to</w:t>
          </w:r>
        </w:p>
      </w:docPartBody>
    </w:docPart>
    <w:docPart>
      <w:docPartPr>
        <w:name w:val="1390F13AE8EC4CF5915A1C9672E2E2E8"/>
        <w:category>
          <w:name w:val="General"/>
          <w:gallery w:val="placeholder"/>
        </w:category>
        <w:types>
          <w:type w:val="bbPlcHdr"/>
        </w:types>
        <w:behaviors>
          <w:behavior w:val="content"/>
        </w:behaviors>
        <w:guid w:val="{7CD9C3D9-FC50-4B41-8FAC-2A5485CE8992}"/>
      </w:docPartPr>
      <w:docPartBody>
        <w:p w:rsidR="007F1660" w:rsidRDefault="007469F0" w:rsidP="007469F0">
          <w:pPr>
            <w:pStyle w:val="1390F13AE8EC4CF5915A1C9672E2E2E8"/>
          </w:pPr>
          <w:r w:rsidRPr="002F6B05">
            <w:rPr>
              <w:rStyle w:val="PlaceholderText"/>
              <w:rFonts w:ascii="Arial" w:hAnsi="Arial" w:cs="Arial"/>
              <w:sz w:val="24"/>
              <w:szCs w:val="24"/>
            </w:rPr>
            <w:t>Address should be same as on committee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D2"/>
    <w:rsid w:val="007469F0"/>
    <w:rsid w:val="007F1660"/>
    <w:rsid w:val="0087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2ADD452884D9882913333AB3F50A4">
    <w:name w:val="1732ADD452884D9882913333AB3F50A4"/>
    <w:rsid w:val="008712D2"/>
  </w:style>
  <w:style w:type="character" w:styleId="PlaceholderText">
    <w:name w:val="Placeholder Text"/>
    <w:basedOn w:val="DefaultParagraphFont"/>
    <w:uiPriority w:val="99"/>
    <w:semiHidden/>
    <w:rsid w:val="007469F0"/>
    <w:rPr>
      <w:color w:val="808080"/>
    </w:rPr>
  </w:style>
  <w:style w:type="paragraph" w:customStyle="1" w:styleId="4989CE1D4CD548E7B27D907C8976F5A5">
    <w:name w:val="4989CE1D4CD548E7B27D907C8976F5A5"/>
    <w:rsid w:val="008712D2"/>
    <w:rPr>
      <w:rFonts w:eastAsiaTheme="minorHAnsi"/>
      <w:lang w:eastAsia="en-US"/>
    </w:rPr>
  </w:style>
  <w:style w:type="paragraph" w:customStyle="1" w:styleId="4989CE1D4CD548E7B27D907C8976F5A51">
    <w:name w:val="4989CE1D4CD548E7B27D907C8976F5A51"/>
    <w:rsid w:val="008712D2"/>
    <w:rPr>
      <w:rFonts w:eastAsiaTheme="minorHAnsi"/>
      <w:lang w:eastAsia="en-US"/>
    </w:rPr>
  </w:style>
  <w:style w:type="paragraph" w:customStyle="1" w:styleId="7B5F1812E52D49B3B4094335096C55C9">
    <w:name w:val="7B5F1812E52D49B3B4094335096C55C9"/>
    <w:rsid w:val="008712D2"/>
    <w:rPr>
      <w:rFonts w:eastAsiaTheme="minorHAnsi"/>
      <w:lang w:eastAsia="en-US"/>
    </w:rPr>
  </w:style>
  <w:style w:type="paragraph" w:customStyle="1" w:styleId="06B8E15C31ED49B5990275276C3AC6FE">
    <w:name w:val="06B8E15C31ED49B5990275276C3AC6FE"/>
    <w:rsid w:val="008712D2"/>
    <w:rPr>
      <w:rFonts w:eastAsiaTheme="minorHAnsi"/>
      <w:lang w:eastAsia="en-US"/>
    </w:rPr>
  </w:style>
  <w:style w:type="paragraph" w:customStyle="1" w:styleId="4989CE1D4CD548E7B27D907C8976F5A52">
    <w:name w:val="4989CE1D4CD548E7B27D907C8976F5A52"/>
    <w:rsid w:val="008712D2"/>
    <w:rPr>
      <w:rFonts w:eastAsiaTheme="minorHAnsi"/>
      <w:lang w:eastAsia="en-US"/>
    </w:rPr>
  </w:style>
  <w:style w:type="paragraph" w:customStyle="1" w:styleId="7B5F1812E52D49B3B4094335096C55C91">
    <w:name w:val="7B5F1812E52D49B3B4094335096C55C91"/>
    <w:rsid w:val="008712D2"/>
    <w:rPr>
      <w:rFonts w:eastAsiaTheme="minorHAnsi"/>
      <w:lang w:eastAsia="en-US"/>
    </w:rPr>
  </w:style>
  <w:style w:type="paragraph" w:customStyle="1" w:styleId="E10B743E21B344F397A5026CD2AD25B1">
    <w:name w:val="E10B743E21B344F397A5026CD2AD25B1"/>
    <w:rsid w:val="008712D2"/>
    <w:rPr>
      <w:rFonts w:eastAsiaTheme="minorHAnsi"/>
      <w:lang w:eastAsia="en-US"/>
    </w:rPr>
  </w:style>
  <w:style w:type="paragraph" w:customStyle="1" w:styleId="D525401AB6C2476C9D517EC4153ED837">
    <w:name w:val="D525401AB6C2476C9D517EC4153ED837"/>
    <w:rsid w:val="008712D2"/>
  </w:style>
  <w:style w:type="paragraph" w:customStyle="1" w:styleId="F771AC2EE8D7469EA4D53712287118CA">
    <w:name w:val="F771AC2EE8D7469EA4D53712287118CA"/>
    <w:rsid w:val="008712D2"/>
  </w:style>
  <w:style w:type="paragraph" w:customStyle="1" w:styleId="06B8E15C31ED49B5990275276C3AC6FE1">
    <w:name w:val="06B8E15C31ED49B5990275276C3AC6FE1"/>
    <w:rsid w:val="007469F0"/>
    <w:rPr>
      <w:rFonts w:eastAsiaTheme="minorHAnsi"/>
      <w:lang w:eastAsia="en-US"/>
    </w:rPr>
  </w:style>
  <w:style w:type="paragraph" w:customStyle="1" w:styleId="3FFEB05AD16F4E42AD1A26B67C5D7F0D">
    <w:name w:val="3FFEB05AD16F4E42AD1A26B67C5D7F0D"/>
    <w:rsid w:val="007469F0"/>
    <w:rPr>
      <w:rFonts w:eastAsiaTheme="minorHAnsi"/>
      <w:lang w:eastAsia="en-US"/>
    </w:rPr>
  </w:style>
  <w:style w:type="paragraph" w:customStyle="1" w:styleId="A610C189880646139B88426BFA5E9805">
    <w:name w:val="A610C189880646139B88426BFA5E9805"/>
    <w:rsid w:val="007469F0"/>
    <w:rPr>
      <w:rFonts w:eastAsiaTheme="minorHAnsi"/>
      <w:lang w:eastAsia="en-US"/>
    </w:rPr>
  </w:style>
  <w:style w:type="paragraph" w:customStyle="1" w:styleId="1390F13AE8EC4CF5915A1C9672E2E2E8">
    <w:name w:val="1390F13AE8EC4CF5915A1C9672E2E2E8"/>
    <w:rsid w:val="007469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49B4-1194-44E8-8AA0-EF6CF85A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1142</Words>
  <Characters>6450</Characters>
  <Application>Microsoft Office Word</Application>
  <DocSecurity>0</DocSecurity>
  <Lines>230</Lines>
  <Paragraphs>116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Cheryl</dc:creator>
  <cp:lastModifiedBy>Quigley, Elaine</cp:lastModifiedBy>
  <cp:revision>15</cp:revision>
  <cp:lastPrinted>2018-02-12T14:58:00Z</cp:lastPrinted>
  <dcterms:created xsi:type="dcterms:W3CDTF">2017-12-12T18:53:00Z</dcterms:created>
  <dcterms:modified xsi:type="dcterms:W3CDTF">2018-02-12T15:09:00Z</dcterms:modified>
</cp:coreProperties>
</file>