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1A" w:rsidRDefault="009D3C1A" w:rsidP="009D3C1A"/>
    <w:p w:rsidR="009D3C1A" w:rsidRDefault="001B4800" w:rsidP="009D3C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Application </w:t>
      </w:r>
      <w:r w:rsidR="009D3C1A" w:rsidRPr="009D3C1A">
        <w:rPr>
          <w:b/>
          <w:sz w:val="24"/>
          <w:szCs w:val="24"/>
          <w:u w:val="single"/>
        </w:rPr>
        <w:t>Ref: </w:t>
      </w:r>
      <w:hyperlink r:id="rId6" w:tgtFrame="_blank" w:history="1">
        <w:r w:rsidR="009D3C1A" w:rsidRPr="009D3C1A">
          <w:rPr>
            <w:rStyle w:val="Hyperlink"/>
            <w:b/>
            <w:color w:val="auto"/>
            <w:sz w:val="24"/>
            <w:szCs w:val="24"/>
          </w:rPr>
          <w:t>2017/6884/P</w:t>
        </w:r>
      </w:hyperlink>
      <w:r w:rsidR="009D3C1A" w:rsidRPr="009D3C1A">
        <w:rPr>
          <w:b/>
          <w:sz w:val="24"/>
          <w:szCs w:val="24"/>
          <w:u w:val="single"/>
        </w:rPr>
        <w:t xml:space="preserve"> </w:t>
      </w:r>
      <w:hyperlink r:id="rId7" w:history="1">
        <w:r w:rsidR="009D3C1A" w:rsidRPr="009D3C1A">
          <w:rPr>
            <w:rStyle w:val="Hyperlink"/>
            <w:b/>
            <w:color w:val="auto"/>
            <w:sz w:val="24"/>
            <w:szCs w:val="24"/>
          </w:rPr>
          <w:t>100 Avenue Road</w:t>
        </w:r>
      </w:hyperlink>
      <w:r>
        <w:rPr>
          <w:b/>
          <w:sz w:val="24"/>
          <w:szCs w:val="24"/>
          <w:u w:val="single"/>
        </w:rPr>
        <w:t xml:space="preserve"> - CLEUD</w:t>
      </w:r>
      <w:r w:rsidR="009D3C1A">
        <w:rPr>
          <w:b/>
          <w:sz w:val="24"/>
          <w:szCs w:val="24"/>
          <w:u w:val="single"/>
        </w:rPr>
        <w:t xml:space="preserve"> </w:t>
      </w:r>
    </w:p>
    <w:p w:rsidR="009D3C1A" w:rsidRDefault="009D3C1A">
      <w:pPr>
        <w:rPr>
          <w:lang w:val="en-GB"/>
        </w:rPr>
      </w:pPr>
      <w:r>
        <w:rPr>
          <w:lang w:val="en-GB"/>
        </w:rPr>
        <w:t>January 27 2018</w:t>
      </w:r>
    </w:p>
    <w:p w:rsidR="009D3C1A" w:rsidRDefault="009D3C1A">
      <w:pPr>
        <w:rPr>
          <w:lang w:val="en-GB"/>
        </w:rPr>
      </w:pPr>
    </w:p>
    <w:p w:rsidR="00A63176" w:rsidRDefault="002A0F28">
      <w:pPr>
        <w:rPr>
          <w:lang w:val="en-GB"/>
        </w:rPr>
      </w:pPr>
      <w:r>
        <w:rPr>
          <w:lang w:val="en-GB"/>
        </w:rPr>
        <w:t>Dear Jonathan</w:t>
      </w:r>
    </w:p>
    <w:p w:rsidR="0073438B" w:rsidRDefault="0073438B" w:rsidP="0073438B">
      <w:pPr>
        <w:spacing w:before="100" w:beforeAutospacing="1" w:after="100" w:afterAutospacing="1"/>
      </w:pPr>
      <w:r>
        <w:rPr>
          <w:lang w:val="en-GB"/>
        </w:rPr>
        <w:t xml:space="preserve">I am writing to object to </w:t>
      </w:r>
      <w:r>
        <w:t xml:space="preserve">Essential </w:t>
      </w:r>
      <w:proofErr w:type="spellStart"/>
      <w:r>
        <w:t>Livings’s</w:t>
      </w:r>
      <w:proofErr w:type="spellEnd"/>
      <w:r>
        <w:t xml:space="preserve"> [EL] </w:t>
      </w:r>
      <w:r w:rsidRPr="00A53920">
        <w:t>removal of</w:t>
      </w:r>
      <w:r>
        <w:t xml:space="preserve"> </w:t>
      </w:r>
      <w:r w:rsidRPr="00A53920">
        <w:t>the front st</w:t>
      </w:r>
      <w:r>
        <w:t>eps and ramp at 100 Avenue Road</w:t>
      </w:r>
      <w:r w:rsidRPr="00A53920">
        <w:t xml:space="preserve"> as constituting the lawful implementation of their planning permission and</w:t>
      </w:r>
      <w:r>
        <w:t xml:space="preserve"> to the subsequent application for a Certificate of Lawful Existing Use or Development [CLEUD].</w:t>
      </w:r>
    </w:p>
    <w:p w:rsidR="00853D20" w:rsidRDefault="00853D20" w:rsidP="00853D20">
      <w:pPr>
        <w:spacing w:after="0" w:line="240" w:lineRule="auto"/>
        <w:rPr>
          <w:i/>
        </w:rPr>
      </w:pPr>
      <w:r w:rsidRPr="00C13CA7">
        <w:rPr>
          <w:b/>
          <w:u w:val="single"/>
        </w:rPr>
        <w:t>CLEUD:</w:t>
      </w:r>
      <w:r w:rsidRPr="00306B6A">
        <w:rPr>
          <w:i/>
        </w:rPr>
        <w:t xml:space="preserve"> </w:t>
      </w:r>
    </w:p>
    <w:p w:rsidR="00853D20" w:rsidRDefault="00853D20" w:rsidP="00853D20">
      <w:pPr>
        <w:spacing w:after="0" w:line="240" w:lineRule="auto"/>
        <w:rPr>
          <w:i/>
        </w:rPr>
      </w:pPr>
    </w:p>
    <w:p w:rsidR="00853D20" w:rsidRDefault="00853D20" w:rsidP="00853D20">
      <w:pPr>
        <w:spacing w:after="0" w:line="240" w:lineRule="auto"/>
      </w:pPr>
      <w:r w:rsidRPr="00306B6A">
        <w:rPr>
          <w:i/>
        </w:rPr>
        <w:t xml:space="preserve">“ a legal document (not a planning permission) issued by the Local Planning Authority that is generally used to </w:t>
      </w:r>
      <w:proofErr w:type="spellStart"/>
      <w:r w:rsidRPr="00306B6A">
        <w:rPr>
          <w:b/>
          <w:i/>
          <w:u w:val="single"/>
        </w:rPr>
        <w:t>regularise</w:t>
      </w:r>
      <w:proofErr w:type="spellEnd"/>
      <w:r w:rsidRPr="00306B6A">
        <w:rPr>
          <w:b/>
          <w:i/>
          <w:u w:val="single"/>
        </w:rPr>
        <w:t xml:space="preserve"> </w:t>
      </w:r>
      <w:proofErr w:type="spellStart"/>
      <w:r w:rsidRPr="00306B6A">
        <w:rPr>
          <w:b/>
          <w:i/>
          <w:u w:val="single"/>
        </w:rPr>
        <w:t>unauthorised</w:t>
      </w:r>
      <w:proofErr w:type="spellEnd"/>
      <w:r w:rsidRPr="00306B6A">
        <w:rPr>
          <w:b/>
          <w:i/>
          <w:u w:val="single"/>
        </w:rPr>
        <w:t xml:space="preserve"> development</w:t>
      </w:r>
      <w:r w:rsidRPr="00306B6A">
        <w:rPr>
          <w:i/>
        </w:rPr>
        <w:t xml:space="preserve"> and </w:t>
      </w:r>
      <w:r w:rsidRPr="00306B6A">
        <w:rPr>
          <w:b/>
          <w:i/>
          <w:u w:val="single"/>
        </w:rPr>
        <w:t>prevent enforcement action</w:t>
      </w:r>
      <w:r w:rsidRPr="00306B6A">
        <w:rPr>
          <w:i/>
        </w:rPr>
        <w:t xml:space="preserve"> being taken by that Authority against any </w:t>
      </w:r>
      <w:r w:rsidRPr="00306B6A">
        <w:rPr>
          <w:b/>
          <w:i/>
          <w:u w:val="single"/>
        </w:rPr>
        <w:t>breach of planning policy or conditions”</w:t>
      </w:r>
      <w:r>
        <w:rPr>
          <w:b/>
        </w:rPr>
        <w:t xml:space="preserve">                                                                    </w:t>
      </w:r>
      <w:r>
        <w:t xml:space="preserve">[Samuel &amp; Son Chartered Surveyors] </w:t>
      </w:r>
    </w:p>
    <w:p w:rsidR="00853D20" w:rsidRDefault="00853D20" w:rsidP="00853D20">
      <w:pPr>
        <w:spacing w:after="0" w:line="240" w:lineRule="auto"/>
      </w:pPr>
    </w:p>
    <w:p w:rsidR="00853D20" w:rsidRPr="00BE179C" w:rsidRDefault="00853D20" w:rsidP="00853D20">
      <w:pPr>
        <w:pStyle w:val="gmail-msonormal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179C">
        <w:rPr>
          <w:rFonts w:asciiTheme="minorHAnsi" w:hAnsiTheme="minorHAnsi" w:cstheme="minorHAnsi"/>
          <w:i/>
          <w:sz w:val="22"/>
          <w:szCs w:val="22"/>
        </w:rPr>
        <w:t xml:space="preserve"> “… </w:t>
      </w:r>
      <w:proofErr w:type="gramStart"/>
      <w:r w:rsidRPr="00BE179C">
        <w:rPr>
          <w:rFonts w:asciiTheme="minorHAnsi" w:hAnsiTheme="minorHAnsi" w:cstheme="minorHAnsi"/>
          <w:i/>
          <w:sz w:val="22"/>
          <w:szCs w:val="22"/>
        </w:rPr>
        <w:t>a</w:t>
      </w:r>
      <w:proofErr w:type="gramEnd"/>
      <w:r w:rsidRPr="00BE179C">
        <w:rPr>
          <w:rFonts w:asciiTheme="minorHAnsi" w:hAnsiTheme="minorHAnsi" w:cstheme="minorHAnsi"/>
          <w:i/>
          <w:sz w:val="22"/>
          <w:szCs w:val="22"/>
        </w:rPr>
        <w:t xml:space="preserve"> building… could be </w:t>
      </w:r>
      <w:r w:rsidRPr="00624BCA">
        <w:rPr>
          <w:rFonts w:asciiTheme="minorHAnsi" w:hAnsiTheme="minorHAnsi" w:cstheme="minorHAnsi"/>
          <w:b/>
          <w:i/>
          <w:sz w:val="22"/>
          <w:szCs w:val="22"/>
          <w:u w:val="single"/>
        </w:rPr>
        <w:t>in contravention of conditions</w:t>
      </w:r>
      <w:r w:rsidRPr="00BE179C">
        <w:rPr>
          <w:rFonts w:asciiTheme="minorHAnsi" w:hAnsiTheme="minorHAnsi" w:cstheme="minorHAnsi"/>
          <w:i/>
          <w:sz w:val="22"/>
          <w:szCs w:val="22"/>
          <w:u w:val="single"/>
        </w:rPr>
        <w:t xml:space="preserve"> that have been </w:t>
      </w:r>
      <w:r w:rsidRPr="00624BCA">
        <w:rPr>
          <w:rFonts w:asciiTheme="minorHAnsi" w:hAnsiTheme="minorHAnsi" w:cstheme="minorHAnsi"/>
          <w:b/>
          <w:i/>
          <w:sz w:val="22"/>
          <w:szCs w:val="22"/>
          <w:u w:val="single"/>
        </w:rPr>
        <w:t>attached to a consent</w:t>
      </w:r>
      <w:r>
        <w:rPr>
          <w:rFonts w:asciiTheme="minorHAnsi" w:hAnsiTheme="minorHAnsi" w:cstheme="minorHAnsi"/>
          <w:i/>
          <w:sz w:val="22"/>
          <w:szCs w:val="22"/>
        </w:rPr>
        <w:t>…</w:t>
      </w:r>
      <w:r w:rsidRPr="00BE179C">
        <w:rPr>
          <w:rFonts w:asciiTheme="minorHAnsi" w:hAnsiTheme="minorHAnsi" w:cstheme="minorHAnsi"/>
          <w:i/>
          <w:sz w:val="22"/>
          <w:szCs w:val="22"/>
        </w:rPr>
        <w:t xml:space="preserve">apply for a CLEUD; if granted, this </w:t>
      </w:r>
      <w:proofErr w:type="spellStart"/>
      <w:r w:rsidRPr="00BE179C">
        <w:rPr>
          <w:rFonts w:asciiTheme="minorHAnsi" w:hAnsiTheme="minorHAnsi" w:cstheme="minorHAnsi"/>
          <w:i/>
          <w:sz w:val="22"/>
          <w:szCs w:val="22"/>
          <w:u w:val="single"/>
        </w:rPr>
        <w:t>regularises</w:t>
      </w:r>
      <w:proofErr w:type="spellEnd"/>
      <w:r w:rsidRPr="00BE179C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BE179C">
        <w:rPr>
          <w:rFonts w:asciiTheme="minorHAnsi" w:hAnsiTheme="minorHAnsi" w:cstheme="minorHAnsi"/>
          <w:i/>
          <w:sz w:val="22"/>
          <w:szCs w:val="22"/>
        </w:rPr>
        <w:t>the use.”</w:t>
      </w:r>
      <w:r w:rsidRPr="00BE179C">
        <w:rPr>
          <w:rFonts w:asciiTheme="minorHAnsi" w:hAnsiTheme="minorHAnsi" w:cstheme="minorHAnsi"/>
          <w:sz w:val="22"/>
          <w:szCs w:val="22"/>
        </w:rPr>
        <w:t xml:space="preserve">  [The Telegraph: 27.07.2009] </w:t>
      </w:r>
    </w:p>
    <w:p w:rsidR="00F22451" w:rsidRDefault="0073438B" w:rsidP="00F22451">
      <w:pPr>
        <w:spacing w:before="100" w:beforeAutospacing="1" w:after="100" w:afterAutospacing="1"/>
      </w:pPr>
      <w:r>
        <w:t xml:space="preserve">EL’s application for a CLEUD strongly indicates that they understand that </w:t>
      </w:r>
      <w:r>
        <w:rPr>
          <w:rFonts w:eastAsia="Times New Roman" w:cstheme="minorHAnsi"/>
        </w:rPr>
        <w:t xml:space="preserve">time is fast running out </w:t>
      </w:r>
      <w:r w:rsidR="00DE1C9C">
        <w:rPr>
          <w:rFonts w:eastAsia="Times New Roman" w:cstheme="minorHAnsi"/>
        </w:rPr>
        <w:t>for</w:t>
      </w:r>
      <w:r>
        <w:rPr>
          <w:rFonts w:eastAsia="Times New Roman" w:cstheme="minorHAnsi"/>
        </w:rPr>
        <w:t xml:space="preserve"> approval of their </w:t>
      </w:r>
      <w:r w:rsidR="00DE1C9C">
        <w:t xml:space="preserve">current Construction Management Plan [CMP] </w:t>
      </w:r>
      <w:r>
        <w:t>before their planning permission for 100 Avenue Road runs out twelve months from now</w:t>
      </w:r>
      <w:r w:rsidR="00F22451">
        <w:t>.</w:t>
      </w:r>
      <w:r w:rsidR="00852A6B">
        <w:t xml:space="preserve"> </w:t>
      </w:r>
    </w:p>
    <w:p w:rsidR="0073438B" w:rsidRDefault="0073438B" w:rsidP="0073438B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DE1C9C">
        <w:rPr>
          <w:rFonts w:asciiTheme="minorHAnsi" w:hAnsiTheme="minorHAnsi" w:cstheme="minorHAnsi"/>
          <w:sz w:val="22"/>
          <w:szCs w:val="22"/>
        </w:rPr>
        <w:t xml:space="preserve">That EL </w:t>
      </w:r>
      <w:proofErr w:type="gramStart"/>
      <w:r w:rsidRPr="00DE1C9C">
        <w:rPr>
          <w:rFonts w:asciiTheme="minorHAnsi" w:hAnsiTheme="minorHAnsi" w:cstheme="minorHAnsi"/>
          <w:sz w:val="22"/>
          <w:szCs w:val="22"/>
        </w:rPr>
        <w:t>have</w:t>
      </w:r>
      <w:proofErr w:type="gramEnd"/>
      <w:r w:rsidRPr="00DE1C9C">
        <w:rPr>
          <w:rFonts w:asciiTheme="minorHAnsi" w:hAnsiTheme="minorHAnsi" w:cstheme="minorHAnsi"/>
          <w:sz w:val="22"/>
          <w:szCs w:val="22"/>
        </w:rPr>
        <w:t xml:space="preserve"> run out of time is </w:t>
      </w:r>
      <w:r w:rsidR="00DE1C9C">
        <w:rPr>
          <w:rFonts w:asciiTheme="minorHAnsi" w:hAnsiTheme="minorHAnsi" w:cstheme="minorHAnsi"/>
          <w:sz w:val="22"/>
          <w:szCs w:val="22"/>
        </w:rPr>
        <w:t xml:space="preserve">entirely </w:t>
      </w:r>
      <w:r w:rsidRPr="00DE1C9C">
        <w:rPr>
          <w:rFonts w:asciiTheme="minorHAnsi" w:hAnsiTheme="minorHAnsi" w:cstheme="minorHAnsi"/>
          <w:sz w:val="22"/>
          <w:szCs w:val="22"/>
        </w:rPr>
        <w:t xml:space="preserve">their own fault. </w:t>
      </w:r>
      <w:r w:rsidRPr="001E1A5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Had they spent the last </w:t>
      </w:r>
      <w:r w:rsidR="00F22451">
        <w:rPr>
          <w:rFonts w:asciiTheme="minorHAnsi" w:eastAsia="Times New Roman" w:hAnsiTheme="minorHAnsi" w:cstheme="minorHAnsi"/>
          <w:sz w:val="22"/>
          <w:szCs w:val="22"/>
        </w:rPr>
        <w:t xml:space="preserve">two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years trying to satisfy the conditions laid down by the Secretary of State in Condition 31 and more recently the conditions in their CMP – they might not have had to stoop </w:t>
      </w:r>
      <w:r w:rsidR="00DE1C9C">
        <w:rPr>
          <w:rFonts w:asciiTheme="minorHAnsi" w:eastAsia="Times New Roman" w:hAnsiTheme="minorHAnsi" w:cstheme="minorHAnsi"/>
          <w:sz w:val="22"/>
          <w:szCs w:val="22"/>
        </w:rPr>
        <w:t xml:space="preserve">to </w:t>
      </w:r>
      <w:r w:rsidR="001B4800">
        <w:rPr>
          <w:rFonts w:asciiTheme="minorHAnsi" w:eastAsia="Times New Roman" w:hAnsiTheme="minorHAnsi" w:cstheme="minorHAnsi"/>
          <w:sz w:val="22"/>
          <w:szCs w:val="22"/>
        </w:rPr>
        <w:t>this</w:t>
      </w:r>
      <w:r w:rsidR="00DE1C9C">
        <w:rPr>
          <w:rFonts w:asciiTheme="minorHAnsi" w:eastAsia="Times New Roman" w:hAnsiTheme="minorHAnsi" w:cstheme="minorHAnsi"/>
          <w:sz w:val="22"/>
          <w:szCs w:val="22"/>
        </w:rPr>
        <w:t xml:space="preserve"> underhanded</w:t>
      </w:r>
      <w:r w:rsidR="00F2245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gramStart"/>
      <w:r w:rsidR="00F22451">
        <w:rPr>
          <w:rFonts w:asciiTheme="minorHAnsi" w:eastAsia="Times New Roman" w:hAnsiTheme="minorHAnsi" w:cstheme="minorHAnsi"/>
          <w:sz w:val="22"/>
          <w:szCs w:val="22"/>
        </w:rPr>
        <w:t>CLEUD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  <w:proofErr w:type="gramEnd"/>
    </w:p>
    <w:p w:rsidR="0073438B" w:rsidRDefault="0073438B" w:rsidP="0073438B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:rsidR="00886F46" w:rsidRDefault="0073438B" w:rsidP="0073438B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Instead, </w:t>
      </w:r>
      <w:r w:rsidR="00DE1C9C">
        <w:rPr>
          <w:rFonts w:asciiTheme="minorHAnsi" w:eastAsia="Times New Roman" w:hAnsiTheme="minorHAnsi" w:cstheme="minorHAnsi"/>
          <w:sz w:val="22"/>
          <w:szCs w:val="22"/>
        </w:rPr>
        <w:t xml:space="preserve">they tried time and again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to avoid meeting these conditions </w:t>
      </w:r>
      <w:r w:rsidR="00DE1C9C">
        <w:rPr>
          <w:rFonts w:asciiTheme="minorHAnsi" w:eastAsia="Times New Roman" w:hAnsiTheme="minorHAnsi" w:cstheme="minorHAnsi"/>
          <w:sz w:val="22"/>
          <w:szCs w:val="22"/>
        </w:rPr>
        <w:t>by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lodg</w:t>
      </w:r>
      <w:r w:rsidR="00DE1C9C">
        <w:rPr>
          <w:rFonts w:asciiTheme="minorHAnsi" w:eastAsia="Times New Roman" w:hAnsiTheme="minorHAnsi" w:cstheme="minorHAnsi"/>
          <w:sz w:val="22"/>
          <w:szCs w:val="22"/>
        </w:rPr>
        <w:t>ing time-wasting applications and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amendments</w:t>
      </w:r>
      <w:r w:rsidR="00DE1C9C">
        <w:rPr>
          <w:rFonts w:asciiTheme="minorHAnsi" w:eastAsia="Times New Roman" w:hAnsiTheme="minorHAnsi" w:cstheme="minorHAnsi"/>
          <w:sz w:val="22"/>
          <w:szCs w:val="22"/>
        </w:rPr>
        <w:t xml:space="preserve"> all of which were either refused or withdrawn: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86F46" w:rsidRDefault="00886F46" w:rsidP="0073438B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:rsidR="00886F46" w:rsidRDefault="0073438B" w:rsidP="00886F46">
      <w:pPr>
        <w:pStyle w:val="Default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E1C9C">
        <w:rPr>
          <w:rFonts w:asciiTheme="minorHAnsi" w:eastAsia="Times New Roman" w:hAnsiTheme="minorHAnsi" w:cstheme="minorHAnsi"/>
          <w:b/>
          <w:sz w:val="22"/>
          <w:szCs w:val="22"/>
        </w:rPr>
        <w:t xml:space="preserve">Application </w:t>
      </w:r>
      <w:r w:rsidRPr="00943EFE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2016/2128/P </w:t>
      </w:r>
      <w:r w:rsidRPr="00DE1C9C">
        <w:rPr>
          <w:rFonts w:asciiTheme="minorHAnsi" w:eastAsia="Times New Roman" w:hAnsiTheme="minorHAnsi" w:cstheme="minorHAnsi"/>
          <w:sz w:val="22"/>
          <w:szCs w:val="22"/>
          <w:u w:val="single"/>
          <w:lang w:eastAsia="en-GB"/>
        </w:rPr>
        <w:t>to amend condition 31</w:t>
      </w:r>
      <w:r w:rsidRPr="00943EFE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 </w:t>
      </w:r>
      <w:r w:rsidR="00DE1C9C">
        <w:rPr>
          <w:rFonts w:asciiTheme="minorHAnsi" w:eastAsia="Times New Roman" w:hAnsiTheme="minorHAnsi" w:cstheme="minorHAnsi"/>
          <w:sz w:val="22"/>
          <w:szCs w:val="22"/>
          <w:lang w:eastAsia="en-GB"/>
        </w:rPr>
        <w:t>T</w:t>
      </w:r>
      <w:r w:rsidRPr="00943EFE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o allow discharge of the conditions prior to the commencement of </w:t>
      </w:r>
      <w:r w:rsidRPr="00943EFE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below ground </w:t>
      </w:r>
      <w:r w:rsidRPr="00943EFE">
        <w:rPr>
          <w:rFonts w:asciiTheme="minorHAnsi" w:eastAsia="Times New Roman" w:hAnsiTheme="minorHAnsi" w:cstheme="minorHAnsi"/>
          <w:sz w:val="22"/>
          <w:szCs w:val="22"/>
          <w:lang w:eastAsia="en-GB"/>
        </w:rPr>
        <w:t>works</w:t>
      </w:r>
    </w:p>
    <w:p w:rsidR="00886F46" w:rsidRPr="00886F46" w:rsidRDefault="0073438B" w:rsidP="00886F46">
      <w:pPr>
        <w:pStyle w:val="Default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E1C9C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Application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</w:t>
      </w:r>
      <w:r w:rsidRPr="00943EFE">
        <w:rPr>
          <w:rFonts w:asciiTheme="minorHAnsi" w:hAnsiTheme="minorHAnsi" w:cstheme="minorHAnsi"/>
          <w:b/>
          <w:sz w:val="22"/>
          <w:szCs w:val="22"/>
        </w:rPr>
        <w:t>2016/2048/P</w:t>
      </w:r>
      <w:r w:rsidRPr="00943EFE">
        <w:rPr>
          <w:rFonts w:asciiTheme="minorHAnsi" w:hAnsiTheme="minorHAnsi" w:cstheme="minorHAnsi"/>
          <w:sz w:val="22"/>
          <w:szCs w:val="22"/>
        </w:rPr>
        <w:t xml:space="preserve"> </w:t>
      </w:r>
      <w:r w:rsidR="00DE1C9C">
        <w:rPr>
          <w:rFonts w:asciiTheme="minorHAnsi" w:hAnsiTheme="minorHAnsi" w:cstheme="minorHAnsi"/>
          <w:sz w:val="22"/>
          <w:szCs w:val="22"/>
          <w:u w:val="single"/>
        </w:rPr>
        <w:t>T</w:t>
      </w:r>
      <w:r w:rsidRPr="00DE1C9C">
        <w:rPr>
          <w:rFonts w:asciiTheme="minorHAnsi" w:hAnsiTheme="minorHAnsi" w:cstheme="minorHAnsi"/>
          <w:sz w:val="22"/>
          <w:szCs w:val="22"/>
          <w:u w:val="single"/>
        </w:rPr>
        <w:t>o amend conditions 27 and 31</w:t>
      </w:r>
    </w:p>
    <w:p w:rsidR="00886F46" w:rsidRDefault="0073438B" w:rsidP="00886F46">
      <w:pPr>
        <w:pStyle w:val="Default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E1C9C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Application </w:t>
      </w:r>
      <w:r w:rsidRPr="00943EFE">
        <w:rPr>
          <w:rFonts w:asciiTheme="minorHAnsi" w:eastAsia="Times New Roman" w:hAnsiTheme="minorHAnsi" w:cstheme="minorHAnsi"/>
          <w:b/>
          <w:sz w:val="22"/>
          <w:szCs w:val="22"/>
        </w:rPr>
        <w:t xml:space="preserve">2016/2803/P] </w:t>
      </w:r>
      <w:r w:rsidRPr="00943EFE">
        <w:rPr>
          <w:rFonts w:asciiTheme="minorHAnsi" w:eastAsia="Times New Roman" w:hAnsiTheme="minorHAnsi" w:cstheme="minorHAnsi"/>
          <w:sz w:val="22"/>
          <w:szCs w:val="22"/>
        </w:rPr>
        <w:t>Variation of condition 31 to change the point at which full details are submitted</w:t>
      </w:r>
      <w:r w:rsidR="00DE1C9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73438B" w:rsidRDefault="00DE1C9C" w:rsidP="00886F46">
      <w:pPr>
        <w:pStyle w:val="Default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>
        <w:rPr>
          <w:rFonts w:asciiTheme="minorHAnsi" w:eastAsia="Times New Roman" w:hAnsiTheme="minorHAnsi" w:cstheme="minorHAnsi"/>
          <w:sz w:val="22"/>
          <w:szCs w:val="22"/>
        </w:rPr>
        <w:t>until</w:t>
      </w:r>
      <w:proofErr w:type="gramEnd"/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DE1C9C">
        <w:rPr>
          <w:rFonts w:asciiTheme="minorHAnsi" w:eastAsia="Times New Roman" w:hAnsiTheme="minorHAnsi" w:cstheme="minorHAnsi"/>
          <w:b/>
          <w:sz w:val="22"/>
          <w:szCs w:val="22"/>
        </w:rPr>
        <w:t>Application</w:t>
      </w:r>
      <w:r w:rsidR="0073438B" w:rsidRPr="00DE1C9C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73438B" w:rsidRPr="00DE1C9C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2</w:t>
      </w:r>
      <w:r w:rsidR="0073438B" w:rsidRPr="00943EFE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016/6699/P</w:t>
      </w:r>
      <w:r w:rsidR="0073438B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 </w:t>
      </w:r>
      <w:r w:rsidR="0073438B">
        <w:rPr>
          <w:rFonts w:asciiTheme="minorHAnsi" w:eastAsia="Times New Roman" w:hAnsiTheme="minorHAnsi" w:cstheme="minorHAnsi"/>
          <w:sz w:val="22"/>
          <w:szCs w:val="22"/>
          <w:lang w:eastAsia="en-GB"/>
        </w:rPr>
        <w:t>D</w:t>
      </w:r>
      <w:r w:rsidR="001B4800">
        <w:rPr>
          <w:rFonts w:asciiTheme="minorHAnsi" w:eastAsia="Times New Roman" w:hAnsiTheme="minorHAnsi" w:cstheme="minorHAnsi"/>
          <w:sz w:val="22"/>
          <w:szCs w:val="22"/>
          <w:lang w:eastAsia="en-GB"/>
        </w:rPr>
        <w:t>ischarging D</w:t>
      </w:r>
      <w:r w:rsidR="0073438B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etails pursuant to Condition 31 for demolition of existing building </w:t>
      </w:r>
      <w:r w:rsidR="009D3C1A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- </w:t>
      </w:r>
      <w:r w:rsidR="0073438B">
        <w:rPr>
          <w:rFonts w:asciiTheme="minorHAnsi" w:eastAsia="Times New Roman" w:hAnsiTheme="minorHAnsi" w:cstheme="minorHAnsi"/>
          <w:sz w:val="22"/>
          <w:szCs w:val="22"/>
          <w:lang w:eastAsia="en-GB"/>
        </w:rPr>
        <w:t>which was granted in February 2017.</w:t>
      </w:r>
      <w:r w:rsidR="0073438B" w:rsidRPr="00943EFE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 xml:space="preserve"> </w:t>
      </w:r>
    </w:p>
    <w:p w:rsidR="0073438B" w:rsidRDefault="0073438B" w:rsidP="0073438B">
      <w:pPr>
        <w:spacing w:after="0" w:line="240" w:lineRule="auto"/>
        <w:textAlignment w:val="baseline"/>
        <w:rPr>
          <w:rFonts w:cstheme="minorHAnsi"/>
        </w:rPr>
      </w:pPr>
    </w:p>
    <w:p w:rsidR="00886F46" w:rsidRDefault="0073438B" w:rsidP="00852A6B">
      <w:pPr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And </w:t>
      </w:r>
      <w:r w:rsidR="00DE1C9C">
        <w:rPr>
          <w:rFonts w:cstheme="minorHAnsi"/>
        </w:rPr>
        <w:t xml:space="preserve">here we are </w:t>
      </w:r>
      <w:r w:rsidR="00F22451">
        <w:rPr>
          <w:rFonts w:cstheme="minorHAnsi"/>
        </w:rPr>
        <w:t xml:space="preserve">dealing </w:t>
      </w:r>
      <w:r w:rsidR="00DE1C9C">
        <w:rPr>
          <w:rFonts w:cstheme="minorHAnsi"/>
        </w:rPr>
        <w:t xml:space="preserve">with their latest attempt to avoid </w:t>
      </w:r>
      <w:r w:rsidR="00852A6B">
        <w:rPr>
          <w:rFonts w:cstheme="minorHAnsi"/>
        </w:rPr>
        <w:t>compliance with pre-</w:t>
      </w:r>
      <w:r w:rsidR="001B4800">
        <w:rPr>
          <w:rFonts w:cstheme="minorHAnsi"/>
        </w:rPr>
        <w:t xml:space="preserve">commencement </w:t>
      </w:r>
      <w:r w:rsidR="00852A6B">
        <w:rPr>
          <w:rFonts w:cstheme="minorHAnsi"/>
        </w:rPr>
        <w:t>conditions:</w:t>
      </w:r>
    </w:p>
    <w:p w:rsidR="00886F46" w:rsidRDefault="00886F46" w:rsidP="00852A6B">
      <w:pPr>
        <w:spacing w:after="0" w:line="240" w:lineRule="auto"/>
        <w:textAlignment w:val="baseline"/>
        <w:rPr>
          <w:rFonts w:cstheme="minorHAnsi"/>
        </w:rPr>
      </w:pPr>
    </w:p>
    <w:p w:rsidR="00852A6B" w:rsidRPr="00886F46" w:rsidRDefault="00852A6B" w:rsidP="00886F46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</w:rPr>
      </w:pPr>
      <w:r w:rsidRPr="00886F46">
        <w:rPr>
          <w:rFonts w:eastAsia="Times New Roman" w:cstheme="minorHAnsi"/>
          <w:b/>
          <w:iCs/>
        </w:rPr>
        <w:t xml:space="preserve">Application 2017/6884/P </w:t>
      </w:r>
      <w:r w:rsidRPr="00886F46">
        <w:rPr>
          <w:rFonts w:cstheme="minorHAnsi"/>
        </w:rPr>
        <w:t>– a final ‘Custer’s Last Stand’ - to register pre-emptive demolition</w:t>
      </w:r>
      <w:r w:rsidR="009D3C1A">
        <w:rPr>
          <w:rFonts w:cstheme="minorHAnsi"/>
        </w:rPr>
        <w:t>.</w:t>
      </w:r>
      <w:r w:rsidR="00F22451" w:rsidRPr="00886F46">
        <w:rPr>
          <w:rFonts w:cstheme="minorHAnsi"/>
        </w:rPr>
        <w:t xml:space="preserve"> </w:t>
      </w:r>
      <w:r w:rsidRPr="00886F46">
        <w:rPr>
          <w:rFonts w:cstheme="minorHAnsi"/>
        </w:rPr>
        <w:t xml:space="preserve"> </w:t>
      </w:r>
    </w:p>
    <w:p w:rsidR="00F253EB" w:rsidRDefault="00F253EB" w:rsidP="00852A6B">
      <w:pPr>
        <w:spacing w:after="0" w:line="240" w:lineRule="auto"/>
        <w:textAlignment w:val="baseline"/>
        <w:rPr>
          <w:rFonts w:cstheme="minorHAnsi"/>
        </w:rPr>
      </w:pPr>
    </w:p>
    <w:p w:rsidR="00F253EB" w:rsidRDefault="00F253EB" w:rsidP="00F253EB">
      <w:pPr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If Camden awards – no, </w:t>
      </w:r>
      <w:r>
        <w:rPr>
          <w:rFonts w:cstheme="minorHAnsi"/>
          <w:b/>
        </w:rPr>
        <w:t xml:space="preserve">rewards – </w:t>
      </w:r>
      <w:r>
        <w:rPr>
          <w:rFonts w:cstheme="minorHAnsi"/>
        </w:rPr>
        <w:t xml:space="preserve">EL by granting them this stay of execution on their planning permission, they are condemning Swiss Cottage and the local community to </w:t>
      </w:r>
      <w:r>
        <w:t xml:space="preserve">the </w:t>
      </w:r>
      <w:r w:rsidR="00995052">
        <w:t xml:space="preserve">possibility of a </w:t>
      </w:r>
      <w:r>
        <w:t xml:space="preserve">24 storey tower until such time as EL decides it can realize its profit margins or sell it on more lucratively at a later date with planning permission intact. </w:t>
      </w:r>
    </w:p>
    <w:p w:rsidR="00F253EB" w:rsidRDefault="00F253EB" w:rsidP="00852A6B">
      <w:pPr>
        <w:spacing w:after="0" w:line="240" w:lineRule="auto"/>
        <w:textAlignment w:val="baseline"/>
        <w:rPr>
          <w:rFonts w:cstheme="minorHAnsi"/>
        </w:rPr>
      </w:pPr>
    </w:p>
    <w:p w:rsidR="007823A7" w:rsidRDefault="002466AB" w:rsidP="007823A7">
      <w:pPr>
        <w:spacing w:before="100" w:beforeAutospacing="1" w:after="100" w:afterAutospacing="1"/>
      </w:pPr>
      <w:r>
        <w:rPr>
          <w:rFonts w:cstheme="minorHAnsi"/>
        </w:rPr>
        <w:t>I understand that as I write</w:t>
      </w:r>
      <w:r w:rsidR="007823A7">
        <w:rPr>
          <w:rFonts w:cstheme="minorHAnsi"/>
        </w:rPr>
        <w:t xml:space="preserve"> Camden’s legal team is still trying to establish whether EL are right to claim that </w:t>
      </w:r>
      <w:r w:rsidR="007823A7">
        <w:t>the decision should only be based on “legal interpretation”</w:t>
      </w:r>
      <w:r>
        <w:t xml:space="preserve"> and whether ‘legal interpretation’ alone must lead to Camden’s decision that EL have right on their side</w:t>
      </w:r>
      <w:r w:rsidR="007823A7">
        <w:t xml:space="preserve">: </w:t>
      </w:r>
    </w:p>
    <w:p w:rsidR="007823A7" w:rsidRDefault="007823A7" w:rsidP="00995052">
      <w:pPr>
        <w:spacing w:before="100" w:beforeAutospacing="1" w:after="100" w:afterAutospacing="1"/>
        <w:rPr>
          <w:rFonts w:cstheme="minorHAnsi"/>
          <w:iCs/>
        </w:rPr>
      </w:pPr>
      <w:r w:rsidRPr="006D57DD">
        <w:rPr>
          <w:rFonts w:cstheme="minorHAnsi"/>
          <w:b/>
        </w:rPr>
        <w:t>“</w:t>
      </w:r>
      <w:proofErr w:type="gramStart"/>
      <w:r w:rsidRPr="006D57DD">
        <w:rPr>
          <w:rFonts w:cstheme="minorHAnsi"/>
          <w:b/>
          <w:i/>
        </w:rPr>
        <w:t>decision</w:t>
      </w:r>
      <w:proofErr w:type="gramEnd"/>
      <w:r w:rsidRPr="006D57DD">
        <w:rPr>
          <w:rFonts w:cstheme="minorHAnsi"/>
          <w:b/>
          <w:i/>
        </w:rPr>
        <w:t xml:space="preserve"> on this matter</w:t>
      </w:r>
      <w:r w:rsidRPr="006D57DD">
        <w:rPr>
          <w:rFonts w:cstheme="minorHAnsi"/>
          <w:b/>
        </w:rPr>
        <w:t xml:space="preserve"> [whether a CLEUD certificate should be permitted or refused</w:t>
      </w:r>
      <w:r w:rsidRPr="006D57DD">
        <w:rPr>
          <w:rFonts w:cstheme="minorHAnsi"/>
          <w:b/>
          <w:i/>
        </w:rPr>
        <w:t xml:space="preserve">] is a “matter of </w:t>
      </w:r>
      <w:r w:rsidRPr="006D57DD">
        <w:rPr>
          <w:rFonts w:cstheme="minorHAnsi"/>
          <w:b/>
          <w:i/>
          <w:u w:val="single"/>
        </w:rPr>
        <w:t>legal</w:t>
      </w:r>
      <w:r w:rsidRPr="006D57DD">
        <w:rPr>
          <w:rFonts w:cstheme="minorHAnsi"/>
          <w:b/>
          <w:i/>
        </w:rPr>
        <w:t xml:space="preserve"> interpretation</w:t>
      </w:r>
      <w:r w:rsidR="00F253EB">
        <w:rPr>
          <w:b/>
        </w:rPr>
        <w:t>.</w:t>
      </w:r>
      <w:r w:rsidR="00886F46">
        <w:rPr>
          <w:b/>
        </w:rPr>
        <w:t>”</w:t>
      </w:r>
      <w:r w:rsidR="00F253EB">
        <w:rPr>
          <w:b/>
        </w:rPr>
        <w:t xml:space="preserve"> </w:t>
      </w:r>
      <w:r w:rsidR="00995052">
        <w:rPr>
          <w:b/>
        </w:rPr>
        <w:t xml:space="preserve"> </w:t>
      </w:r>
      <w:r w:rsidRPr="009F5385">
        <w:rPr>
          <w:rFonts w:cstheme="minorHAnsi"/>
          <w:iCs/>
        </w:rPr>
        <w:t xml:space="preserve"> [Lee Jameson</w:t>
      </w:r>
      <w:r w:rsidR="00995052">
        <w:rPr>
          <w:rFonts w:cstheme="minorHAnsi"/>
          <w:iCs/>
        </w:rPr>
        <w:t>: Polity:</w:t>
      </w:r>
      <w:r w:rsidRPr="009F5385">
        <w:rPr>
          <w:rFonts w:cstheme="minorHAnsi"/>
          <w:iCs/>
        </w:rPr>
        <w:t xml:space="preserve"> 23.12.2017]</w:t>
      </w:r>
    </w:p>
    <w:p w:rsidR="007B7A6F" w:rsidRDefault="002466AB" w:rsidP="007823A7">
      <w:pPr>
        <w:spacing w:after="0" w:line="240" w:lineRule="auto"/>
        <w:textAlignment w:val="baseline"/>
        <w:rPr>
          <w:rFonts w:cstheme="minorHAnsi"/>
          <w:color w:val="333333"/>
        </w:rPr>
      </w:pPr>
      <w:r>
        <w:rPr>
          <w:rFonts w:cstheme="minorHAnsi"/>
        </w:rPr>
        <w:t>Even</w:t>
      </w:r>
      <w:r w:rsidR="007823A7">
        <w:rPr>
          <w:rFonts w:cstheme="minorHAnsi"/>
        </w:rPr>
        <w:t xml:space="preserve"> </w:t>
      </w:r>
      <w:r>
        <w:rPr>
          <w:rFonts w:cstheme="minorHAnsi"/>
        </w:rPr>
        <w:t>if</w:t>
      </w:r>
      <w:r w:rsidR="007823A7">
        <w:rPr>
          <w:rFonts w:cstheme="minorHAnsi"/>
        </w:rPr>
        <w:t xml:space="preserve"> Camden’s officers and legal team </w:t>
      </w:r>
      <w:r>
        <w:rPr>
          <w:rFonts w:cstheme="minorHAnsi"/>
        </w:rPr>
        <w:t xml:space="preserve">conclude that EL are ‘legally’ in the right </w:t>
      </w:r>
      <w:r w:rsidR="007823A7">
        <w:rPr>
          <w:rFonts w:cstheme="minorHAnsi"/>
        </w:rPr>
        <w:t>-</w:t>
      </w:r>
      <w:r w:rsidR="00992BC5">
        <w:rPr>
          <w:rFonts w:cstheme="minorHAnsi"/>
          <w:iCs/>
        </w:rPr>
        <w:t xml:space="preserve"> i</w:t>
      </w:r>
      <w:r w:rsidR="007B7A6F">
        <w:rPr>
          <w:rFonts w:cstheme="minorHAnsi"/>
          <w:iCs/>
        </w:rPr>
        <w:t xml:space="preserve">t </w:t>
      </w:r>
      <w:r w:rsidR="00992BC5">
        <w:rPr>
          <w:rFonts w:cstheme="minorHAnsi"/>
          <w:iCs/>
        </w:rPr>
        <w:t xml:space="preserve">is </w:t>
      </w:r>
      <w:r w:rsidR="009623B8">
        <w:rPr>
          <w:rFonts w:cstheme="minorHAnsi"/>
          <w:iCs/>
        </w:rPr>
        <w:t xml:space="preserve">difficult if not </w:t>
      </w:r>
      <w:r w:rsidR="00992BC5">
        <w:rPr>
          <w:rFonts w:cstheme="minorHAnsi"/>
          <w:iCs/>
        </w:rPr>
        <w:t>impossible to understand</w:t>
      </w:r>
      <w:r w:rsidR="007B7A6F">
        <w:rPr>
          <w:rFonts w:cstheme="minorHAnsi"/>
          <w:iCs/>
        </w:rPr>
        <w:t xml:space="preserve"> why </w:t>
      </w:r>
      <w:r w:rsidR="00992BC5">
        <w:rPr>
          <w:rFonts w:cstheme="minorHAnsi"/>
          <w:iCs/>
        </w:rPr>
        <w:t>Camden officers at the same time</w:t>
      </w:r>
      <w:r w:rsidR="007B7A6F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could see </w:t>
      </w:r>
      <w:r w:rsidR="00992BC5">
        <w:rPr>
          <w:rFonts w:cstheme="minorHAnsi"/>
          <w:iCs/>
        </w:rPr>
        <w:t>fit to ignore</w:t>
      </w:r>
      <w:r w:rsidR="007B7A6F">
        <w:rPr>
          <w:rFonts w:cstheme="minorHAnsi"/>
          <w:iCs/>
        </w:rPr>
        <w:t xml:space="preserve"> </w:t>
      </w:r>
      <w:r w:rsidR="007B7A6F" w:rsidRPr="00D21750">
        <w:rPr>
          <w:rFonts w:cstheme="minorHAnsi"/>
          <w:b/>
          <w:iCs/>
        </w:rPr>
        <w:t>Camden’s own</w:t>
      </w:r>
      <w:r w:rsidR="00D21750">
        <w:rPr>
          <w:rFonts w:cstheme="minorHAnsi"/>
          <w:color w:val="333333"/>
        </w:rPr>
        <w:t xml:space="preserve"> </w:t>
      </w:r>
      <w:r w:rsidR="00D21750" w:rsidRPr="00D21750">
        <w:rPr>
          <w:rFonts w:cstheme="minorHAnsi"/>
          <w:b/>
          <w:color w:val="333333"/>
        </w:rPr>
        <w:t xml:space="preserve">legal </w:t>
      </w:r>
      <w:r w:rsidR="001B4800">
        <w:rPr>
          <w:rFonts w:cstheme="minorHAnsi"/>
          <w:b/>
          <w:color w:val="333333"/>
        </w:rPr>
        <w:t>obligations</w:t>
      </w:r>
      <w:r w:rsidR="00886F46">
        <w:rPr>
          <w:rFonts w:cstheme="minorHAnsi"/>
          <w:b/>
          <w:color w:val="333333"/>
        </w:rPr>
        <w:t xml:space="preserve"> </w:t>
      </w:r>
      <w:r w:rsidR="00886F46">
        <w:rPr>
          <w:rFonts w:cstheme="minorHAnsi"/>
          <w:color w:val="333333"/>
        </w:rPr>
        <w:t xml:space="preserve">as in </w:t>
      </w:r>
      <w:r w:rsidR="00D21750">
        <w:rPr>
          <w:rFonts w:cstheme="minorHAnsi"/>
          <w:color w:val="333333"/>
        </w:rPr>
        <w:t>its</w:t>
      </w:r>
      <w:r w:rsidR="007B7A6F" w:rsidRPr="00D21750">
        <w:rPr>
          <w:rFonts w:cstheme="minorHAnsi"/>
          <w:color w:val="333333"/>
        </w:rPr>
        <w:t xml:space="preserve"> </w:t>
      </w:r>
      <w:r w:rsidR="007B7A6F" w:rsidRPr="00853D20">
        <w:rPr>
          <w:rFonts w:cstheme="minorHAnsi"/>
          <w:color w:val="333333"/>
        </w:rPr>
        <w:t xml:space="preserve">Section 106 </w:t>
      </w:r>
      <w:r w:rsidR="007B7A6F" w:rsidRPr="00853D20">
        <w:rPr>
          <w:rFonts w:cstheme="minorHAnsi"/>
          <w:b/>
          <w:color w:val="333333"/>
        </w:rPr>
        <w:t xml:space="preserve">legal </w:t>
      </w:r>
      <w:r w:rsidR="007B7A6F" w:rsidRPr="00853D20">
        <w:rPr>
          <w:rFonts w:cstheme="minorHAnsi"/>
          <w:color w:val="333333"/>
        </w:rPr>
        <w:t>agreement with EL</w:t>
      </w:r>
      <w:r w:rsidR="00992BC5">
        <w:rPr>
          <w:rFonts w:cstheme="minorHAnsi"/>
          <w:color w:val="333333"/>
        </w:rPr>
        <w:t xml:space="preserve">: </w:t>
      </w:r>
    </w:p>
    <w:p w:rsidR="002466AB" w:rsidRPr="00853D20" w:rsidRDefault="002466AB" w:rsidP="007823A7">
      <w:pPr>
        <w:spacing w:after="0" w:line="240" w:lineRule="auto"/>
        <w:textAlignment w:val="baseline"/>
        <w:rPr>
          <w:rFonts w:cstheme="minorHAnsi"/>
          <w:color w:val="333333"/>
        </w:rPr>
      </w:pPr>
    </w:p>
    <w:p w:rsidR="007B7A6F" w:rsidRPr="00E41FD5" w:rsidRDefault="007B7A6F" w:rsidP="007B7A6F">
      <w:pPr>
        <w:spacing w:after="0" w:line="240" w:lineRule="auto"/>
        <w:rPr>
          <w:rFonts w:eastAsia="Times New Roman" w:cstheme="minorHAnsi"/>
          <w:color w:val="333333"/>
        </w:rPr>
      </w:pPr>
      <w:r w:rsidRPr="00D744DA">
        <w:rPr>
          <w:rFonts w:eastAsia="Times New Roman" w:cstheme="minorHAnsi"/>
          <w:i/>
          <w:color w:val="333333"/>
        </w:rPr>
        <w:t>“</w:t>
      </w:r>
      <w:r w:rsidRPr="00D744DA">
        <w:rPr>
          <w:rFonts w:eastAsia="Times New Roman" w:cstheme="minorHAnsi"/>
          <w:b/>
          <w:bCs/>
          <w:i/>
          <w:color w:val="333333"/>
        </w:rPr>
        <w:t xml:space="preserve">Not to implement or permit Implementation of the Development until such time as the </w:t>
      </w:r>
      <w:r w:rsidRPr="00D744DA">
        <w:rPr>
          <w:rFonts w:eastAsia="Times New Roman" w:cstheme="minorHAnsi"/>
          <w:b/>
          <w:bCs/>
          <w:i/>
          <w:color w:val="333333"/>
          <w:u w:val="single"/>
        </w:rPr>
        <w:t>Council has approved the Construction Management Plan</w:t>
      </w:r>
      <w:r w:rsidRPr="00D744DA">
        <w:rPr>
          <w:rFonts w:eastAsia="Times New Roman" w:cstheme="minorHAnsi"/>
          <w:b/>
          <w:bCs/>
          <w:i/>
          <w:color w:val="333333"/>
        </w:rPr>
        <w:t xml:space="preserve"> as demonstrated by written notice to that effect.</w:t>
      </w:r>
      <w:r w:rsidRPr="00D744DA">
        <w:rPr>
          <w:rFonts w:eastAsia="Times New Roman" w:cstheme="minorHAnsi"/>
          <w:i/>
          <w:color w:val="333333"/>
        </w:rPr>
        <w:t>”</w:t>
      </w:r>
      <w:r w:rsidRPr="00D744DA">
        <w:rPr>
          <w:rFonts w:eastAsia="Times New Roman" w:cstheme="minorHAnsi"/>
          <w:color w:val="333333"/>
        </w:rPr>
        <w:t> [3.5.2]</w:t>
      </w:r>
    </w:p>
    <w:p w:rsidR="007B7A6F" w:rsidRDefault="007B7A6F" w:rsidP="007B7A6F">
      <w:pPr>
        <w:spacing w:after="0" w:line="240" w:lineRule="auto"/>
        <w:rPr>
          <w:rFonts w:eastAsia="Times New Roman" w:cstheme="minorHAnsi"/>
          <w:i/>
        </w:rPr>
      </w:pPr>
    </w:p>
    <w:p w:rsidR="002466AB" w:rsidRDefault="002466AB" w:rsidP="002466AB">
      <w:pPr>
        <w:spacing w:after="0"/>
        <w:rPr>
          <w:rFonts w:cstheme="minorHAnsi"/>
          <w:iCs/>
        </w:rPr>
      </w:pPr>
      <w:r w:rsidRPr="002466AB">
        <w:rPr>
          <w:rFonts w:cstheme="minorHAnsi"/>
          <w:color w:val="333333"/>
        </w:rPr>
        <w:t xml:space="preserve">- </w:t>
      </w:r>
      <w:proofErr w:type="gramStart"/>
      <w:r w:rsidRPr="002466AB">
        <w:rPr>
          <w:rFonts w:cstheme="minorHAnsi"/>
          <w:color w:val="333333"/>
        </w:rPr>
        <w:t>which</w:t>
      </w:r>
      <w:proofErr w:type="gramEnd"/>
      <w:r w:rsidRPr="002466AB">
        <w:rPr>
          <w:rFonts w:cstheme="minorHAnsi"/>
          <w:color w:val="333333"/>
        </w:rPr>
        <w:t xml:space="preserve"> EL has already br</w:t>
      </w:r>
      <w:r w:rsidR="001B4800">
        <w:rPr>
          <w:rFonts w:cstheme="minorHAnsi"/>
          <w:color w:val="333333"/>
        </w:rPr>
        <w:t>eached</w:t>
      </w:r>
      <w:r w:rsidRPr="002466AB">
        <w:rPr>
          <w:rFonts w:cstheme="minorHAnsi"/>
          <w:color w:val="333333"/>
        </w:rPr>
        <w:t xml:space="preserve"> by its cynical </w:t>
      </w:r>
      <w:r>
        <w:rPr>
          <w:rFonts w:cstheme="minorHAnsi"/>
          <w:color w:val="333333"/>
        </w:rPr>
        <w:t>calculation to remove</w:t>
      </w:r>
      <w:r w:rsidR="00995052">
        <w:rPr>
          <w:rFonts w:cstheme="minorHAnsi"/>
          <w:color w:val="333333"/>
        </w:rPr>
        <w:t xml:space="preserve"> the stairs</w:t>
      </w:r>
      <w:r w:rsidRPr="002466AB">
        <w:rPr>
          <w:rFonts w:cstheme="minorHAnsi"/>
          <w:color w:val="333333"/>
        </w:rPr>
        <w:t xml:space="preserve"> and ramp</w:t>
      </w:r>
      <w:r w:rsidR="002E74C3">
        <w:rPr>
          <w:rFonts w:cstheme="minorHAnsi"/>
          <w:color w:val="333333"/>
        </w:rPr>
        <w:t>. H</w:t>
      </w:r>
      <w:r>
        <w:rPr>
          <w:rFonts w:cstheme="minorHAnsi"/>
          <w:color w:val="333333"/>
        </w:rPr>
        <w:t>e</w:t>
      </w:r>
      <w:r>
        <w:rPr>
          <w:rFonts w:cstheme="minorHAnsi"/>
          <w:iCs/>
        </w:rPr>
        <w:t xml:space="preserve">re is EL’s barrister advising EL on their best way to bypass the conditions prohibiting pre-demolition: </w:t>
      </w:r>
    </w:p>
    <w:p w:rsidR="002466AB" w:rsidRDefault="002466AB" w:rsidP="002466AB">
      <w:pPr>
        <w:spacing w:after="0"/>
        <w:rPr>
          <w:rFonts w:cstheme="minorHAnsi"/>
        </w:rPr>
      </w:pPr>
    </w:p>
    <w:p w:rsidR="002466AB" w:rsidRPr="0040352E" w:rsidRDefault="002466AB" w:rsidP="002466AB">
      <w:pPr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  </w:t>
      </w:r>
      <w:proofErr w:type="gramStart"/>
      <w:r>
        <w:rPr>
          <w:rFonts w:eastAsia="Times New Roman" w:cstheme="minorHAnsi"/>
          <w:i/>
        </w:rPr>
        <w:t>“</w:t>
      </w:r>
      <w:r w:rsidRPr="006D57DD">
        <w:rPr>
          <w:rFonts w:eastAsia="Times New Roman" w:cstheme="minorHAnsi"/>
          <w:i/>
        </w:rPr>
        <w:t xml:space="preserve"> </w:t>
      </w:r>
      <w:r w:rsidRPr="0040352E">
        <w:rPr>
          <w:rFonts w:eastAsia="Times New Roman" w:cstheme="minorHAnsi"/>
          <w:i/>
        </w:rPr>
        <w:t>As</w:t>
      </w:r>
      <w:proofErr w:type="gramEnd"/>
      <w:r w:rsidRPr="0040352E">
        <w:rPr>
          <w:rFonts w:eastAsia="Times New Roman" w:cstheme="minorHAnsi"/>
          <w:i/>
        </w:rPr>
        <w:t xml:space="preserve"> for the mode of commencement, </w:t>
      </w:r>
      <w:r w:rsidRPr="0040352E">
        <w:rPr>
          <w:rFonts w:eastAsia="Times New Roman" w:cstheme="minorHAnsi"/>
          <w:b/>
          <w:i/>
        </w:rPr>
        <w:t>what is required is a “material operation</w:t>
      </w:r>
      <w:r w:rsidRPr="0040352E">
        <w:rPr>
          <w:rFonts w:eastAsia="Times New Roman" w:cstheme="minorHAnsi"/>
          <w:i/>
        </w:rPr>
        <w:t xml:space="preserve">” (see s.56(4) of </w:t>
      </w:r>
    </w:p>
    <w:p w:rsidR="002466AB" w:rsidRDefault="002466AB" w:rsidP="002466AB">
      <w:pPr>
        <w:spacing w:after="0" w:line="240" w:lineRule="auto"/>
        <w:rPr>
          <w:rFonts w:eastAsia="Times New Roman" w:cstheme="minorHAnsi"/>
        </w:rPr>
      </w:pPr>
      <w:proofErr w:type="gramStart"/>
      <w:r w:rsidRPr="0040352E">
        <w:rPr>
          <w:rFonts w:eastAsia="Times New Roman" w:cstheme="minorHAnsi"/>
          <w:i/>
        </w:rPr>
        <w:t>the</w:t>
      </w:r>
      <w:proofErr w:type="gramEnd"/>
      <w:r w:rsidRPr="0040352E">
        <w:rPr>
          <w:rFonts w:eastAsia="Times New Roman" w:cstheme="minorHAnsi"/>
          <w:i/>
        </w:rPr>
        <w:t xml:space="preserve"> Town and Country Planning Act 1990).</w:t>
      </w:r>
      <w:r w:rsidRPr="0040352E">
        <w:rPr>
          <w:rFonts w:eastAsia="Times New Roman" w:cstheme="minorHAnsi"/>
        </w:rPr>
        <w:t xml:space="preserve"> </w:t>
      </w:r>
      <w:r w:rsidRPr="006D57DD">
        <w:rPr>
          <w:rFonts w:eastAsia="Times New Roman" w:cstheme="minorHAnsi"/>
        </w:rPr>
        <w:t>[4]</w:t>
      </w:r>
    </w:p>
    <w:p w:rsidR="002466AB" w:rsidRPr="0040352E" w:rsidRDefault="002466AB" w:rsidP="002466AB">
      <w:pPr>
        <w:spacing w:after="0" w:line="240" w:lineRule="auto"/>
        <w:rPr>
          <w:rFonts w:eastAsia="Times New Roman" w:cstheme="minorHAnsi"/>
        </w:rPr>
      </w:pPr>
    </w:p>
    <w:p w:rsidR="002466AB" w:rsidRDefault="002466AB" w:rsidP="002466AB">
      <w:pPr>
        <w:spacing w:line="240" w:lineRule="auto"/>
        <w:rPr>
          <w:rFonts w:eastAsia="Times New Roman" w:cstheme="minorHAnsi"/>
          <w:b/>
          <w:i/>
        </w:rPr>
      </w:pPr>
      <w:r w:rsidRPr="006D57DD">
        <w:rPr>
          <w:rFonts w:eastAsia="Times New Roman" w:cstheme="minorHAnsi"/>
          <w:i/>
        </w:rPr>
        <w:t xml:space="preserve">“… EL has identified the entrance steps and ramp at the front of the existing building </w:t>
      </w:r>
      <w:r w:rsidRPr="00D744DA">
        <w:rPr>
          <w:rFonts w:eastAsia="Times New Roman" w:cstheme="minorHAnsi"/>
          <w:i/>
        </w:rPr>
        <w:t xml:space="preserve">as a </w:t>
      </w:r>
      <w:r w:rsidRPr="00D744DA">
        <w:rPr>
          <w:rFonts w:eastAsia="Times New Roman" w:cstheme="minorHAnsi"/>
          <w:i/>
          <w:u w:val="single"/>
        </w:rPr>
        <w:t>material operation</w:t>
      </w:r>
      <w:r w:rsidRPr="006D57DD">
        <w:rPr>
          <w:rFonts w:eastAsia="Times New Roman" w:cstheme="minorHAnsi"/>
          <w:i/>
          <w:u w:val="single"/>
        </w:rPr>
        <w:t>.</w:t>
      </w:r>
      <w:r w:rsidRPr="00D744DA">
        <w:rPr>
          <w:rFonts w:eastAsia="Times New Roman" w:cstheme="minorHAnsi"/>
          <w:i/>
        </w:rPr>
        <w:t xml:space="preserve"> I agree. </w:t>
      </w:r>
      <w:r w:rsidRPr="00D744DA">
        <w:rPr>
          <w:rFonts w:eastAsia="Times New Roman" w:cstheme="minorHAnsi"/>
          <w:b/>
          <w:i/>
        </w:rPr>
        <w:t xml:space="preserve">There is no doubt that the removal of such a structure would (1) </w:t>
      </w:r>
      <w:proofErr w:type="gramStart"/>
      <w:r w:rsidRPr="00D744DA">
        <w:rPr>
          <w:rFonts w:eastAsia="Times New Roman" w:cstheme="minorHAnsi"/>
          <w:b/>
          <w:i/>
        </w:rPr>
        <w:t>be</w:t>
      </w:r>
      <w:proofErr w:type="gramEnd"/>
      <w:r w:rsidRPr="00D744DA">
        <w:rPr>
          <w:rFonts w:eastAsia="Times New Roman" w:cstheme="minorHAnsi"/>
          <w:b/>
          <w:i/>
        </w:rPr>
        <w:t xml:space="preserve"> judged of sufficient scale to count as a “material” operation</w:t>
      </w:r>
      <w:r>
        <w:rPr>
          <w:rFonts w:eastAsia="Times New Roman" w:cstheme="minorHAnsi"/>
          <w:b/>
          <w:i/>
        </w:rPr>
        <w:t xml:space="preserve"> …</w:t>
      </w:r>
      <w:r w:rsidRPr="00D744DA">
        <w:rPr>
          <w:rFonts w:eastAsia="Times New Roman" w:cstheme="minorHAnsi"/>
          <w:i/>
        </w:rPr>
        <w:t xml:space="preserve">. </w:t>
      </w:r>
      <w:r w:rsidRPr="00D744DA">
        <w:rPr>
          <w:rFonts w:eastAsia="Times New Roman" w:cstheme="minorHAnsi"/>
          <w:b/>
          <w:i/>
          <w:u w:val="single"/>
        </w:rPr>
        <w:t>If EL demolished the steps/ramp, it would commence the Permission</w:t>
      </w:r>
      <w:r w:rsidRPr="00D744DA">
        <w:rPr>
          <w:rFonts w:eastAsia="Times New Roman" w:cstheme="minorHAnsi"/>
          <w:b/>
          <w:i/>
        </w:rPr>
        <w:t>.</w:t>
      </w:r>
      <w:r>
        <w:rPr>
          <w:rFonts w:eastAsia="Times New Roman" w:cstheme="minorHAnsi"/>
          <w:b/>
          <w:i/>
        </w:rPr>
        <w:t xml:space="preserve"> </w:t>
      </w:r>
    </w:p>
    <w:p w:rsidR="009D3C1A" w:rsidRDefault="009D3C1A" w:rsidP="00D21750">
      <w:pPr>
        <w:spacing w:after="0" w:line="240" w:lineRule="auto"/>
        <w:textAlignment w:val="baseline"/>
        <w:rPr>
          <w:rFonts w:cstheme="minorHAnsi"/>
        </w:rPr>
      </w:pPr>
    </w:p>
    <w:p w:rsidR="00D21750" w:rsidRDefault="002C6DF8" w:rsidP="00D21750">
      <w:pPr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And </w:t>
      </w:r>
      <w:r w:rsidR="00192037">
        <w:rPr>
          <w:rFonts w:cstheme="minorHAnsi"/>
        </w:rPr>
        <w:t xml:space="preserve">even if Camden’s officers and legal team conclude that EL are ‘legally’ in the right - </w:t>
      </w:r>
      <w:r w:rsidR="00D21750">
        <w:rPr>
          <w:rFonts w:cstheme="minorHAnsi"/>
          <w:iCs/>
        </w:rPr>
        <w:t xml:space="preserve">it is difficult if not impossible to understand why Camden officers at the same time could see fit to ignore </w:t>
      </w:r>
      <w:r w:rsidR="00995052">
        <w:rPr>
          <w:rFonts w:cstheme="minorHAnsi"/>
          <w:iCs/>
        </w:rPr>
        <w:t xml:space="preserve">their own requirements of this </w:t>
      </w:r>
      <w:r w:rsidR="00192037">
        <w:rPr>
          <w:rFonts w:cstheme="minorHAnsi"/>
        </w:rPr>
        <w:t>CMP</w:t>
      </w:r>
      <w:r w:rsidR="002E74C3">
        <w:rPr>
          <w:rFonts w:cstheme="minorHAnsi"/>
        </w:rPr>
        <w:t>.</w:t>
      </w:r>
      <w:r w:rsidR="00192037">
        <w:rPr>
          <w:rFonts w:cstheme="minorHAnsi"/>
        </w:rPr>
        <w:t xml:space="preserve"> </w:t>
      </w:r>
    </w:p>
    <w:p w:rsidR="00D21750" w:rsidRDefault="00D21750" w:rsidP="00D21750">
      <w:pPr>
        <w:spacing w:after="0" w:line="240" w:lineRule="auto"/>
        <w:textAlignment w:val="baseline"/>
        <w:rPr>
          <w:rFonts w:cstheme="minorHAnsi"/>
        </w:rPr>
      </w:pPr>
    </w:p>
    <w:p w:rsidR="00995052" w:rsidRDefault="002C6DF8" w:rsidP="00995052">
      <w:pPr>
        <w:spacing w:after="0" w:line="240" w:lineRule="auto"/>
        <w:textAlignment w:val="baseline"/>
        <w:rPr>
          <w:i/>
        </w:rPr>
      </w:pPr>
      <w:r w:rsidRPr="00192037">
        <w:rPr>
          <w:rFonts w:cstheme="minorHAnsi"/>
          <w:b/>
        </w:rPr>
        <w:t>Camden</w:t>
      </w:r>
      <w:r w:rsidR="00192037" w:rsidRPr="00192037">
        <w:rPr>
          <w:rFonts w:cstheme="minorHAnsi"/>
          <w:b/>
        </w:rPr>
        <w:t xml:space="preserve"> has </w:t>
      </w:r>
      <w:r w:rsidR="007B7A6F" w:rsidRPr="00192037">
        <w:rPr>
          <w:b/>
          <w:u w:val="single"/>
        </w:rPr>
        <w:t>not yet</w:t>
      </w:r>
      <w:r w:rsidR="007B7A6F" w:rsidRPr="00192037">
        <w:rPr>
          <w:b/>
        </w:rPr>
        <w:t xml:space="preserve"> approved the</w:t>
      </w:r>
      <w:r w:rsidR="00CE18C9">
        <w:rPr>
          <w:b/>
        </w:rPr>
        <w:t xml:space="preserve"> ‘submitted’ </w:t>
      </w:r>
      <w:r w:rsidR="007B7A6F" w:rsidRPr="00192037">
        <w:rPr>
          <w:b/>
        </w:rPr>
        <w:t>CMP</w:t>
      </w:r>
      <w:r w:rsidR="00192037">
        <w:rPr>
          <w:b/>
        </w:rPr>
        <w:t>.</w:t>
      </w:r>
      <w:r w:rsidR="00192037">
        <w:t xml:space="preserve"> </w:t>
      </w:r>
      <w:r w:rsidR="00995052">
        <w:t xml:space="preserve"> And they might yet not do so given the following outstanding CMP issues that have yet to be resolved</w:t>
      </w:r>
      <w:r w:rsidR="00995052">
        <w:rPr>
          <w:i/>
        </w:rPr>
        <w:t>:</w:t>
      </w:r>
    </w:p>
    <w:p w:rsidR="00995052" w:rsidRPr="00885EC0" w:rsidRDefault="00995052" w:rsidP="00995052">
      <w:pPr>
        <w:spacing w:after="0" w:line="240" w:lineRule="auto"/>
        <w:textAlignment w:val="baseline"/>
        <w:rPr>
          <w:rFonts w:eastAsia="Times New Roman" w:cstheme="minorHAnsi"/>
        </w:rPr>
      </w:pPr>
    </w:p>
    <w:p w:rsidR="007B7A6F" w:rsidRPr="00995052" w:rsidRDefault="007B7A6F" w:rsidP="0099505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</w:rPr>
      </w:pPr>
      <w:r w:rsidRPr="00995052">
        <w:rPr>
          <w:rFonts w:eastAsia="Times New Roman" w:cstheme="minorHAnsi"/>
        </w:rPr>
        <w:t>No evidence of permission applied for or granted for use of the Restrictive Covenant area for construction vehicles passing through the park</w:t>
      </w:r>
    </w:p>
    <w:p w:rsidR="007B7A6F" w:rsidRDefault="007B7A6F" w:rsidP="00CA24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No resolution of the number 1 community </w:t>
      </w:r>
      <w:proofErr w:type="gramStart"/>
      <w:r>
        <w:rPr>
          <w:rFonts w:eastAsia="Times New Roman" w:cstheme="minorHAnsi"/>
        </w:rPr>
        <w:t>request  for</w:t>
      </w:r>
      <w:proofErr w:type="gramEnd"/>
      <w:r>
        <w:rPr>
          <w:rFonts w:eastAsia="Times New Roman" w:cstheme="minorHAnsi"/>
        </w:rPr>
        <w:t xml:space="preserve"> all demolition/construction Access </w:t>
      </w:r>
      <w:r w:rsidR="00CE18C9">
        <w:rPr>
          <w:rFonts w:eastAsia="Times New Roman" w:cstheme="minorHAnsi"/>
        </w:rPr>
        <w:t>to be limited to</w:t>
      </w:r>
      <w:r>
        <w:rPr>
          <w:rFonts w:eastAsia="Times New Roman" w:cstheme="minorHAnsi"/>
        </w:rPr>
        <w:t xml:space="preserve"> the A41 instead of </w:t>
      </w:r>
      <w:r w:rsidR="00CE18C9">
        <w:rPr>
          <w:rFonts w:eastAsia="Times New Roman" w:cstheme="minorHAnsi"/>
        </w:rPr>
        <w:t>through the pedestrian area of Eton Avenue.</w:t>
      </w:r>
      <w:r>
        <w:rPr>
          <w:rFonts w:eastAsia="Times New Roman" w:cstheme="minorHAnsi"/>
        </w:rPr>
        <w:t xml:space="preserve"> 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Lack of evidence of consultation with Swiss Cottage and farmer’s markets stallholders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Lack of evidence of consultation with residents and </w:t>
      </w:r>
      <w:r w:rsidR="004F34D8">
        <w:rPr>
          <w:rFonts w:eastAsia="Times New Roman" w:cstheme="minorHAnsi"/>
        </w:rPr>
        <w:t xml:space="preserve">Management </w:t>
      </w:r>
      <w:r>
        <w:rPr>
          <w:rFonts w:eastAsia="Times New Roman" w:cstheme="minorHAnsi"/>
        </w:rPr>
        <w:t>at Mora Burnet House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Dispute over the adequacy of the CMP consultation which fell far short of Camden’s statutory requirements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D5E50">
        <w:rPr>
          <w:rFonts w:eastAsia="Times New Roman" w:cstheme="minorHAnsi"/>
        </w:rPr>
        <w:t>Evidence that HS2 has confirmed th</w:t>
      </w:r>
      <w:r>
        <w:rPr>
          <w:rFonts w:eastAsia="Times New Roman" w:cstheme="minorHAnsi"/>
        </w:rPr>
        <w:t xml:space="preserve">eir </w:t>
      </w:r>
      <w:r w:rsidRPr="006D5E50">
        <w:rPr>
          <w:rFonts w:eastAsia="Times New Roman" w:cstheme="minorHAnsi"/>
        </w:rPr>
        <w:t>understand</w:t>
      </w:r>
      <w:r>
        <w:rPr>
          <w:rFonts w:eastAsia="Times New Roman" w:cstheme="minorHAnsi"/>
        </w:rPr>
        <w:t>ing</w:t>
      </w:r>
      <w:r w:rsidRPr="006D5E5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that </w:t>
      </w:r>
      <w:r w:rsidRPr="006D5E50">
        <w:rPr>
          <w:rFonts w:eastAsia="Times New Roman" w:cstheme="minorHAnsi"/>
        </w:rPr>
        <w:t>EL chang</w:t>
      </w:r>
      <w:r>
        <w:rPr>
          <w:rFonts w:eastAsia="Times New Roman" w:cstheme="minorHAnsi"/>
        </w:rPr>
        <w:t>ed</w:t>
      </w:r>
      <w:r w:rsidRPr="006D5E50">
        <w:rPr>
          <w:rFonts w:eastAsia="Times New Roman" w:cstheme="minorHAnsi"/>
        </w:rPr>
        <w:t xml:space="preserve"> the wording from </w:t>
      </w:r>
      <w:r>
        <w:rPr>
          <w:rFonts w:eastAsia="Times New Roman" w:cstheme="minorHAnsi"/>
        </w:rPr>
        <w:t>‘</w:t>
      </w:r>
      <w:r w:rsidRPr="006D5E50">
        <w:rPr>
          <w:rFonts w:eastAsia="Times New Roman" w:cstheme="minorHAnsi"/>
          <w:b/>
          <w:u w:val="single"/>
        </w:rPr>
        <w:t>before</w:t>
      </w:r>
      <w:r w:rsidRPr="006D5E50">
        <w:rPr>
          <w:rFonts w:eastAsia="Times New Roman" w:cstheme="minorHAnsi"/>
          <w:b/>
        </w:rPr>
        <w:t xml:space="preserve"> demolition</w:t>
      </w:r>
      <w:r>
        <w:rPr>
          <w:rFonts w:eastAsia="Times New Roman" w:cstheme="minorHAnsi"/>
          <w:b/>
        </w:rPr>
        <w:t xml:space="preserve">’ </w:t>
      </w:r>
      <w:r>
        <w:rPr>
          <w:rFonts w:eastAsia="Times New Roman" w:cstheme="minorHAnsi"/>
        </w:rPr>
        <w:t>to ‘</w:t>
      </w:r>
      <w:r w:rsidRPr="006D5E50">
        <w:rPr>
          <w:rFonts w:eastAsia="Times New Roman" w:cstheme="minorHAnsi"/>
          <w:b/>
          <w:u w:val="single"/>
        </w:rPr>
        <w:t>after</w:t>
      </w:r>
      <w:r w:rsidRPr="006D5E50">
        <w:rPr>
          <w:rFonts w:eastAsia="Times New Roman" w:cstheme="minorHAnsi"/>
          <w:b/>
        </w:rPr>
        <w:t xml:space="preserve"> demolition</w:t>
      </w:r>
      <w:r>
        <w:rPr>
          <w:rFonts w:eastAsia="Times New Roman" w:cstheme="minorHAnsi"/>
          <w:b/>
        </w:rPr>
        <w:t>’</w:t>
      </w:r>
      <w:r w:rsidRPr="006D5E50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 xml:space="preserve">in regard to the discharge of HS2’s conditions as stated in </w:t>
      </w:r>
      <w:r w:rsidRPr="006D5E50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original</w:t>
      </w:r>
      <w:r w:rsidRPr="006D5E50">
        <w:rPr>
          <w:rFonts w:eastAsia="Times New Roman" w:cstheme="minorHAnsi"/>
        </w:rPr>
        <w:t xml:space="preserve"> 2014/1617/P planning application</w:t>
      </w:r>
      <w:r>
        <w:rPr>
          <w:rFonts w:eastAsia="Times New Roman" w:cstheme="minorHAnsi"/>
        </w:rPr>
        <w:t>.</w:t>
      </w:r>
    </w:p>
    <w:p w:rsidR="007B7A6F" w:rsidRPr="00454406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454406">
        <w:rPr>
          <w:rFonts w:eastAsia="Times New Roman" w:cstheme="minorHAnsi"/>
        </w:rPr>
        <w:t xml:space="preserve">Evidence that HS2 has confirmed that they agree that their conditions can now be discharged </w:t>
      </w:r>
      <w:r w:rsidRPr="00454406">
        <w:rPr>
          <w:rFonts w:eastAsia="Times New Roman" w:cstheme="minorHAnsi"/>
          <w:b/>
          <w:u w:val="single"/>
        </w:rPr>
        <w:t>after</w:t>
      </w:r>
      <w:r w:rsidRPr="00454406">
        <w:rPr>
          <w:rFonts w:eastAsia="Times New Roman" w:cstheme="minorHAnsi"/>
          <w:b/>
        </w:rPr>
        <w:t xml:space="preserve"> demolition’</w:t>
      </w:r>
      <w:r w:rsidRPr="00454406">
        <w:rPr>
          <w:rFonts w:eastAsia="Times New Roman" w:cstheme="minorHAnsi"/>
        </w:rPr>
        <w:t xml:space="preserve"> and not </w:t>
      </w:r>
      <w:r w:rsidRPr="00454406">
        <w:rPr>
          <w:rFonts w:eastAsia="Times New Roman" w:cstheme="minorHAnsi"/>
          <w:b/>
          <w:u w:val="single"/>
        </w:rPr>
        <w:t>before</w:t>
      </w:r>
      <w:r w:rsidRPr="00454406">
        <w:rPr>
          <w:rFonts w:eastAsia="Times New Roman" w:cstheme="minorHAnsi"/>
        </w:rPr>
        <w:t xml:space="preserve"> it. </w:t>
      </w:r>
    </w:p>
    <w:p w:rsidR="007B7A6F" w:rsidRPr="006B6A53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Acknowledgement that EL changed HS2’s original wording from “</w:t>
      </w:r>
      <w:r w:rsidRPr="00454406">
        <w:rPr>
          <w:rFonts w:eastAsia="Times New Roman" w:cstheme="minorHAnsi"/>
          <w:b/>
          <w:u w:val="single"/>
        </w:rPr>
        <w:t xml:space="preserve">none </w:t>
      </w:r>
      <w:r>
        <w:rPr>
          <w:rFonts w:eastAsia="Times New Roman" w:cstheme="minorHAnsi"/>
        </w:rPr>
        <w:t xml:space="preserve">of the development hereby permitted shall be commenced until…” to “works </w:t>
      </w:r>
      <w:r>
        <w:rPr>
          <w:rFonts w:eastAsia="Times New Roman" w:cstheme="minorHAnsi"/>
          <w:b/>
          <w:u w:val="single"/>
        </w:rPr>
        <w:t>below ground level</w:t>
      </w:r>
      <w:r>
        <w:rPr>
          <w:rFonts w:eastAsia="Times New Roman" w:cstheme="minorHAnsi"/>
        </w:rPr>
        <w:t xml:space="preserve"> shall not start until…</w:t>
      </w:r>
      <w:proofErr w:type="gramStart"/>
      <w:r>
        <w:rPr>
          <w:rFonts w:eastAsia="Times New Roman" w:cstheme="minorHAnsi"/>
        </w:rPr>
        <w:t>”  and</w:t>
      </w:r>
      <w:proofErr w:type="gramEnd"/>
      <w:r>
        <w:rPr>
          <w:rFonts w:eastAsia="Times New Roman" w:cstheme="minorHAnsi"/>
        </w:rPr>
        <w:t xml:space="preserve"> evidence that HS2 </w:t>
      </w:r>
      <w:r w:rsidR="00995052">
        <w:rPr>
          <w:rFonts w:eastAsia="Times New Roman" w:cstheme="minorHAnsi"/>
        </w:rPr>
        <w:t>realizes</w:t>
      </w:r>
      <w:r>
        <w:rPr>
          <w:rFonts w:eastAsia="Times New Roman" w:cstheme="minorHAnsi"/>
        </w:rPr>
        <w:t xml:space="preserve"> this.</w:t>
      </w:r>
    </w:p>
    <w:p w:rsidR="007B7A6F" w:rsidRPr="0071426C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Clarification of the ‘vice versa’ assurances offered re HS2 works adversely affecting the proposed build. Term vice-versa is not a good enough answer for such a potentially damaging situation.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Residents have yet to see </w:t>
      </w:r>
      <w:r w:rsidR="00CE18C9">
        <w:rPr>
          <w:rFonts w:eastAsia="Times New Roman" w:cstheme="minorHAnsi"/>
        </w:rPr>
        <w:t xml:space="preserve">written confirmation from </w:t>
      </w:r>
      <w:r>
        <w:rPr>
          <w:rFonts w:eastAsia="Times New Roman" w:cstheme="minorHAnsi"/>
        </w:rPr>
        <w:t xml:space="preserve">HS2 </w:t>
      </w:r>
      <w:r w:rsidR="00CE18C9">
        <w:rPr>
          <w:rFonts w:eastAsia="Times New Roman" w:cstheme="minorHAnsi"/>
        </w:rPr>
        <w:t xml:space="preserve">that HS2 will not adversely </w:t>
      </w:r>
      <w:r>
        <w:rPr>
          <w:rFonts w:eastAsia="Times New Roman" w:cstheme="minorHAnsi"/>
        </w:rPr>
        <w:t>Impact</w:t>
      </w:r>
      <w:r w:rsidR="00CE18C9">
        <w:rPr>
          <w:rFonts w:eastAsia="Times New Roman" w:cstheme="minorHAnsi"/>
        </w:rPr>
        <w:t xml:space="preserve"> the 100 Avenue Road development – irrespectively of condition 17 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71426C">
        <w:rPr>
          <w:rFonts w:eastAsia="Times New Roman" w:cstheme="minorHAnsi"/>
        </w:rPr>
        <w:t>Unapproved plans</w:t>
      </w:r>
      <w:r>
        <w:rPr>
          <w:rFonts w:eastAsia="Times New Roman" w:cstheme="minorHAnsi"/>
        </w:rPr>
        <w:t xml:space="preserve"> [</w:t>
      </w:r>
      <w:r w:rsidRPr="0071426C">
        <w:rPr>
          <w:rFonts w:eastAsia="Times New Roman" w:cstheme="minorHAnsi"/>
        </w:rPr>
        <w:t>ref 2017/4036/P</w:t>
      </w:r>
      <w:r>
        <w:rPr>
          <w:rFonts w:eastAsia="Times New Roman" w:cstheme="minorHAnsi"/>
        </w:rPr>
        <w:t>] which are no</w:t>
      </w:r>
      <w:r w:rsidRPr="0071426C">
        <w:rPr>
          <w:rFonts w:eastAsia="Times New Roman" w:cstheme="minorHAnsi"/>
        </w:rPr>
        <w:t>t based on the original plans approved by the secretary of state, but on EL’s proposed plans for the removal of two fire exits and reduced hallways</w:t>
      </w:r>
      <w:r>
        <w:rPr>
          <w:rFonts w:eastAsia="Times New Roman" w:cstheme="minorHAnsi"/>
        </w:rPr>
        <w:t xml:space="preserve"> 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Still no planning permissions </w:t>
      </w:r>
      <w:r w:rsidR="00CE18C9">
        <w:rPr>
          <w:rFonts w:eastAsia="Times New Roman" w:cstheme="minorHAnsi"/>
        </w:rPr>
        <w:t>to vary</w:t>
      </w:r>
      <w:r>
        <w:rPr>
          <w:rFonts w:eastAsia="Times New Roman" w:cstheme="minorHAnsi"/>
        </w:rPr>
        <w:t xml:space="preserve"> condition 21</w:t>
      </w:r>
      <w:r w:rsidR="00CE18C9">
        <w:rPr>
          <w:rFonts w:eastAsia="Times New Roman" w:cstheme="minorHAnsi"/>
        </w:rPr>
        <w:t xml:space="preserve">: i.e. the original planning application for the </w:t>
      </w:r>
      <w:r>
        <w:rPr>
          <w:rFonts w:eastAsia="Times New Roman" w:cstheme="minorHAnsi"/>
        </w:rPr>
        <w:t>removal of cherry trees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Solution to widening of public path along the hoardings without taking away public space</w:t>
      </w:r>
      <w:r w:rsidR="00CE18C9">
        <w:rPr>
          <w:rFonts w:eastAsia="Times New Roman" w:cstheme="minorHAnsi"/>
        </w:rPr>
        <w:t>, i.e. the hedges</w:t>
      </w:r>
    </w:p>
    <w:p w:rsidR="007B7A6F" w:rsidRPr="0071426C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Proof of EL’s Access agreements with </w:t>
      </w:r>
      <w:proofErr w:type="spellStart"/>
      <w:r>
        <w:rPr>
          <w:rFonts w:eastAsia="Times New Roman" w:cstheme="minorHAnsi"/>
        </w:rPr>
        <w:t>TfL</w:t>
      </w:r>
      <w:proofErr w:type="spellEnd"/>
      <w:r>
        <w:rPr>
          <w:rFonts w:eastAsia="Times New Roman" w:cstheme="minorHAnsi"/>
        </w:rPr>
        <w:t xml:space="preserve"> in regard to all vehicle movements via the A41</w:t>
      </w:r>
    </w:p>
    <w:p w:rsidR="007B7A6F" w:rsidRPr="0071426C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Proof of EL’s Access agreements with </w:t>
      </w:r>
      <w:proofErr w:type="spellStart"/>
      <w:r>
        <w:rPr>
          <w:rFonts w:eastAsia="Times New Roman" w:cstheme="minorHAnsi"/>
        </w:rPr>
        <w:t>TfL</w:t>
      </w:r>
      <w:proofErr w:type="spellEnd"/>
      <w:r>
        <w:rPr>
          <w:rFonts w:eastAsia="Times New Roman" w:cstheme="minorHAnsi"/>
        </w:rPr>
        <w:t xml:space="preserve"> in regard to the CS11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EL’s threats to rescind the community benefits they had promised if CMP not approved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Resubmission of shambolic frequency charts and graphs in a format whereby comparisons can be made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B03B5B">
        <w:rPr>
          <w:rFonts w:eastAsia="Times New Roman" w:cstheme="minorHAnsi"/>
        </w:rPr>
        <w:t>Discrepancies in vehicle movement charts and graphs</w:t>
      </w:r>
      <w:r w:rsidR="00CE18C9">
        <w:rPr>
          <w:rFonts w:eastAsia="Times New Roman" w:cstheme="minorHAnsi"/>
        </w:rPr>
        <w:t xml:space="preserve"> and still in the submitted CMP.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Concerns over safety of cyclists when vehicles come out of access 2 on to the A41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Concerns that traffic </w:t>
      </w:r>
      <w:proofErr w:type="spellStart"/>
      <w:r>
        <w:rPr>
          <w:rFonts w:eastAsia="Times New Roman" w:cstheme="minorHAnsi"/>
        </w:rPr>
        <w:t>banksmen</w:t>
      </w:r>
      <w:proofErr w:type="spellEnd"/>
      <w:r>
        <w:rPr>
          <w:rFonts w:eastAsia="Times New Roman" w:cstheme="minorHAnsi"/>
        </w:rPr>
        <w:t xml:space="preserve"> will not be able to keep pedestrians safe in the busy pedestrian area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Tight squeeze for</w:t>
      </w:r>
      <w:r w:rsidR="00CE18C9">
        <w:rPr>
          <w:rFonts w:eastAsia="Times New Roman" w:cstheme="minorHAnsi"/>
        </w:rPr>
        <w:t xml:space="preserve"> construction vehicles and cement mixers passing through cramped and</w:t>
      </w:r>
      <w:r>
        <w:rPr>
          <w:rFonts w:eastAsia="Times New Roman" w:cstheme="minorHAnsi"/>
        </w:rPr>
        <w:t xml:space="preserve"> displaced market stalls</w:t>
      </w:r>
    </w:p>
    <w:p w:rsidR="007B7A6F" w:rsidRDefault="007B7A6F" w:rsidP="007B7A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Loss of footfall to the thriving markets which could lead to their disappearance from the site</w:t>
      </w:r>
      <w:r w:rsidR="00CE18C9">
        <w:rPr>
          <w:rFonts w:eastAsia="Times New Roman" w:cstheme="minorHAnsi"/>
        </w:rPr>
        <w:t xml:space="preserve"> </w:t>
      </w:r>
    </w:p>
    <w:p w:rsidR="00BF5CB3" w:rsidRDefault="00BF5CB3" w:rsidP="00BF5C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Proof of agreement with nearby building sites undergoing extensive re-cladding works on Winchester Road</w:t>
      </w:r>
    </w:p>
    <w:p w:rsidR="00BF5CB3" w:rsidRDefault="00BF5CB3" w:rsidP="00BF5C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Proof that CS11 traffic diversions onto Winchester Road will not cause unacceptable congestion on Winchester Road</w:t>
      </w:r>
    </w:p>
    <w:p w:rsidR="00474F85" w:rsidRDefault="00474F85" w:rsidP="00BF5CB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Proof that </w:t>
      </w:r>
      <w:r w:rsidRPr="00474F85">
        <w:t>the combination of</w:t>
      </w:r>
      <w:r>
        <w:t xml:space="preserve"> CS11 traffic diversions onto Winchester Road </w:t>
      </w:r>
      <w:r w:rsidRPr="00474F85">
        <w:t>and the CMP construction vehicles</w:t>
      </w:r>
      <w:r>
        <w:t xml:space="preserve"> will not cause unacceptable congestion on Winchester Road</w:t>
      </w:r>
    </w:p>
    <w:p w:rsidR="00BF5CB3" w:rsidRDefault="00BF5CB3" w:rsidP="00BF5CB3">
      <w:pPr>
        <w:pStyle w:val="ListParagraph"/>
        <w:spacing w:after="0" w:line="240" w:lineRule="auto"/>
        <w:ind w:left="761"/>
        <w:rPr>
          <w:rFonts w:eastAsia="Times New Roman" w:cstheme="minorHAnsi"/>
        </w:rPr>
      </w:pPr>
    </w:p>
    <w:p w:rsidR="007F6F59" w:rsidRPr="007F6F59" w:rsidRDefault="00CA246D" w:rsidP="00BF5CB3">
      <w:pPr>
        <w:spacing w:before="100" w:beforeAutospacing="1" w:after="100" w:afterAutospacing="1"/>
      </w:pPr>
      <w:r>
        <w:t>Remarkably,</w:t>
      </w:r>
      <w:r w:rsidR="007F6F59">
        <w:t xml:space="preserve"> it is possible that EL’s barrister, Rupert Warren, was </w:t>
      </w:r>
      <w:r w:rsidR="007F6F59" w:rsidRPr="007F6F59">
        <w:rPr>
          <w:b/>
        </w:rPr>
        <w:t>not aware</w:t>
      </w:r>
      <w:r w:rsidR="007F6F59">
        <w:rPr>
          <w:b/>
        </w:rPr>
        <w:t xml:space="preserve"> </w:t>
      </w:r>
      <w:r w:rsidR="007F6F59">
        <w:t xml:space="preserve">of all these </w:t>
      </w:r>
      <w:r w:rsidR="00995052">
        <w:t xml:space="preserve">unresolved CMP issues </w:t>
      </w:r>
      <w:r w:rsidR="007F6F59">
        <w:t xml:space="preserve">when he advised EL to </w:t>
      </w:r>
      <w:r w:rsidR="00995052">
        <w:t>apply for CLEUD</w:t>
      </w:r>
      <w:r w:rsidR="007F6F59">
        <w:t>.</w:t>
      </w:r>
      <w:r w:rsidR="007F6F59" w:rsidRPr="007F6F59">
        <w:t xml:space="preserve"> </w:t>
      </w:r>
      <w:r w:rsidR="007F6F59">
        <w:t xml:space="preserve">Perhaps he was not aware that Essential Living </w:t>
      </w:r>
      <w:proofErr w:type="gramStart"/>
      <w:r w:rsidR="007F6F59">
        <w:t>were</w:t>
      </w:r>
      <w:proofErr w:type="gramEnd"/>
      <w:r w:rsidR="007F6F59">
        <w:t xml:space="preserve"> being economical with the truth when they instructed him that the Section 106 pre-commencement stipulations </w:t>
      </w:r>
      <w:r w:rsidR="007F6F59" w:rsidRPr="00D13A6D">
        <w:rPr>
          <w:rFonts w:cstheme="minorHAnsi"/>
          <w:iCs/>
        </w:rPr>
        <w:t>“</w:t>
      </w:r>
      <w:r w:rsidR="00995052" w:rsidRPr="00F55F27">
        <w:rPr>
          <w:rFonts w:cstheme="minorHAnsi"/>
          <w:b/>
          <w:bCs/>
          <w:i/>
          <w:iCs/>
          <w:u w:val="single"/>
        </w:rPr>
        <w:t>have now been satisfied,</w:t>
      </w:r>
      <w:r w:rsidR="00995052" w:rsidRPr="00F55F27">
        <w:rPr>
          <w:rFonts w:cstheme="minorHAnsi"/>
          <w:b/>
          <w:bCs/>
          <w:i/>
          <w:iCs/>
        </w:rPr>
        <w:t xml:space="preserve"> </w:t>
      </w:r>
      <w:r w:rsidR="00995052" w:rsidRPr="00F55F27">
        <w:rPr>
          <w:rFonts w:cstheme="minorHAnsi"/>
          <w:i/>
          <w:iCs/>
        </w:rPr>
        <w:t>insofar as they would have precluded a lawful start on site by demolition."</w:t>
      </w:r>
      <w:r w:rsidR="00995052">
        <w:t xml:space="preserve"> </w:t>
      </w:r>
      <w:r w:rsidR="00995052" w:rsidRPr="00F55F27">
        <w:rPr>
          <w:rFonts w:cstheme="minorHAnsi"/>
        </w:rPr>
        <w:t>[Rupert Warren: camdocs.camden.gov.uk/</w:t>
      </w:r>
      <w:proofErr w:type="spellStart"/>
      <w:r w:rsidR="00995052" w:rsidRPr="00F55F27">
        <w:rPr>
          <w:rFonts w:cstheme="minorHAnsi"/>
        </w:rPr>
        <w:t>HPRMWebDrawer</w:t>
      </w:r>
      <w:proofErr w:type="spellEnd"/>
      <w:r w:rsidR="00995052" w:rsidRPr="00F55F27">
        <w:rPr>
          <w:rFonts w:cstheme="minorHAnsi"/>
        </w:rPr>
        <w:t>/Record/6956016]</w:t>
      </w:r>
    </w:p>
    <w:p w:rsidR="00995052" w:rsidRPr="00995052" w:rsidRDefault="00995052" w:rsidP="007F6F59">
      <w:pPr>
        <w:spacing w:line="240" w:lineRule="auto"/>
        <w:rPr>
          <w:rFonts w:eastAsia="Times New Roman" w:cstheme="minorHAnsi"/>
        </w:rPr>
      </w:pPr>
      <w:r w:rsidRPr="00995052">
        <w:rPr>
          <w:rFonts w:eastAsia="Times New Roman" w:cstheme="minorHAnsi"/>
        </w:rPr>
        <w:lastRenderedPageBreak/>
        <w:t>And perhaps</w:t>
      </w:r>
      <w:r w:rsidR="009D3C1A">
        <w:rPr>
          <w:rFonts w:eastAsia="Times New Roman" w:cstheme="minorHAnsi"/>
        </w:rPr>
        <w:t xml:space="preserve"> had he known</w:t>
      </w:r>
      <w:r w:rsidRPr="00995052">
        <w:rPr>
          <w:rFonts w:eastAsia="Times New Roman" w:cstheme="minorHAnsi"/>
        </w:rPr>
        <w:t xml:space="preserve"> he would never have concluded that:</w:t>
      </w:r>
    </w:p>
    <w:p w:rsidR="007F6F59" w:rsidRPr="00995052" w:rsidRDefault="00995052" w:rsidP="007F6F59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i/>
          <w:u w:val="single"/>
        </w:rPr>
        <w:t xml:space="preserve"> </w:t>
      </w:r>
      <w:r w:rsidR="007F6F59">
        <w:rPr>
          <w:rFonts w:eastAsia="Times New Roman" w:cstheme="minorHAnsi"/>
          <w:b/>
          <w:i/>
          <w:u w:val="single"/>
        </w:rPr>
        <w:t>“</w:t>
      </w:r>
      <w:r w:rsidR="007F6F59" w:rsidRPr="00D744DA">
        <w:rPr>
          <w:rFonts w:eastAsia="Times New Roman" w:cstheme="minorHAnsi"/>
          <w:b/>
          <w:i/>
          <w:u w:val="single"/>
        </w:rPr>
        <w:t>Due to the discharge of pre</w:t>
      </w:r>
      <w:r w:rsidR="007F6F59" w:rsidRPr="00EB6CBC">
        <w:rPr>
          <w:rFonts w:eastAsia="Times New Roman" w:cstheme="minorHAnsi"/>
          <w:b/>
          <w:i/>
          <w:u w:val="single"/>
        </w:rPr>
        <w:t>-</w:t>
      </w:r>
      <w:r w:rsidR="007F6F59" w:rsidRPr="00D744DA">
        <w:rPr>
          <w:rFonts w:eastAsia="Times New Roman" w:cstheme="minorHAnsi"/>
          <w:b/>
          <w:i/>
          <w:u w:val="single"/>
        </w:rPr>
        <w:t>commencement conditions</w:t>
      </w:r>
      <w:r w:rsidR="007F6F59">
        <w:rPr>
          <w:rFonts w:eastAsia="Times New Roman" w:cstheme="minorHAnsi"/>
          <w:b/>
          <w:i/>
          <w:u w:val="single"/>
        </w:rPr>
        <w:t>…</w:t>
      </w:r>
      <w:r w:rsidR="007F6F59" w:rsidRPr="00D744DA">
        <w:rPr>
          <w:rFonts w:eastAsia="Times New Roman" w:cstheme="minorHAnsi"/>
          <w:i/>
        </w:rPr>
        <w:t xml:space="preserve"> I consider that the demolition would lawfully commence the Permission.</w:t>
      </w:r>
      <w:r w:rsidR="007F6F59">
        <w:rPr>
          <w:rFonts w:eastAsia="Times New Roman" w:cstheme="minorHAnsi"/>
          <w:i/>
        </w:rPr>
        <w:t>”</w:t>
      </w:r>
      <w:r w:rsidR="007F6F59" w:rsidRPr="006D57DD"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</w:rPr>
        <w:t>[ibid]</w:t>
      </w:r>
    </w:p>
    <w:p w:rsidR="00995052" w:rsidRPr="00A71B28" w:rsidRDefault="00995052" w:rsidP="00995052">
      <w:pPr>
        <w:spacing w:before="100" w:beforeAutospacing="1" w:after="100" w:afterAutospacing="1"/>
        <w:rPr>
          <w:rFonts w:eastAsia="Times New Roman" w:cstheme="minorHAnsi"/>
          <w:i/>
        </w:rPr>
      </w:pPr>
      <w:r>
        <w:rPr>
          <w:rFonts w:eastAsia="Times New Roman" w:cstheme="minorHAnsi"/>
        </w:rPr>
        <w:t xml:space="preserve">The fact is that there are still at least </w:t>
      </w:r>
      <w:r w:rsidRPr="002967FA">
        <w:rPr>
          <w:rFonts w:eastAsia="Times New Roman" w:cstheme="minorHAnsi"/>
          <w:u w:val="single"/>
        </w:rPr>
        <w:t xml:space="preserve">four </w:t>
      </w:r>
      <w:r w:rsidR="001B4800">
        <w:rPr>
          <w:rFonts w:eastAsia="Times New Roman" w:cstheme="minorHAnsi"/>
          <w:u w:val="single"/>
        </w:rPr>
        <w:t xml:space="preserve">Section 106 </w:t>
      </w:r>
      <w:r w:rsidRPr="002967FA">
        <w:rPr>
          <w:rFonts w:eastAsia="Times New Roman" w:cstheme="minorHAnsi"/>
          <w:u w:val="single"/>
        </w:rPr>
        <w:t>pre-commencement conditions that have not yet been satisfied</w:t>
      </w:r>
      <w:r>
        <w:rPr>
          <w:rFonts w:eastAsia="Times New Roman" w:cstheme="minorHAnsi"/>
        </w:rPr>
        <w:t xml:space="preserve">:  The CMP, The Service Management Plan, The External Public Open Space Plan and The Travel Plan. </w:t>
      </w:r>
    </w:p>
    <w:p w:rsidR="00995052" w:rsidRDefault="00995052" w:rsidP="00995052">
      <w:pPr>
        <w:spacing w:before="100" w:beforeAutospacing="1" w:after="100" w:afterAutospacing="1"/>
        <w:rPr>
          <w:rFonts w:eastAsia="Times New Roman" w:cstheme="minorHAnsi"/>
          <w:b/>
          <w:i/>
        </w:rPr>
      </w:pPr>
      <w:r>
        <w:rPr>
          <w:rFonts w:cstheme="minorHAnsi"/>
        </w:rPr>
        <w:t>W</w:t>
      </w:r>
      <w:r w:rsidR="00F253EB">
        <w:rPr>
          <w:rFonts w:cstheme="minorHAnsi"/>
        </w:rPr>
        <w:t>hy set a 3 year time limit if a developer can override it so easily</w:t>
      </w:r>
      <w:r w:rsidR="009D3C1A">
        <w:rPr>
          <w:rFonts w:cstheme="minorHAnsi"/>
        </w:rPr>
        <w:t>; if</w:t>
      </w:r>
      <w:r>
        <w:rPr>
          <w:rFonts w:cstheme="minorHAnsi"/>
        </w:rPr>
        <w:t xml:space="preserve"> all that is </w:t>
      </w:r>
      <w:r w:rsidR="009D3C1A">
        <w:rPr>
          <w:rFonts w:cstheme="minorHAnsi"/>
        </w:rPr>
        <w:t>required</w:t>
      </w:r>
      <w:r>
        <w:rPr>
          <w:rFonts w:cstheme="minorHAnsi"/>
        </w:rPr>
        <w:t xml:space="preserve"> is to demolish a few stairs – notify the Council after you have done it – and then request a retrospective certifica</w:t>
      </w:r>
      <w:r w:rsidR="00A85E55">
        <w:rPr>
          <w:rFonts w:cstheme="minorHAnsi"/>
        </w:rPr>
        <w:t xml:space="preserve">te from the Council to allow it? </w:t>
      </w:r>
    </w:p>
    <w:p w:rsidR="00995052" w:rsidRPr="007F4F22" w:rsidRDefault="00995052" w:rsidP="00995052">
      <w:pPr>
        <w:spacing w:before="100" w:beforeAutospacing="1" w:after="100" w:afterAutospacing="1"/>
        <w:rPr>
          <w:rFonts w:cstheme="minorHAnsi"/>
          <w:b/>
        </w:rPr>
      </w:pPr>
      <w:r w:rsidRPr="007F4F22">
        <w:rPr>
          <w:rFonts w:cstheme="minorHAnsi"/>
          <w:b/>
        </w:rPr>
        <w:t>This cannot be right.  Surely clever legalese justification of the cynical removal of a few stairs and a ramp can</w:t>
      </w:r>
      <w:r w:rsidR="00D72795" w:rsidRPr="007F4F22">
        <w:rPr>
          <w:rFonts w:cstheme="minorHAnsi"/>
          <w:b/>
        </w:rPr>
        <w:t>not</w:t>
      </w:r>
      <w:r w:rsidRPr="007F4F22">
        <w:rPr>
          <w:rFonts w:cstheme="minorHAnsi"/>
          <w:b/>
        </w:rPr>
        <w:t xml:space="preserve"> be </w:t>
      </w:r>
      <w:r w:rsidR="009D3C1A" w:rsidRPr="007F4F22">
        <w:rPr>
          <w:rFonts w:cstheme="minorHAnsi"/>
          <w:b/>
        </w:rPr>
        <w:t xml:space="preserve">allowed </w:t>
      </w:r>
      <w:r w:rsidR="005846B3" w:rsidRPr="007F4F22">
        <w:rPr>
          <w:rFonts w:cstheme="minorHAnsi"/>
          <w:b/>
        </w:rPr>
        <w:t>to carry</w:t>
      </w:r>
      <w:r w:rsidR="009D3C1A" w:rsidRPr="007F4F22">
        <w:rPr>
          <w:rFonts w:cstheme="minorHAnsi"/>
          <w:b/>
        </w:rPr>
        <w:t xml:space="preserve"> more</w:t>
      </w:r>
      <w:r w:rsidR="005846B3" w:rsidRPr="007F4F22">
        <w:rPr>
          <w:rFonts w:cstheme="minorHAnsi"/>
          <w:b/>
        </w:rPr>
        <w:t xml:space="preserve"> legal weight</w:t>
      </w:r>
      <w:r w:rsidRPr="007F4F22">
        <w:rPr>
          <w:rFonts w:cstheme="minorHAnsi"/>
          <w:b/>
        </w:rPr>
        <w:t xml:space="preserve"> than the legal constraints </w:t>
      </w:r>
      <w:r w:rsidR="009D3C1A" w:rsidRPr="007F4F22">
        <w:rPr>
          <w:rFonts w:cstheme="minorHAnsi"/>
          <w:b/>
        </w:rPr>
        <w:t>imposed by a Secretary of State</w:t>
      </w:r>
      <w:r w:rsidRPr="007F4F22">
        <w:rPr>
          <w:rFonts w:cstheme="minorHAnsi"/>
          <w:b/>
        </w:rPr>
        <w:t xml:space="preserve">, Section 106 Agreements, and the </w:t>
      </w:r>
      <w:r w:rsidR="00A85E55" w:rsidRPr="007F4F22">
        <w:rPr>
          <w:rFonts w:cstheme="minorHAnsi"/>
          <w:b/>
        </w:rPr>
        <w:t>Council’s own requirements of the</w:t>
      </w:r>
      <w:r w:rsidRPr="007F4F22">
        <w:rPr>
          <w:rFonts w:cstheme="minorHAnsi"/>
          <w:b/>
        </w:rPr>
        <w:t xml:space="preserve"> Construction Management Plan</w:t>
      </w:r>
      <w:r w:rsidR="009D3C1A" w:rsidRPr="007F4F22">
        <w:rPr>
          <w:rFonts w:cstheme="minorHAnsi"/>
          <w:b/>
        </w:rPr>
        <w:t>.</w:t>
      </w:r>
      <w:r w:rsidRPr="007F4F22">
        <w:rPr>
          <w:rFonts w:cstheme="minorHAnsi"/>
          <w:b/>
        </w:rPr>
        <w:t xml:space="preserve">  </w:t>
      </w:r>
    </w:p>
    <w:p w:rsidR="00A85E55" w:rsidRPr="00A85E55" w:rsidRDefault="00A85E55" w:rsidP="00A85E55">
      <w:pPr>
        <w:spacing w:before="100" w:beforeAutospacing="1" w:after="100" w:afterAutospacing="1"/>
        <w:rPr>
          <w:rFonts w:cstheme="minorHAnsi"/>
        </w:rPr>
      </w:pPr>
      <w:r w:rsidRPr="00A85E55">
        <w:rPr>
          <w:rFonts w:cstheme="minorHAnsi"/>
        </w:rPr>
        <w:t xml:space="preserve">One </w:t>
      </w:r>
      <w:r w:rsidR="00AB3767">
        <w:rPr>
          <w:rFonts w:cstheme="minorHAnsi"/>
        </w:rPr>
        <w:t>final</w:t>
      </w:r>
      <w:r w:rsidRPr="00A85E55">
        <w:rPr>
          <w:rFonts w:cstheme="minorHAnsi"/>
        </w:rPr>
        <w:t xml:space="preserve"> consideration:</w:t>
      </w:r>
    </w:p>
    <w:p w:rsidR="00A85E55" w:rsidRPr="00A85E55" w:rsidRDefault="00A85E55" w:rsidP="00A85E55">
      <w:pPr>
        <w:spacing w:before="100" w:beforeAutospacing="1" w:after="100" w:afterAutospacing="1"/>
        <w:rPr>
          <w:rFonts w:cstheme="minorHAnsi"/>
        </w:rPr>
      </w:pPr>
      <w:r w:rsidRPr="00A85E55">
        <w:rPr>
          <w:rFonts w:cstheme="minorHAnsi"/>
        </w:rPr>
        <w:t xml:space="preserve">When assessing EL’s legal position in regard to the demolition they have already carried out, </w:t>
      </w:r>
      <w:r w:rsidR="00AB3767">
        <w:rPr>
          <w:rFonts w:cstheme="minorHAnsi"/>
        </w:rPr>
        <w:t xml:space="preserve">shouldn’t </w:t>
      </w:r>
      <w:r w:rsidRPr="00A85E55">
        <w:rPr>
          <w:rFonts w:cstheme="minorHAnsi"/>
        </w:rPr>
        <w:t>Camden question the legitimacy of EL’s removal of the only dedicated wheelchair ramp access for the southern section of the building, which is separated internally from the northern section</w:t>
      </w:r>
      <w:r w:rsidR="00AB3767">
        <w:rPr>
          <w:rFonts w:cstheme="minorHAnsi"/>
        </w:rPr>
        <w:t xml:space="preserve">? </w:t>
      </w:r>
      <w:r w:rsidRPr="00A85E55">
        <w:rPr>
          <w:rFonts w:cstheme="minorHAnsi"/>
        </w:rPr>
        <w:t xml:space="preserve"> Should this not be challenged on the grounds of flouting safe and equal access for</w:t>
      </w:r>
      <w:r w:rsidR="007F4F22">
        <w:rPr>
          <w:rFonts w:cstheme="minorHAnsi"/>
        </w:rPr>
        <w:t xml:space="preserve"> </w:t>
      </w:r>
      <w:r w:rsidRPr="00A85E55">
        <w:rPr>
          <w:rFonts w:cstheme="minorHAnsi"/>
        </w:rPr>
        <w:t>all construction workers working on the site?</w:t>
      </w:r>
    </w:p>
    <w:p w:rsidR="00A85E55" w:rsidRPr="00A85E55" w:rsidRDefault="00A85E55" w:rsidP="00A85E55">
      <w:pPr>
        <w:spacing w:before="100" w:beforeAutospacing="1" w:after="100" w:afterAutospacing="1"/>
        <w:rPr>
          <w:rFonts w:cstheme="minorHAnsi"/>
        </w:rPr>
      </w:pPr>
      <w:r w:rsidRPr="00A85E55">
        <w:rPr>
          <w:rFonts w:cstheme="minorHAnsi"/>
        </w:rPr>
        <w:t>Equality Act 2010:</w:t>
      </w:r>
    </w:p>
    <w:p w:rsidR="00A85E55" w:rsidRPr="00A85E55" w:rsidRDefault="00A85E55" w:rsidP="00A85E55">
      <w:pPr>
        <w:spacing w:before="100" w:beforeAutospacing="1" w:after="100" w:afterAutospacing="1"/>
        <w:rPr>
          <w:rFonts w:cstheme="minorHAnsi"/>
        </w:rPr>
      </w:pPr>
      <w:r w:rsidRPr="00A85E55">
        <w:rPr>
          <w:rFonts w:cstheme="minorHAnsi"/>
        </w:rPr>
        <w:t>“If a physical feature within the workplace creates a disadvantage for a disabled employee, steps must be taken to amend or remove the obstruction. Physical adjustments can include changes such as: The addition of a ramp rather than steps to access buildings.”</w:t>
      </w:r>
    </w:p>
    <w:p w:rsidR="00A85E55" w:rsidRPr="00A85E55" w:rsidRDefault="00A85E55" w:rsidP="00A85E55">
      <w:pPr>
        <w:spacing w:before="100" w:beforeAutospacing="1" w:after="100" w:afterAutospacing="1"/>
        <w:rPr>
          <w:rFonts w:cstheme="minorHAnsi"/>
        </w:rPr>
      </w:pPr>
      <w:r w:rsidRPr="00A85E55">
        <w:rPr>
          <w:rFonts w:cstheme="minorHAnsi"/>
        </w:rPr>
        <w:t>E</w:t>
      </w:r>
      <w:r w:rsidR="00AB3767">
        <w:rPr>
          <w:rFonts w:cstheme="minorHAnsi"/>
        </w:rPr>
        <w:t>ssential Living</w:t>
      </w:r>
      <w:r w:rsidRPr="00A85E55">
        <w:rPr>
          <w:rFonts w:cstheme="minorHAnsi"/>
        </w:rPr>
        <w:t xml:space="preserve"> have done the exact opposite</w:t>
      </w:r>
      <w:r w:rsidR="00AB3767">
        <w:rPr>
          <w:rFonts w:cstheme="minorHAnsi"/>
        </w:rPr>
        <w:t xml:space="preserve"> by taking the ramp away</w:t>
      </w:r>
      <w:r>
        <w:rPr>
          <w:rFonts w:cstheme="minorHAnsi"/>
        </w:rPr>
        <w:t xml:space="preserve">. </w:t>
      </w:r>
    </w:p>
    <w:p w:rsidR="00AB3767" w:rsidRDefault="00AB3767" w:rsidP="00A85E55">
      <w:pPr>
        <w:spacing w:before="100" w:beforeAutospacing="1" w:after="100" w:afterAutospacing="1"/>
        <w:rPr>
          <w:rFonts w:cstheme="minorHAnsi"/>
        </w:rPr>
      </w:pPr>
    </w:p>
    <w:p w:rsidR="00A85E55" w:rsidRPr="00A85E55" w:rsidRDefault="00A85E55" w:rsidP="00A85E55">
      <w:pPr>
        <w:spacing w:before="100" w:beforeAutospacing="1" w:after="100" w:afterAutospacing="1"/>
        <w:rPr>
          <w:rFonts w:cstheme="minorHAnsi"/>
        </w:rPr>
      </w:pPr>
      <w:r w:rsidRPr="00A85E55">
        <w:rPr>
          <w:rFonts w:cstheme="minorHAnsi"/>
        </w:rPr>
        <w:t xml:space="preserve">For all the above reasons, </w:t>
      </w:r>
      <w:r w:rsidR="007F4F22">
        <w:rPr>
          <w:rFonts w:cstheme="minorHAnsi"/>
        </w:rPr>
        <w:t xml:space="preserve">I ask </w:t>
      </w:r>
      <w:r w:rsidRPr="00A85E55">
        <w:rPr>
          <w:rFonts w:cstheme="minorHAnsi"/>
        </w:rPr>
        <w:t xml:space="preserve">Camden Council </w:t>
      </w:r>
      <w:r w:rsidR="007F4F22">
        <w:rPr>
          <w:rFonts w:cstheme="minorHAnsi"/>
        </w:rPr>
        <w:t>to</w:t>
      </w:r>
      <w:r w:rsidRPr="00A85E55">
        <w:rPr>
          <w:rFonts w:cstheme="minorHAnsi"/>
        </w:rPr>
        <w:t xml:space="preserve"> </w:t>
      </w:r>
      <w:r w:rsidR="00AB3767">
        <w:rPr>
          <w:rFonts w:cstheme="minorHAnsi"/>
        </w:rPr>
        <w:t>reject</w:t>
      </w:r>
      <w:r w:rsidR="007F4F22">
        <w:rPr>
          <w:rFonts w:cstheme="minorHAnsi"/>
        </w:rPr>
        <w:t xml:space="preserve"> Essential Living’s CLEUD application. </w:t>
      </w:r>
    </w:p>
    <w:p w:rsidR="00F253EB" w:rsidRDefault="00F253EB" w:rsidP="00F253EB">
      <w:pPr>
        <w:rPr>
          <w:rFonts w:eastAsia="Times New Roman" w:cstheme="minorHAnsi"/>
        </w:rPr>
      </w:pPr>
      <w:r>
        <w:rPr>
          <w:rFonts w:eastAsia="Times New Roman" w:cstheme="minorHAnsi"/>
        </w:rPr>
        <w:t>Kind Regards</w:t>
      </w:r>
    </w:p>
    <w:p w:rsidR="00F253EB" w:rsidRDefault="00F253EB" w:rsidP="00F253EB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Edie Raff</w:t>
      </w:r>
    </w:p>
    <w:p w:rsidR="00F253EB" w:rsidRDefault="00F253EB" w:rsidP="00F253EB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Chair, </w:t>
      </w:r>
      <w:proofErr w:type="spellStart"/>
      <w:r>
        <w:rPr>
          <w:rFonts w:eastAsia="Times New Roman" w:cstheme="minorHAnsi"/>
        </w:rPr>
        <w:t>Cresta</w:t>
      </w:r>
      <w:proofErr w:type="spellEnd"/>
      <w:r>
        <w:rPr>
          <w:rFonts w:eastAsia="Times New Roman" w:cstheme="minorHAnsi"/>
        </w:rPr>
        <w:t xml:space="preserve"> House Residents Association</w:t>
      </w:r>
    </w:p>
    <w:p w:rsidR="00F253EB" w:rsidRDefault="00F253EB" w:rsidP="00F253EB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Former Chair of Save Swiss Cottage</w:t>
      </w:r>
    </w:p>
    <w:p w:rsidR="001C4C18" w:rsidRDefault="001C4C18" w:rsidP="00F253EB">
      <w:pPr>
        <w:spacing w:after="0"/>
        <w:rPr>
          <w:rFonts w:eastAsia="Times New Roman" w:cstheme="minorHAnsi"/>
        </w:rPr>
      </w:pPr>
    </w:p>
    <w:p w:rsidR="001C4C18" w:rsidRDefault="001C4C18" w:rsidP="00F253EB">
      <w:pPr>
        <w:spacing w:after="0"/>
        <w:rPr>
          <w:rFonts w:eastAsia="Times New Roman" w:cstheme="minorHAnsi"/>
        </w:rPr>
      </w:pPr>
    </w:p>
    <w:p w:rsidR="005E3A9C" w:rsidRDefault="005E3A9C" w:rsidP="00F253EB">
      <w:pPr>
        <w:spacing w:after="0"/>
        <w:rPr>
          <w:rFonts w:eastAsia="Times New Roman" w:cstheme="minorHAnsi"/>
        </w:rPr>
      </w:pPr>
    </w:p>
    <w:p w:rsidR="005846B3" w:rsidRDefault="005846B3" w:rsidP="005846B3"/>
    <w:p w:rsidR="005846B3" w:rsidRDefault="005846B3" w:rsidP="005846B3">
      <w:pPr>
        <w:spacing w:before="100" w:beforeAutospacing="1" w:after="100" w:afterAutospacing="1"/>
        <w:rPr>
          <w:rFonts w:cstheme="minorHAnsi"/>
        </w:rPr>
      </w:pPr>
    </w:p>
    <w:sectPr w:rsidR="005846B3" w:rsidSect="007F4F22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10A0"/>
    <w:multiLevelType w:val="hybridMultilevel"/>
    <w:tmpl w:val="D7A0C8E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4BF4025E"/>
    <w:multiLevelType w:val="hybridMultilevel"/>
    <w:tmpl w:val="DACA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81AB5"/>
    <w:multiLevelType w:val="hybridMultilevel"/>
    <w:tmpl w:val="176CFFD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F7772"/>
    <w:rsid w:val="000C7869"/>
    <w:rsid w:val="000F5F50"/>
    <w:rsid w:val="00192037"/>
    <w:rsid w:val="001B4800"/>
    <w:rsid w:val="001B7B9C"/>
    <w:rsid w:val="001C4C18"/>
    <w:rsid w:val="00216E82"/>
    <w:rsid w:val="00226733"/>
    <w:rsid w:val="00230767"/>
    <w:rsid w:val="002466AB"/>
    <w:rsid w:val="002A0F28"/>
    <w:rsid w:val="002C6DF8"/>
    <w:rsid w:val="002E74C3"/>
    <w:rsid w:val="002F7772"/>
    <w:rsid w:val="00474F85"/>
    <w:rsid w:val="004B5CA8"/>
    <w:rsid w:val="004F34D8"/>
    <w:rsid w:val="00561A30"/>
    <w:rsid w:val="005846B3"/>
    <w:rsid w:val="005E3A9C"/>
    <w:rsid w:val="00624BCA"/>
    <w:rsid w:val="0073438B"/>
    <w:rsid w:val="007823A7"/>
    <w:rsid w:val="00784CFB"/>
    <w:rsid w:val="007B7A6F"/>
    <w:rsid w:val="007F4F22"/>
    <w:rsid w:val="007F6F59"/>
    <w:rsid w:val="00852A6B"/>
    <w:rsid w:val="00853D20"/>
    <w:rsid w:val="00885EC0"/>
    <w:rsid w:val="00886F46"/>
    <w:rsid w:val="00943F51"/>
    <w:rsid w:val="009623B8"/>
    <w:rsid w:val="00992BC5"/>
    <w:rsid w:val="00995052"/>
    <w:rsid w:val="009D3C1A"/>
    <w:rsid w:val="00A63176"/>
    <w:rsid w:val="00A85E55"/>
    <w:rsid w:val="00AB3767"/>
    <w:rsid w:val="00BF5CB3"/>
    <w:rsid w:val="00C878CE"/>
    <w:rsid w:val="00CA246D"/>
    <w:rsid w:val="00CE18C9"/>
    <w:rsid w:val="00D13A6D"/>
    <w:rsid w:val="00D21750"/>
    <w:rsid w:val="00D52F4E"/>
    <w:rsid w:val="00D62299"/>
    <w:rsid w:val="00D72795"/>
    <w:rsid w:val="00D861D6"/>
    <w:rsid w:val="00D90D41"/>
    <w:rsid w:val="00DE1C9C"/>
    <w:rsid w:val="00E51A97"/>
    <w:rsid w:val="00F22451"/>
    <w:rsid w:val="00F2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normal">
    <w:name w:val="gmail-msonormal"/>
    <w:basedOn w:val="Normal"/>
    <w:rsid w:val="002A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4C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78CE"/>
    <w:rPr>
      <w:color w:val="0000FF"/>
      <w:u w:val="single"/>
    </w:rPr>
  </w:style>
  <w:style w:type="character" w:customStyle="1" w:styleId="il">
    <w:name w:val="il"/>
    <w:basedOn w:val="DefaultParagraphFont"/>
    <w:rsid w:val="00C878CE"/>
  </w:style>
  <w:style w:type="paragraph" w:customStyle="1" w:styleId="m5449518513633365021gmail-msonormal">
    <w:name w:val="m_5449518513633365021gmail-msonormal"/>
    <w:basedOn w:val="Normal"/>
    <w:rsid w:val="00C8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78CE"/>
    <w:rPr>
      <w:color w:val="800080" w:themeColor="followedHyperlink"/>
      <w:u w:val="single"/>
    </w:rPr>
  </w:style>
  <w:style w:type="paragraph" w:customStyle="1" w:styleId="Default">
    <w:name w:val="Default"/>
    <w:rsid w:val="007343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5846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ps.google.com/?q=100+Avenue+Road&amp;entry=gmail&amp;source=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mdocs.camden.gov.uk/HPRMWebDrawer/PlanRec?q=recContainer:2017/6884/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80026-6930-46F8-BB23-6E723FA9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</dc:creator>
  <cp:lastModifiedBy>edie</cp:lastModifiedBy>
  <cp:revision>3</cp:revision>
  <cp:lastPrinted>2018-01-25T09:43:00Z</cp:lastPrinted>
  <dcterms:created xsi:type="dcterms:W3CDTF">2018-01-27T09:47:00Z</dcterms:created>
  <dcterms:modified xsi:type="dcterms:W3CDTF">2018-01-27T09:53:00Z</dcterms:modified>
</cp:coreProperties>
</file>