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020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1843"/>
        <w:gridCol w:w="709"/>
        <w:gridCol w:w="425"/>
        <w:gridCol w:w="1843"/>
        <w:gridCol w:w="708"/>
        <w:gridCol w:w="2098"/>
        <w:gridCol w:w="737"/>
      </w:tblGrid>
      <w:tr w:rsidR="00B55CFA" w:rsidTr="00C06715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:rsidR="00B55CFA" w:rsidRDefault="00B55CFA" w:rsidP="00B55CFA">
            <w:pPr>
              <w:pStyle w:val="Heading4"/>
              <w:rPr>
                <w:rFonts w:ascii="Arial" w:hAnsi="Arial" w:cs="Arial"/>
                <w:sz w:val="32"/>
                <w:szCs w:val="32"/>
              </w:rPr>
            </w:pPr>
          </w:p>
          <w:p w:rsidR="00B55CFA" w:rsidRDefault="00B55CFA" w:rsidP="00B55C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CONSULTATION SUMMARY </w:t>
            </w:r>
          </w:p>
          <w:p w:rsidR="00B55CFA" w:rsidRDefault="00B55CFA" w:rsidP="00B55C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5CFA" w:rsidTr="00C06715">
        <w:trPr>
          <w:cantSplit/>
          <w:trHeight w:val="7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B55CFA" w:rsidRDefault="00B55CFA" w:rsidP="00B55CFA">
            <w:pPr>
              <w:pStyle w:val="Heading4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B55CFA" w:rsidTr="00C06715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B55CFA" w:rsidRDefault="00B55CFA" w:rsidP="00B55CFA">
            <w:pPr>
              <w:pStyle w:val="Heading4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Case reference number(s) </w:t>
            </w:r>
          </w:p>
        </w:tc>
      </w:tr>
      <w:tr w:rsidR="00B55CFA" w:rsidTr="00C06715">
        <w:trPr>
          <w:cantSplit/>
          <w:trHeight w:val="360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55CFA" w:rsidRDefault="00F4735B" w:rsidP="00B55CFA">
            <w:pPr>
              <w:pStyle w:val="Heading4"/>
              <w:ind w:left="0"/>
              <w:jc w:val="both"/>
              <w:rPr>
                <w:rFonts w:ascii="Arial" w:hAnsi="Arial" w:cs="Arial"/>
                <w:b w:val="0"/>
                <w:sz w:val="32"/>
                <w:szCs w:val="32"/>
              </w:rPr>
            </w:pPr>
            <w:r w:rsidRPr="00F4735B">
              <w:rPr>
                <w:rFonts w:ascii="Arial" w:hAnsi="Arial" w:cs="Arial"/>
              </w:rPr>
              <w:t>2017/4554/P</w:t>
            </w:r>
          </w:p>
        </w:tc>
      </w:tr>
      <w:tr w:rsidR="00B55CFA" w:rsidTr="00C06715">
        <w:tc>
          <w:tcPr>
            <w:tcW w:w="5669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FFFFFF"/>
            </w:tcBorders>
            <w:shd w:val="clear" w:color="auto" w:fill="000000"/>
            <w:vAlign w:val="center"/>
            <w:hideMark/>
          </w:tcPr>
          <w:p w:rsidR="00B55CFA" w:rsidRDefault="00B55CFA" w:rsidP="00B55CFA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Case Officer: </w:t>
            </w:r>
          </w:p>
        </w:tc>
        <w:tc>
          <w:tcPr>
            <w:tcW w:w="5386" w:type="dxa"/>
            <w:gridSpan w:val="4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B55CFA" w:rsidRDefault="00B55CFA" w:rsidP="00B55CFA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 xml:space="preserve">Application Address: </w:t>
            </w:r>
          </w:p>
        </w:tc>
      </w:tr>
      <w:tr w:rsidR="00B55CFA" w:rsidTr="00C06715">
        <w:trPr>
          <w:trHeight w:val="465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CFA" w:rsidRDefault="00E561FD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Lisa McCann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4735B" w:rsidRDefault="00F4735B" w:rsidP="00C06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Twisden</w:t>
            </w:r>
            <w:proofErr w:type="spellEnd"/>
            <w:r>
              <w:rPr>
                <w:rFonts w:ascii="Arial" w:hAnsi="Arial" w:cs="Arial"/>
              </w:rPr>
              <w:t xml:space="preserve"> Road </w:t>
            </w:r>
          </w:p>
          <w:p w:rsidR="00F4735B" w:rsidRDefault="00F4735B" w:rsidP="00C067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</w:t>
            </w:r>
            <w:r w:rsidRPr="00F4735B">
              <w:rPr>
                <w:rFonts w:ascii="Arial" w:hAnsi="Arial" w:cs="Arial"/>
              </w:rPr>
              <w:t xml:space="preserve"> </w:t>
            </w:r>
          </w:p>
          <w:p w:rsidR="00B55CFA" w:rsidRDefault="00F4735B" w:rsidP="00C06715">
            <w:pPr>
              <w:rPr>
                <w:rFonts w:ascii="Arial" w:hAnsi="Arial" w:cs="Arial"/>
                <w:sz w:val="24"/>
                <w:szCs w:val="24"/>
              </w:rPr>
            </w:pPr>
            <w:r w:rsidRPr="00F4735B">
              <w:rPr>
                <w:rFonts w:ascii="Arial" w:hAnsi="Arial" w:cs="Arial"/>
              </w:rPr>
              <w:t>NW5 1DN</w:t>
            </w:r>
          </w:p>
        </w:tc>
      </w:tr>
      <w:tr w:rsidR="00B55CFA" w:rsidTr="00C06715"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B55CFA" w:rsidRDefault="00B55CFA" w:rsidP="00B55CFA">
            <w:pPr>
              <w:pStyle w:val="Heading4"/>
              <w:ind w:left="0"/>
              <w:rPr>
                <w:rFonts w:ascii="Arial" w:hAnsi="Arial" w:cs="Arial"/>
                <w:color w:val="FFFFFF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Cs w:val="24"/>
                <w:highlight w:val="black"/>
              </w:rPr>
              <w:t>Proposal(s)</w:t>
            </w:r>
          </w:p>
        </w:tc>
      </w:tr>
      <w:tr w:rsidR="00B55CFA" w:rsidTr="00E561FD">
        <w:trPr>
          <w:trHeight w:val="1021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55CFA" w:rsidRDefault="00F4735B" w:rsidP="00B55CF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735B">
              <w:rPr>
                <w:rFonts w:ascii="Arial" w:hAnsi="Arial" w:cs="Arial"/>
              </w:rPr>
              <w:t>erection</w:t>
            </w:r>
            <w:proofErr w:type="gramEnd"/>
            <w:r w:rsidRPr="00F4735B">
              <w:rPr>
                <w:rFonts w:ascii="Arial" w:hAnsi="Arial" w:cs="Arial"/>
              </w:rPr>
              <w:t xml:space="preserve"> of a single storey rear infill extension to </w:t>
            </w:r>
            <w:proofErr w:type="spellStart"/>
            <w:r w:rsidRPr="00F4735B">
              <w:rPr>
                <w:rFonts w:ascii="Arial" w:hAnsi="Arial" w:cs="Arial"/>
              </w:rPr>
              <w:t>dwellnghouse</w:t>
            </w:r>
            <w:proofErr w:type="spellEnd"/>
            <w:r w:rsidRPr="00F4735B">
              <w:rPr>
                <w:rFonts w:ascii="Arial" w:hAnsi="Arial" w:cs="Arial"/>
              </w:rPr>
              <w:t>.</w:t>
            </w:r>
          </w:p>
        </w:tc>
      </w:tr>
      <w:tr w:rsidR="00B55CFA" w:rsidTr="00C06715">
        <w:trPr>
          <w:trHeight w:val="318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55CFA" w:rsidRDefault="00B55CFA" w:rsidP="00B55CFA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 xml:space="preserve">Representations </w:t>
            </w:r>
          </w:p>
          <w:p w:rsidR="00B55CFA" w:rsidRDefault="00B55CFA" w:rsidP="00B55CFA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</w:p>
        </w:tc>
      </w:tr>
      <w:tr w:rsidR="00B55CFA" w:rsidTr="00C06715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5CFA" w:rsidRPr="000F6AD7" w:rsidRDefault="00B55CFA" w:rsidP="00B55CFA">
            <w:pPr>
              <w:pStyle w:val="Heading2"/>
              <w:rPr>
                <w:rFonts w:cs="Arial"/>
                <w:color w:val="FFFFFF"/>
                <w:szCs w:val="24"/>
                <w:highlight w:val="darkBlue"/>
              </w:rPr>
            </w:pPr>
            <w:r>
              <w:rPr>
                <w:rFonts w:cs="Arial"/>
                <w:szCs w:val="24"/>
              </w:rPr>
              <w:t xml:space="preserve">Consultations: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notified</w:t>
            </w:r>
          </w:p>
          <w:p w:rsidR="00B55CFA" w:rsidRPr="000F6AD7" w:rsidRDefault="00B55CFA" w:rsidP="00B55CFA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Pr="000F6AD7" w:rsidRDefault="00B55CFA" w:rsidP="00B55CFA">
            <w:pPr>
              <w:rPr>
                <w:rFonts w:ascii="Arial" w:hAnsi="Arial" w:cs="Arial"/>
                <w:b/>
                <w:bCs/>
                <w:sz w:val="24"/>
                <w:szCs w:val="24"/>
                <w:highlight w:val="darkBlue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responses</w:t>
            </w:r>
          </w:p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</w:p>
          <w:p w:rsidR="00B55CFA" w:rsidRPr="000F6AD7" w:rsidRDefault="00B55CFA" w:rsidP="00B55CFA">
            <w:pPr>
              <w:rPr>
                <w:rFonts w:ascii="Arial" w:hAnsi="Arial" w:cs="Arial"/>
                <w:color w:val="FFFFFF"/>
                <w:sz w:val="24"/>
                <w:szCs w:val="24"/>
                <w:highlight w:val="darkBlu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A" w:rsidRDefault="00C06715" w:rsidP="00B55CF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B55CFA" w:rsidRDefault="00B55CFA" w:rsidP="00B55CFA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:rsidR="00B55CFA" w:rsidRDefault="00B55CFA" w:rsidP="00B55C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objections</w:t>
            </w:r>
          </w:p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comments</w:t>
            </w:r>
          </w:p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support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5CFA" w:rsidRDefault="00E74E63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55CFA" w:rsidRDefault="00E74E63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55CFA" w:rsidTr="00C06715">
        <w:trPr>
          <w:trHeight w:val="1425"/>
        </w:trPr>
        <w:tc>
          <w:tcPr>
            <w:tcW w:w="2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5CFA" w:rsidRDefault="00B55CFA" w:rsidP="00B55CFA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Summary of representations </w:t>
            </w:r>
          </w:p>
          <w:p w:rsidR="00B55CFA" w:rsidRDefault="00B55CFA" w:rsidP="00B55CFA">
            <w:pPr>
              <w:pStyle w:val="Heading2"/>
              <w:rPr>
                <w:rFonts w:cs="Arial"/>
                <w:szCs w:val="24"/>
              </w:rPr>
            </w:pPr>
          </w:p>
          <w:p w:rsidR="00B55CFA" w:rsidRDefault="00B55CFA" w:rsidP="00B55CFA">
            <w:pPr>
              <w:pStyle w:val="Heading2"/>
              <w:rPr>
                <w:rFonts w:cs="Arial"/>
                <w:szCs w:val="24"/>
              </w:rPr>
            </w:pPr>
          </w:p>
          <w:p w:rsidR="00B55CFA" w:rsidRDefault="00B55CFA" w:rsidP="00B55CFA">
            <w:pPr>
              <w:pStyle w:val="Heading2"/>
              <w:rPr>
                <w:rFonts w:cs="Arial"/>
                <w:szCs w:val="24"/>
              </w:rPr>
            </w:pPr>
          </w:p>
          <w:p w:rsidR="00B55CFA" w:rsidRDefault="00B55CFA" w:rsidP="00B55CFA">
            <w:pPr>
              <w:pStyle w:val="Heading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>
              <w:rPr>
                <w:rFonts w:cs="Arial"/>
                <w:i/>
                <w:szCs w:val="24"/>
              </w:rPr>
              <w:t>Officer response(s) in italics</w:t>
            </w:r>
            <w:r>
              <w:rPr>
                <w:rFonts w:cs="Arial"/>
                <w:szCs w:val="24"/>
              </w:rPr>
              <w:t>)</w:t>
            </w:r>
          </w:p>
          <w:p w:rsidR="00B55CFA" w:rsidRDefault="00B55CFA" w:rsidP="00B55CFA">
            <w:pPr>
              <w:rPr>
                <w:sz w:val="24"/>
                <w:szCs w:val="24"/>
              </w:rPr>
            </w:pPr>
          </w:p>
          <w:p w:rsidR="00B55CFA" w:rsidRDefault="00B55CFA" w:rsidP="00B55CF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D12" w:rsidRDefault="00A06D12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Twisden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Rd- no objection</w:t>
            </w:r>
          </w:p>
          <w:p w:rsidR="00A06D12" w:rsidRDefault="00A06D12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Dartmouth Park CAAC- no objection</w:t>
            </w:r>
          </w:p>
          <w:p w:rsidR="00B55CFA" w:rsidRDefault="00E561FD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No. </w:t>
            </w:r>
            <w:r w:rsidR="00F4735B">
              <w:rPr>
                <w:rFonts w:ascii="Arial" w:hAnsi="Arial" w:cs="Arial"/>
                <w:sz w:val="24"/>
                <w:szCs w:val="24"/>
              </w:rPr>
              <w:t>12a</w:t>
            </w:r>
            <w:r w:rsidR="00F4735B" w:rsidRPr="00F473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4735B" w:rsidRPr="00F4735B">
              <w:rPr>
                <w:rFonts w:ascii="Arial" w:hAnsi="Arial" w:cs="Arial"/>
                <w:sz w:val="24"/>
                <w:szCs w:val="24"/>
              </w:rPr>
              <w:t>Twisden</w:t>
            </w:r>
            <w:proofErr w:type="spellEnd"/>
            <w:r w:rsidR="00F4735B" w:rsidRPr="00F4735B">
              <w:rPr>
                <w:rFonts w:ascii="Arial" w:hAnsi="Arial" w:cs="Arial"/>
                <w:sz w:val="24"/>
                <w:szCs w:val="24"/>
              </w:rPr>
              <w:t xml:space="preserve"> Road </w:t>
            </w:r>
            <w:r w:rsidR="00A06D12">
              <w:rPr>
                <w:rFonts w:ascii="Arial" w:hAnsi="Arial" w:cs="Arial"/>
                <w:sz w:val="24"/>
                <w:szCs w:val="24"/>
              </w:rPr>
              <w:t>objects</w:t>
            </w:r>
            <w:bookmarkStart w:id="0" w:name="_GoBack"/>
            <w:bookmarkEnd w:id="0"/>
            <w:r w:rsidR="00B55CF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55CFA" w:rsidRDefault="00B55CFA" w:rsidP="00B55C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comments</w:t>
            </w:r>
            <w:r w:rsidR="00E7383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561FD" w:rsidRPr="00F4735B" w:rsidRDefault="00F4735B" w:rsidP="00E561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on outlook</w:t>
            </w:r>
          </w:p>
          <w:p w:rsidR="00F4735B" w:rsidRPr="00F4735B" w:rsidRDefault="00F4735B" w:rsidP="00E561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on light</w:t>
            </w:r>
          </w:p>
          <w:p w:rsidR="00F4735B" w:rsidRPr="00E561FD" w:rsidRDefault="00F4735B" w:rsidP="00E561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 of clarity on what the proposed development entails</w:t>
            </w:r>
          </w:p>
          <w:p w:rsidR="00E561FD" w:rsidRPr="00E561FD" w:rsidRDefault="00E561FD" w:rsidP="00E561FD">
            <w:pPr>
              <w:rPr>
                <w:rFonts w:ascii="Arial" w:hAnsi="Arial" w:cs="Arial"/>
                <w:sz w:val="24"/>
                <w:szCs w:val="24"/>
              </w:rPr>
            </w:pPr>
            <w:r w:rsidRPr="00E561FD">
              <w:rPr>
                <w:rFonts w:ascii="Arial" w:hAnsi="Arial" w:cs="Arial"/>
                <w:sz w:val="24"/>
                <w:szCs w:val="24"/>
              </w:rPr>
              <w:t>Officer Response</w:t>
            </w:r>
          </w:p>
          <w:p w:rsidR="00F4735B" w:rsidRDefault="00F4735B" w:rsidP="00E561FD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It 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</w:rPr>
              <w:t>is considered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</w:rPr>
              <w:t xml:space="preserve"> that the revised plans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which reduce the eaves height of the proposed extension 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t xml:space="preserve">to 2.5m </w:t>
            </w:r>
            <w:r>
              <w:rPr>
                <w:rFonts w:ascii="Arial" w:hAnsi="Arial" w:cs="Arial"/>
                <w:i/>
                <w:sz w:val="24"/>
                <w:szCs w:val="24"/>
              </w:rPr>
              <w:t>alo</w:t>
            </w:r>
            <w:r w:rsidR="008D5A2E">
              <w:rPr>
                <w:rFonts w:ascii="Arial" w:hAnsi="Arial" w:cs="Arial"/>
                <w:i/>
                <w:sz w:val="24"/>
                <w:szCs w:val="24"/>
              </w:rPr>
              <w:t xml:space="preserve">ng the shared boundary with No. </w:t>
            </w:r>
            <w:r>
              <w:rPr>
                <w:rFonts w:ascii="Arial" w:hAnsi="Arial" w:cs="Arial"/>
                <w:i/>
                <w:sz w:val="24"/>
                <w:szCs w:val="24"/>
              </w:rPr>
              <w:t>12A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would 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t>not overly harm receipt of outlook and daylight to t</w:t>
            </w:r>
            <w:r>
              <w:rPr>
                <w:rFonts w:ascii="Arial" w:hAnsi="Arial" w:cs="Arial"/>
                <w:i/>
                <w:sz w:val="24"/>
                <w:szCs w:val="24"/>
              </w:rPr>
              <w:t>his adjoining neighbour.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gramStart"/>
            <w:r w:rsidR="00BB5FA8">
              <w:rPr>
                <w:rFonts w:ascii="Arial" w:hAnsi="Arial" w:cs="Arial"/>
                <w:i/>
                <w:sz w:val="24"/>
                <w:szCs w:val="24"/>
              </w:rPr>
              <w:t xml:space="preserve">It </w:t>
            </w:r>
            <w:r w:rsidR="00BB5FA8">
              <w:rPr>
                <w:rFonts w:ascii="Arial" w:hAnsi="Arial" w:cs="Arial"/>
                <w:i/>
                <w:sz w:val="24"/>
                <w:szCs w:val="24"/>
              </w:rPr>
              <w:lastRenderedPageBreak/>
              <w:t>is a typical side infill extension that</w:t>
            </w:r>
            <w:proofErr w:type="gramEnd"/>
            <w:r w:rsidR="00BB5FA8">
              <w:rPr>
                <w:rFonts w:ascii="Arial" w:hAnsi="Arial" w:cs="Arial"/>
                <w:i/>
                <w:sz w:val="24"/>
                <w:szCs w:val="24"/>
              </w:rPr>
              <w:t xml:space="preserve"> has been approved on other similar properties.  </w:t>
            </w:r>
          </w:p>
          <w:p w:rsidR="00B55CFA" w:rsidRPr="00E561FD" w:rsidRDefault="00F4735B" w:rsidP="00E561FD">
            <w:pPr>
              <w:rPr>
                <w:i/>
              </w:rPr>
            </w:pPr>
            <w:r w:rsidRPr="00BF511A">
              <w:rPr>
                <w:rFonts w:ascii="Arial" w:eastAsia="Arial" w:hAnsi="Arial" w:cs="Arial"/>
                <w:i/>
                <w:sz w:val="24"/>
                <w:szCs w:val="24"/>
              </w:rPr>
              <w:t xml:space="preserve">It </w:t>
            </w:r>
            <w:proofErr w:type="gramStart"/>
            <w:r w:rsidRPr="00BF511A">
              <w:rPr>
                <w:rFonts w:ascii="Arial" w:eastAsia="Arial" w:hAnsi="Arial" w:cs="Arial"/>
                <w:i/>
                <w:sz w:val="24"/>
                <w:szCs w:val="24"/>
              </w:rPr>
              <w:t>is considered</w:t>
            </w:r>
            <w:proofErr w:type="gramEnd"/>
            <w:r w:rsidRPr="00BF511A">
              <w:rPr>
                <w:rFonts w:ascii="Arial" w:eastAsia="Arial" w:hAnsi="Arial" w:cs="Arial"/>
                <w:i/>
                <w:sz w:val="24"/>
                <w:szCs w:val="24"/>
              </w:rPr>
              <w:t xml:space="preserve"> that sufficient information was submitted with the application to clearly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illustrate</w:t>
            </w:r>
            <w:r w:rsidRPr="00BF511A">
              <w:rPr>
                <w:rFonts w:ascii="Arial" w:eastAsia="Arial" w:hAnsi="Arial" w:cs="Arial"/>
                <w:i/>
                <w:sz w:val="24"/>
                <w:szCs w:val="24"/>
              </w:rPr>
              <w:t xml:space="preserve"> the proposed development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and allow for the registration of the application</w:t>
            </w:r>
            <w:r w:rsidRPr="00BF511A">
              <w:rPr>
                <w:rFonts w:ascii="Arial" w:eastAsia="Arial" w:hAnsi="Arial" w:cs="Arial"/>
                <w:i/>
                <w:sz w:val="24"/>
                <w:szCs w:val="24"/>
              </w:rPr>
              <w:t>.</w:t>
            </w:r>
          </w:p>
        </w:tc>
      </w:tr>
      <w:tr w:rsidR="00B55CFA" w:rsidTr="00E561FD">
        <w:trPr>
          <w:trHeight w:val="64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B55CFA" w:rsidRDefault="00B55CFA" w:rsidP="00B55CFA">
            <w:pPr>
              <w:pStyle w:val="Heading2"/>
              <w:rPr>
                <w:rFonts w:cs="Arial"/>
                <w:color w:val="FFFFFF"/>
                <w:szCs w:val="24"/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lastRenderedPageBreak/>
              <w:t xml:space="preserve">Recommendation:- </w:t>
            </w:r>
          </w:p>
          <w:p w:rsidR="00B55CFA" w:rsidRDefault="00B55CFA" w:rsidP="00B55CFA">
            <w:pPr>
              <w:pStyle w:val="Heading2"/>
              <w:rPr>
                <w:highlight w:val="black"/>
              </w:rPr>
            </w:pPr>
            <w:r>
              <w:rPr>
                <w:rFonts w:cs="Arial"/>
                <w:color w:val="FFFFFF"/>
                <w:szCs w:val="24"/>
                <w:highlight w:val="black"/>
              </w:rPr>
              <w:t>Grant planning permission</w:t>
            </w:r>
            <w:r>
              <w:rPr>
                <w:highlight w:val="black"/>
              </w:rPr>
              <w:t xml:space="preserve"> </w:t>
            </w:r>
          </w:p>
        </w:tc>
      </w:tr>
    </w:tbl>
    <w:p w:rsidR="00B55CFA" w:rsidRDefault="00B55CFA" w:rsidP="00B55CFA">
      <w:pPr>
        <w:rPr>
          <w:rFonts w:ascii="Arial" w:hAnsi="Arial" w:cs="Arial"/>
          <w:sz w:val="24"/>
          <w:szCs w:val="24"/>
        </w:rPr>
      </w:pPr>
    </w:p>
    <w:p w:rsidR="006B3F35" w:rsidRPr="00B55CFA" w:rsidRDefault="006B3F35" w:rsidP="00B55CFA"/>
    <w:sectPr w:rsidR="006B3F35" w:rsidRPr="00B55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E21"/>
    <w:multiLevelType w:val="hybridMultilevel"/>
    <w:tmpl w:val="ABFC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2BB9"/>
    <w:multiLevelType w:val="hybridMultilevel"/>
    <w:tmpl w:val="1E76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D1"/>
    <w:rsid w:val="000A7861"/>
    <w:rsid w:val="00600F79"/>
    <w:rsid w:val="006B3F35"/>
    <w:rsid w:val="00891BD1"/>
    <w:rsid w:val="008D5A2E"/>
    <w:rsid w:val="009716A0"/>
    <w:rsid w:val="00A03FBD"/>
    <w:rsid w:val="00A06D12"/>
    <w:rsid w:val="00B55CFA"/>
    <w:rsid w:val="00B9141C"/>
    <w:rsid w:val="00BB5FA8"/>
    <w:rsid w:val="00C06715"/>
    <w:rsid w:val="00E561FD"/>
    <w:rsid w:val="00E650F1"/>
    <w:rsid w:val="00E668A8"/>
    <w:rsid w:val="00E73837"/>
    <w:rsid w:val="00E74E63"/>
    <w:rsid w:val="00F235F0"/>
    <w:rsid w:val="00F4735B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6BFD"/>
  <w15:docId w15:val="{50BBE170-D1C5-4156-9BF2-B40EB020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D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891BD1"/>
    <w:pPr>
      <w:keepNext/>
      <w:spacing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91BD1"/>
    <w:pPr>
      <w:keepNext/>
      <w:spacing w:after="240" w:line="240" w:lineRule="auto"/>
      <w:ind w:left="851"/>
      <w:outlineLvl w:val="3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BD1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891BD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891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1F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5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F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F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FA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1039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Evelyn</dc:creator>
  <cp:keywords/>
  <dc:description/>
  <cp:lastModifiedBy>Thuaire, Charles</cp:lastModifiedBy>
  <cp:revision>4</cp:revision>
  <dcterms:created xsi:type="dcterms:W3CDTF">2017-10-13T18:00:00Z</dcterms:created>
  <dcterms:modified xsi:type="dcterms:W3CDTF">2017-10-13T18:27:00Z</dcterms:modified>
</cp:coreProperties>
</file>