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D" w:rsidRDefault="007A6B99" w:rsidP="007A6B99">
      <w:pPr>
        <w:jc w:val="center"/>
        <w:rPr>
          <w:b/>
        </w:rPr>
      </w:pPr>
      <w:r w:rsidRPr="007A6B99">
        <w:rPr>
          <w:b/>
        </w:rPr>
        <w:t>Job Capsule Supplementary Information</w:t>
      </w:r>
      <w:r w:rsidR="00A41766">
        <w:rPr>
          <w:b/>
        </w:rPr>
        <w:t xml:space="preserve">: </w:t>
      </w:r>
      <w:r w:rsidR="00EB732F">
        <w:rPr>
          <w:b/>
        </w:rPr>
        <w:t>Head of Rege</w:t>
      </w:r>
      <w:r w:rsidR="00B3411C">
        <w:rPr>
          <w:b/>
        </w:rPr>
        <w:t>neration</w:t>
      </w:r>
      <w:r w:rsidR="00A41766">
        <w:rPr>
          <w:b/>
        </w:rPr>
        <w:t xml:space="preserve"> and Development</w:t>
      </w:r>
    </w:p>
    <w:p w:rsidR="007A6B99" w:rsidRDefault="007A6B99" w:rsidP="007A6B99">
      <w:pPr>
        <w:jc w:val="center"/>
        <w:rPr>
          <w:b/>
        </w:rPr>
      </w:pPr>
    </w:p>
    <w:p w:rsidR="001362D5" w:rsidRDefault="007A6B99" w:rsidP="007A6B99">
      <w:pPr>
        <w:rPr>
          <w:b/>
        </w:rPr>
      </w:pPr>
      <w:r>
        <w:rPr>
          <w:b/>
        </w:rPr>
        <w:t xml:space="preserve">This supplementary information </w:t>
      </w:r>
      <w:r w:rsidR="00BE1BA8">
        <w:rPr>
          <w:b/>
        </w:rPr>
        <w:t xml:space="preserve">for </w:t>
      </w:r>
      <w:r w:rsidR="00A41766">
        <w:rPr>
          <w:i/>
        </w:rPr>
        <w:t>Head of Regeneration and Development</w:t>
      </w:r>
      <w:r w:rsidR="00BE1BA8">
        <w:rPr>
          <w:b/>
        </w:rPr>
        <w:t xml:space="preserve"> </w:t>
      </w:r>
      <w:r>
        <w:rPr>
          <w:b/>
        </w:rPr>
        <w:t xml:space="preserve">is for guidance and must be used in conjunction with the Job Capsule for </w:t>
      </w:r>
    </w:p>
    <w:p w:rsidR="001362D5" w:rsidRDefault="007A6B99" w:rsidP="007A6B99">
      <w:pPr>
        <w:rPr>
          <w:b/>
        </w:rPr>
      </w:pPr>
      <w:r>
        <w:rPr>
          <w:b/>
        </w:rPr>
        <w:t xml:space="preserve">Job Family………….. Job </w:t>
      </w:r>
      <w:r w:rsidR="001362D5">
        <w:rPr>
          <w:b/>
        </w:rPr>
        <w:t>Zone ……</w:t>
      </w:r>
      <w:r w:rsidR="003C4194">
        <w:rPr>
          <w:b/>
        </w:rPr>
        <w:t>2</w:t>
      </w:r>
      <w:r w:rsidR="001362D5">
        <w:rPr>
          <w:b/>
        </w:rPr>
        <w:t>………….  L</w:t>
      </w:r>
      <w:r>
        <w:rPr>
          <w:b/>
        </w:rPr>
        <w:t>evel……</w:t>
      </w:r>
      <w:r w:rsidR="003C4194">
        <w:rPr>
          <w:b/>
        </w:rPr>
        <w:t>6</w:t>
      </w:r>
      <w:r>
        <w:rPr>
          <w:b/>
        </w:rPr>
        <w:t xml:space="preserve">……… </w:t>
      </w:r>
    </w:p>
    <w:p w:rsidR="001362D5" w:rsidRDefault="001362D5" w:rsidP="007A6B99">
      <w:pPr>
        <w:rPr>
          <w:b/>
        </w:rPr>
      </w:pPr>
    </w:p>
    <w:p w:rsidR="007A6B99" w:rsidRPr="00962233" w:rsidRDefault="001362D5" w:rsidP="007A6B99">
      <w:pPr>
        <w:rPr>
          <w:b/>
          <w:color w:val="FF0000"/>
        </w:rPr>
      </w:pPr>
      <w:r w:rsidRPr="00962233">
        <w:rPr>
          <w:b/>
          <w:color w:val="FF0000"/>
        </w:rPr>
        <w:t>I</w:t>
      </w:r>
      <w:r w:rsidR="007A6B99" w:rsidRPr="00962233">
        <w:rPr>
          <w:b/>
          <w:color w:val="FF0000"/>
        </w:rPr>
        <w:t xml:space="preserve">t is for use during recruitment, setting objectives as part of the performance management process and other </w:t>
      </w:r>
      <w:r w:rsidR="00287409" w:rsidRPr="00962233">
        <w:rPr>
          <w:b/>
          <w:color w:val="FF0000"/>
        </w:rPr>
        <w:t xml:space="preserve">people management </w:t>
      </w:r>
      <w:r w:rsidR="007A6B99" w:rsidRPr="00962233">
        <w:rPr>
          <w:b/>
          <w:color w:val="FF0000"/>
        </w:rPr>
        <w:t>purposes.  It does not form part of an em</w:t>
      </w:r>
      <w:r w:rsidRPr="00962233">
        <w:rPr>
          <w:b/>
          <w:color w:val="FF0000"/>
        </w:rPr>
        <w:t>ployee’s contract of employment.</w:t>
      </w:r>
    </w:p>
    <w:p w:rsidR="00EB687D" w:rsidRDefault="00EB687D" w:rsidP="00EB687D"/>
    <w:p w:rsidR="00EB687D" w:rsidRPr="00C97F42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:rsidR="00EB687D" w:rsidRPr="00C97F42" w:rsidRDefault="00EB687D" w:rsidP="00EB687D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</w:t>
      </w:r>
      <w:r w:rsidR="007A6B99">
        <w:rPr>
          <w:i/>
          <w:sz w:val="18"/>
          <w:szCs w:val="18"/>
        </w:rPr>
        <w:t>one or two sentences that describe what this job is about</w:t>
      </w:r>
      <w:r w:rsidRPr="00C97F42">
        <w:rPr>
          <w:i/>
          <w:sz w:val="18"/>
          <w:szCs w:val="18"/>
        </w:rPr>
        <w:t>)</w:t>
      </w:r>
    </w:p>
    <w:p w:rsidR="003471D4" w:rsidRDefault="003471D4" w:rsidP="00EB687D"/>
    <w:p w:rsidR="003471D4" w:rsidRPr="003471D4" w:rsidRDefault="003471D4" w:rsidP="0085090F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 xml:space="preserve">The post holder will be responsible for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leading the </w:t>
      </w:r>
      <w:r w:rsidR="008C257A">
        <w:rPr>
          <w:rFonts w:eastAsiaTheme="minorHAnsi" w:cs="Arial"/>
          <w:sz w:val="23"/>
          <w:szCs w:val="23"/>
          <w:lang w:eastAsia="en-US"/>
        </w:rPr>
        <w:t xml:space="preserve">development and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construction phases of Community Investment projects </w:t>
      </w:r>
      <w:r w:rsidRPr="003471D4">
        <w:rPr>
          <w:rFonts w:eastAsiaTheme="minorHAnsi" w:cs="Arial"/>
          <w:sz w:val="23"/>
          <w:szCs w:val="23"/>
          <w:lang w:eastAsia="en-US"/>
        </w:rPr>
        <w:t>working in partnership with ward councillors, tenants, residents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and other stakeholders to develop shared solutions that regenerate estates and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communities in line with the Camden Plan, 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deliver capital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sales 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receipts to fund the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delivery of new Council homes and community facilities and investment in Council’s existing housing stock. </w:t>
      </w:r>
    </w:p>
    <w:p w:rsidR="003471D4" w:rsidRDefault="003471D4" w:rsidP="00EB687D"/>
    <w:p w:rsidR="00EB687D" w:rsidRDefault="00EB687D" w:rsidP="00EB687D"/>
    <w:p w:rsidR="00EB687D" w:rsidRPr="00C97F42" w:rsidRDefault="00287409" w:rsidP="00EB687D">
      <w:pPr>
        <w:rPr>
          <w:b/>
        </w:rPr>
      </w:pPr>
      <w:r>
        <w:rPr>
          <w:b/>
        </w:rPr>
        <w:t>Example</w:t>
      </w:r>
      <w:r w:rsidR="00EB687D" w:rsidRPr="00C97F42">
        <w:rPr>
          <w:b/>
        </w:rPr>
        <w:t xml:space="preserve"> </w:t>
      </w:r>
      <w:r w:rsidR="007A6B99">
        <w:rPr>
          <w:b/>
        </w:rPr>
        <w:t>outcomes or objectives that this role will deliver</w:t>
      </w:r>
      <w:r w:rsidR="00EB687D" w:rsidRPr="00C97F42">
        <w:rPr>
          <w:b/>
        </w:rPr>
        <w:t>:</w:t>
      </w:r>
    </w:p>
    <w:p w:rsidR="00EB687D" w:rsidRPr="00C97F42" w:rsidRDefault="00EB687D" w:rsidP="00EB687D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</w:t>
      </w:r>
      <w:r w:rsidR="007A6B99">
        <w:rPr>
          <w:i/>
          <w:sz w:val="18"/>
          <w:szCs w:val="18"/>
        </w:rPr>
        <w:t>Approx.</w:t>
      </w:r>
      <w:r w:rsidRPr="00C97F42">
        <w:rPr>
          <w:i/>
          <w:sz w:val="18"/>
          <w:szCs w:val="18"/>
        </w:rPr>
        <w:t xml:space="preserve"> </w:t>
      </w:r>
      <w:r w:rsidR="007A6B99" w:rsidRPr="00C97F42">
        <w:rPr>
          <w:i/>
          <w:sz w:val="18"/>
          <w:szCs w:val="18"/>
        </w:rPr>
        <w:t xml:space="preserve">six </w:t>
      </w:r>
      <w:r w:rsidR="007A6B99">
        <w:rPr>
          <w:i/>
          <w:sz w:val="18"/>
          <w:szCs w:val="18"/>
        </w:rPr>
        <w:t xml:space="preserve">to eight </w:t>
      </w:r>
      <w:r w:rsidRPr="00C97F42">
        <w:rPr>
          <w:i/>
          <w:sz w:val="18"/>
          <w:szCs w:val="18"/>
        </w:rPr>
        <w:t>key statements)</w:t>
      </w:r>
    </w:p>
    <w:p w:rsidR="00EB687D" w:rsidRDefault="00EB687D" w:rsidP="00D2411E"/>
    <w:p w:rsidR="0085090F" w:rsidRDefault="003471D4" w:rsidP="00CF50CE">
      <w:pPr>
        <w:autoSpaceDE w:val="0"/>
        <w:autoSpaceDN w:val="0"/>
        <w:adjustRightInd w:val="0"/>
        <w:spacing w:after="200" w:line="276" w:lineRule="auto"/>
        <w:contextualSpacing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 xml:space="preserve">To deliver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the </w:t>
      </w:r>
      <w:r w:rsidR="008C257A">
        <w:rPr>
          <w:rFonts w:eastAsiaTheme="minorHAnsi" w:cs="Arial"/>
          <w:sz w:val="23"/>
          <w:szCs w:val="23"/>
          <w:lang w:eastAsia="en-US"/>
        </w:rPr>
        <w:t xml:space="preserve">development and 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construction phases of </w:t>
      </w:r>
      <w:r w:rsidRPr="003471D4">
        <w:rPr>
          <w:rFonts w:eastAsiaTheme="minorHAnsi" w:cs="Arial"/>
          <w:sz w:val="23"/>
          <w:szCs w:val="23"/>
          <w:lang w:eastAsia="en-US"/>
        </w:rPr>
        <w:t>a programme of estate regeneration projects leading to the regeneration of the physical</w:t>
      </w:r>
      <w:r w:rsidR="00CF50CE" w:rsidRP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and social fabric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 and meeting the capital receipts sales targe</w:t>
      </w:r>
      <w:r w:rsidR="008C257A">
        <w:rPr>
          <w:rFonts w:eastAsiaTheme="minorHAnsi" w:cs="Arial"/>
          <w:sz w:val="23"/>
          <w:szCs w:val="23"/>
          <w:lang w:eastAsia="en-US"/>
        </w:rPr>
        <w:t xml:space="preserve">ts required to support the CIP </w:t>
      </w:r>
      <w:r w:rsidR="0085090F">
        <w:rPr>
          <w:rFonts w:eastAsiaTheme="minorHAnsi" w:cs="Arial"/>
          <w:sz w:val="23"/>
          <w:szCs w:val="23"/>
          <w:lang w:eastAsia="en-US"/>
        </w:rPr>
        <w:t>programme</w:t>
      </w:r>
      <w:r w:rsidR="00D2411E">
        <w:rPr>
          <w:rFonts w:eastAsiaTheme="minorHAnsi" w:cs="Arial"/>
          <w:sz w:val="23"/>
          <w:szCs w:val="23"/>
          <w:lang w:eastAsia="en-US"/>
        </w:rPr>
        <w:t>.</w:t>
      </w:r>
      <w:r w:rsidR="0085090F">
        <w:rPr>
          <w:rFonts w:eastAsiaTheme="minorHAnsi" w:cs="Arial"/>
          <w:sz w:val="23"/>
          <w:szCs w:val="23"/>
          <w:lang w:eastAsia="en-US"/>
        </w:rPr>
        <w:t xml:space="preserve">  </w:t>
      </w:r>
    </w:p>
    <w:p w:rsidR="003471D4" w:rsidRPr="003471D4" w:rsidRDefault="003471D4" w:rsidP="00CF50CE">
      <w:pPr>
        <w:autoSpaceDE w:val="0"/>
        <w:autoSpaceDN w:val="0"/>
        <w:adjustRightInd w:val="0"/>
        <w:spacing w:after="200" w:line="276" w:lineRule="auto"/>
        <w:contextualSpacing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>.</w:t>
      </w:r>
    </w:p>
    <w:p w:rsidR="003471D4" w:rsidRDefault="00D2411E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>
        <w:rPr>
          <w:rFonts w:eastAsiaTheme="minorHAnsi" w:cs="Arial"/>
          <w:sz w:val="23"/>
          <w:szCs w:val="23"/>
          <w:lang w:eastAsia="en-US"/>
        </w:rPr>
        <w:t xml:space="preserve">To ensure that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regeneration pro</w:t>
      </w:r>
      <w:r>
        <w:rPr>
          <w:rFonts w:eastAsiaTheme="minorHAnsi" w:cs="Arial"/>
          <w:sz w:val="23"/>
          <w:szCs w:val="23"/>
          <w:lang w:eastAsia="en-US"/>
        </w:rPr>
        <w:t xml:space="preserve">jects are delivered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in partnership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with ward councillors, tenants, residents</w:t>
      </w:r>
      <w:r w:rsidR="008C257A">
        <w:rPr>
          <w:rFonts w:eastAsiaTheme="minorHAnsi" w:cs="Arial"/>
          <w:sz w:val="23"/>
          <w:szCs w:val="23"/>
          <w:lang w:eastAsia="en-US"/>
        </w:rPr>
        <w:t>, School Governing bodies,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 xml:space="preserve"> and other stakeholders, utilising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innovative and leading edge approaches to community engagement and coor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dinating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solutions that command wide-s</w:t>
      </w:r>
      <w:r w:rsidR="00CF50CE">
        <w:rPr>
          <w:rFonts w:eastAsiaTheme="minorHAnsi" w:cs="Arial"/>
          <w:sz w:val="23"/>
          <w:szCs w:val="23"/>
          <w:lang w:eastAsia="en-US"/>
        </w:rPr>
        <w:t>p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 xml:space="preserve">read </w:t>
      </w:r>
      <w:r w:rsidR="00CF50CE">
        <w:rPr>
          <w:rFonts w:eastAsiaTheme="minorHAnsi" w:cs="Arial"/>
          <w:sz w:val="23"/>
          <w:szCs w:val="23"/>
          <w:lang w:eastAsia="en-US"/>
        </w:rPr>
        <w:t>support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.</w:t>
      </w:r>
    </w:p>
    <w:p w:rsidR="00CF50CE" w:rsidRPr="003471D4" w:rsidRDefault="00CF50CE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Pr="003471D4" w:rsidRDefault="00D2411E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>
        <w:rPr>
          <w:rFonts w:eastAsiaTheme="minorHAnsi" w:cs="Arial"/>
          <w:sz w:val="23"/>
          <w:szCs w:val="23"/>
          <w:lang w:eastAsia="en-US"/>
        </w:rPr>
        <w:t xml:space="preserve">To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 xml:space="preserve">deliver the </w:t>
      </w:r>
      <w:r>
        <w:rPr>
          <w:rFonts w:eastAsiaTheme="minorHAnsi" w:cs="Arial"/>
          <w:sz w:val="23"/>
          <w:szCs w:val="23"/>
          <w:lang w:eastAsia="en-US"/>
        </w:rPr>
        <w:t xml:space="preserve">construction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programme to regenerate the Council's long-term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3471D4" w:rsidRPr="003471D4">
        <w:rPr>
          <w:rFonts w:eastAsiaTheme="minorHAnsi" w:cs="Arial"/>
          <w:sz w:val="23"/>
          <w:szCs w:val="23"/>
          <w:lang w:eastAsia="en-US"/>
        </w:rPr>
        <w:t>care facilities, as part of the Long-term Care Strategy.</w:t>
      </w:r>
    </w:p>
    <w:p w:rsidR="00CF50CE" w:rsidRDefault="00CF50CE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Default="003471D4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 xml:space="preserve">To </w:t>
      </w:r>
      <w:r w:rsidR="008C257A">
        <w:rPr>
          <w:rFonts w:eastAsiaTheme="minorHAnsi" w:cs="Arial"/>
          <w:sz w:val="23"/>
          <w:szCs w:val="23"/>
          <w:lang w:eastAsia="en-US"/>
        </w:rPr>
        <w:t xml:space="preserve">ensure that the </w:t>
      </w:r>
      <w:r w:rsidR="00D2411E">
        <w:rPr>
          <w:rFonts w:eastAsiaTheme="minorHAnsi" w:cs="Arial"/>
          <w:sz w:val="23"/>
          <w:szCs w:val="23"/>
          <w:lang w:eastAsia="en-US"/>
        </w:rPr>
        <w:t xml:space="preserve">CIP construction programme delivers best practice standards </w:t>
      </w:r>
      <w:r w:rsidRPr="003471D4">
        <w:rPr>
          <w:rFonts w:eastAsiaTheme="minorHAnsi" w:cs="Arial"/>
          <w:sz w:val="23"/>
          <w:szCs w:val="23"/>
          <w:lang w:eastAsia="en-US"/>
        </w:rPr>
        <w:t>in the reduction of carbon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emissions and promoting sustainability.</w:t>
      </w:r>
    </w:p>
    <w:p w:rsidR="00D2411E" w:rsidRDefault="00D2411E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D2411E" w:rsidRDefault="00D2411E" w:rsidP="00D2411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>
        <w:rPr>
          <w:rFonts w:eastAsiaTheme="minorHAnsi" w:cs="Arial"/>
          <w:sz w:val="23"/>
          <w:szCs w:val="23"/>
          <w:lang w:eastAsia="en-US"/>
        </w:rPr>
        <w:t>To ensure that contract administration, supervision and construction project management  processes delivers projects to time, cost and quality targets and meets business case requirements</w:t>
      </w:r>
    </w:p>
    <w:p w:rsidR="00D2411E" w:rsidRDefault="00D2411E" w:rsidP="00D2411E">
      <w:pPr>
        <w:pStyle w:val="ListParagraph"/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D2411E" w:rsidRDefault="00D2411E" w:rsidP="00D2411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>
        <w:rPr>
          <w:rFonts w:eastAsiaTheme="minorHAnsi" w:cs="Arial"/>
          <w:sz w:val="23"/>
          <w:szCs w:val="23"/>
          <w:lang w:eastAsia="en-US"/>
        </w:rPr>
        <w:t xml:space="preserve">To ensure that high quality construction standards are maintained during the delivery of new homes and that on-going management and maintenance costs are minimised and oversee the </w:t>
      </w:r>
      <w:r w:rsidR="00272781">
        <w:rPr>
          <w:rFonts w:eastAsiaTheme="minorHAnsi" w:cs="Arial"/>
          <w:sz w:val="23"/>
          <w:szCs w:val="23"/>
          <w:lang w:eastAsia="en-US"/>
        </w:rPr>
        <w:t>incorporation of new homes into the Council’s Repairs and Maintenance systems.</w:t>
      </w:r>
    </w:p>
    <w:p w:rsidR="00D2411E" w:rsidRPr="00D2411E" w:rsidRDefault="00D2411E" w:rsidP="00D2411E">
      <w:pPr>
        <w:pStyle w:val="ListParagraph"/>
        <w:rPr>
          <w:rFonts w:eastAsiaTheme="minorHAnsi" w:cs="Arial"/>
          <w:sz w:val="23"/>
          <w:szCs w:val="23"/>
          <w:lang w:eastAsia="en-US"/>
        </w:rPr>
      </w:pPr>
    </w:p>
    <w:p w:rsidR="00D2411E" w:rsidRPr="00D2411E" w:rsidRDefault="00D2411E" w:rsidP="00D2411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>
        <w:rPr>
          <w:rFonts w:eastAsiaTheme="minorHAnsi" w:cs="Arial"/>
          <w:sz w:val="23"/>
          <w:szCs w:val="23"/>
          <w:lang w:eastAsia="en-US"/>
        </w:rPr>
        <w:t>To ensure that community benefits, local employment and training opportunities are maximised during the delivery of projects.</w:t>
      </w:r>
    </w:p>
    <w:p w:rsidR="00CF50CE" w:rsidRPr="003471D4" w:rsidRDefault="00CF50CE" w:rsidP="00CF50CE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Default="003471D4" w:rsidP="00272781">
      <w:pPr>
        <w:pStyle w:val="ListParagraph"/>
      </w:pPr>
    </w:p>
    <w:p w:rsidR="00EB687D" w:rsidRDefault="00EB687D" w:rsidP="00EB687D"/>
    <w:p w:rsidR="00EB687D" w:rsidRDefault="00287409" w:rsidP="00EB687D">
      <w:r w:rsidRPr="00287409">
        <w:rPr>
          <w:b/>
        </w:rPr>
        <w:t>People Management Responsibilities:</w:t>
      </w:r>
    </w:p>
    <w:p w:rsidR="00287409" w:rsidRDefault="00287409" w:rsidP="00EB687D">
      <w:pPr>
        <w:rPr>
          <w:i/>
          <w:sz w:val="18"/>
          <w:szCs w:val="18"/>
        </w:rPr>
      </w:pPr>
      <w:r w:rsidRPr="00287409">
        <w:rPr>
          <w:i/>
          <w:sz w:val="18"/>
          <w:szCs w:val="18"/>
        </w:rPr>
        <w:t>(Number of reports, nature of management responsibility)</w:t>
      </w:r>
    </w:p>
    <w:p w:rsidR="00287409" w:rsidRDefault="00287409" w:rsidP="00EB687D">
      <w:pPr>
        <w:rPr>
          <w:i/>
          <w:sz w:val="18"/>
          <w:szCs w:val="18"/>
        </w:rPr>
      </w:pP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 xml:space="preserve">The post holder reports directly to the Director </w:t>
      </w:r>
      <w:r w:rsidR="008C257A">
        <w:rPr>
          <w:rFonts w:eastAsiaTheme="minorHAnsi" w:cs="Arial"/>
          <w:sz w:val="23"/>
          <w:szCs w:val="23"/>
          <w:lang w:eastAsia="en-US"/>
        </w:rPr>
        <w:t>of Development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 and is required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2242F1">
        <w:rPr>
          <w:rFonts w:eastAsiaTheme="minorHAnsi" w:cs="Arial"/>
          <w:sz w:val="23"/>
          <w:szCs w:val="23"/>
          <w:lang w:eastAsia="en-US"/>
        </w:rPr>
        <w:t xml:space="preserve">to deputise </w:t>
      </w:r>
      <w:r w:rsidRPr="003471D4">
        <w:rPr>
          <w:rFonts w:eastAsiaTheme="minorHAnsi" w:cs="Arial"/>
          <w:sz w:val="23"/>
          <w:szCs w:val="23"/>
          <w:lang w:eastAsia="en-US"/>
        </w:rPr>
        <w:t>on occasion.</w:t>
      </w:r>
    </w:p>
    <w:p w:rsid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>The post holder has responsibility for day-to-day management of a team of</w:t>
      </w:r>
      <w:r w:rsidR="002242F1">
        <w:rPr>
          <w:rFonts w:eastAsiaTheme="minorHAnsi" w:cs="Arial"/>
          <w:sz w:val="23"/>
          <w:szCs w:val="23"/>
          <w:lang w:eastAsia="en-US"/>
        </w:rPr>
        <w:t xml:space="preserve"> staff and consultants which will reflect the complexity and value of the CIP programme which is c.£</w:t>
      </w:r>
      <w:r w:rsidR="008C257A">
        <w:rPr>
          <w:rFonts w:eastAsiaTheme="minorHAnsi" w:cs="Arial"/>
          <w:sz w:val="23"/>
          <w:szCs w:val="23"/>
          <w:lang w:eastAsia="en-US"/>
        </w:rPr>
        <w:t>1bn</w:t>
      </w:r>
      <w:r w:rsidR="002242F1">
        <w:rPr>
          <w:rFonts w:eastAsiaTheme="minorHAnsi" w:cs="Arial"/>
          <w:sz w:val="23"/>
          <w:szCs w:val="23"/>
          <w:lang w:eastAsia="en-US"/>
        </w:rPr>
        <w:t xml:space="preserve"> </w:t>
      </w:r>
    </w:p>
    <w:p w:rsidR="00287409" w:rsidRDefault="00287409" w:rsidP="00EB687D">
      <w:pPr>
        <w:rPr>
          <w:sz w:val="18"/>
          <w:szCs w:val="18"/>
        </w:rPr>
      </w:pPr>
    </w:p>
    <w:p w:rsidR="003471D4" w:rsidRDefault="003471D4" w:rsidP="00EB687D">
      <w:pPr>
        <w:rPr>
          <w:sz w:val="18"/>
          <w:szCs w:val="18"/>
        </w:rPr>
      </w:pPr>
    </w:p>
    <w:p w:rsidR="00287409" w:rsidRDefault="00287409" w:rsidP="00EB687D">
      <w:pPr>
        <w:rPr>
          <w:b/>
        </w:rPr>
      </w:pPr>
      <w:r w:rsidRPr="00287409">
        <w:rPr>
          <w:b/>
        </w:rPr>
        <w:t>Relationship</w:t>
      </w:r>
      <w:r>
        <w:rPr>
          <w:b/>
        </w:rPr>
        <w:t>s;</w:t>
      </w:r>
    </w:p>
    <w:p w:rsidR="00287409" w:rsidRPr="00287409" w:rsidRDefault="00287409" w:rsidP="00EB687D">
      <w:pPr>
        <w:rPr>
          <w:i/>
          <w:sz w:val="18"/>
          <w:szCs w:val="18"/>
        </w:rPr>
      </w:pPr>
      <w:r w:rsidRPr="00287409">
        <w:rPr>
          <w:i/>
          <w:sz w:val="18"/>
          <w:szCs w:val="18"/>
        </w:rPr>
        <w:t xml:space="preserve">(Nature of relationships and partnerships e.g. internal, external, </w:t>
      </w:r>
      <w:r>
        <w:rPr>
          <w:i/>
          <w:sz w:val="18"/>
          <w:szCs w:val="18"/>
        </w:rPr>
        <w:t xml:space="preserve">and </w:t>
      </w:r>
      <w:r w:rsidRPr="00287409">
        <w:rPr>
          <w:i/>
          <w:sz w:val="18"/>
          <w:szCs w:val="18"/>
        </w:rPr>
        <w:t>level)</w:t>
      </w:r>
    </w:p>
    <w:p w:rsidR="00C97F42" w:rsidRDefault="00C97F42" w:rsidP="00EB687D"/>
    <w:p w:rsid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>The post holder will be responsible for developing a new way of working, bringing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together ward councillors, tenants, leaseholders, residents and communities to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establish and deliver a shared vision for these estates.</w:t>
      </w:r>
    </w:p>
    <w:p w:rsidR="00CF50CE" w:rsidRPr="003471D4" w:rsidRDefault="00CF50CE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>This is a new venture for Camden Council, involving significant busines</w:t>
      </w:r>
      <w:r w:rsidR="00CF50CE">
        <w:rPr>
          <w:rFonts w:eastAsiaTheme="minorHAnsi" w:cs="Arial"/>
          <w:sz w:val="23"/>
          <w:szCs w:val="23"/>
          <w:lang w:eastAsia="en-US"/>
        </w:rPr>
        <w:t>s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 risk in terms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of delivering the investment strategy and reputational risk for the Council if the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programme fails to deliver.</w:t>
      </w:r>
    </w:p>
    <w:p w:rsidR="00CF50CE" w:rsidRPr="003471D4" w:rsidRDefault="00CF50CE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>The post holder will have daily contact with chief officers and very regular contact with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elected members, including presenting reports to </w:t>
      </w:r>
      <w:r w:rsidR="000D5BA4">
        <w:rPr>
          <w:rFonts w:eastAsiaTheme="minorHAnsi" w:cs="Arial"/>
          <w:sz w:val="23"/>
          <w:szCs w:val="23"/>
          <w:lang w:eastAsia="en-US"/>
        </w:rPr>
        <w:t>Cabinet</w:t>
      </w:r>
      <w:r w:rsidR="008C257A">
        <w:rPr>
          <w:rFonts w:eastAsiaTheme="minorHAnsi" w:cs="Arial"/>
          <w:sz w:val="23"/>
          <w:szCs w:val="23"/>
          <w:lang w:eastAsia="en-US"/>
        </w:rPr>
        <w:t>,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 scrutiny and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ward councillors. The post holder will represent the Council at a wide range of public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meetings.</w:t>
      </w:r>
    </w:p>
    <w:p w:rsidR="003471D4" w:rsidRDefault="003471D4" w:rsidP="00EB687D"/>
    <w:p w:rsidR="003471D4" w:rsidRDefault="003471D4" w:rsidP="00EB687D"/>
    <w:p w:rsidR="00C97F42" w:rsidRPr="00C97F42" w:rsidRDefault="00C97F42" w:rsidP="00EB687D">
      <w:pPr>
        <w:rPr>
          <w:b/>
        </w:rPr>
      </w:pPr>
      <w:r w:rsidRPr="00C97F42">
        <w:rPr>
          <w:b/>
        </w:rPr>
        <w:t>Work Environment:</w:t>
      </w:r>
    </w:p>
    <w:p w:rsidR="00C97F42" w:rsidRPr="00C97F42" w:rsidRDefault="00C97F42" w:rsidP="00EB687D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</w:t>
      </w:r>
      <w:r w:rsidR="007A6B99">
        <w:rPr>
          <w:i/>
          <w:sz w:val="18"/>
          <w:szCs w:val="18"/>
        </w:rPr>
        <w:t>D</w:t>
      </w:r>
      <w:r w:rsidRPr="00C97F42">
        <w:rPr>
          <w:i/>
          <w:sz w:val="18"/>
          <w:szCs w:val="18"/>
        </w:rPr>
        <w:t>escribe</w:t>
      </w:r>
      <w:r w:rsidR="007A6B99">
        <w:rPr>
          <w:i/>
          <w:sz w:val="18"/>
          <w:szCs w:val="18"/>
        </w:rPr>
        <w:t xml:space="preserve"> the work environment e.g. office based, outdoors etc.</w:t>
      </w:r>
      <w:r w:rsidRPr="00C97F42">
        <w:rPr>
          <w:i/>
          <w:sz w:val="18"/>
          <w:szCs w:val="18"/>
        </w:rPr>
        <w:t>)</w:t>
      </w:r>
    </w:p>
    <w:p w:rsidR="00C97F42" w:rsidRDefault="00C97F42" w:rsidP="00EB687D"/>
    <w:p w:rsidR="00C97F42" w:rsidRDefault="00CF50CE" w:rsidP="00EB687D">
      <w:r>
        <w:t>Office based with periods of time spent outdoors</w:t>
      </w:r>
    </w:p>
    <w:p w:rsidR="00C97F42" w:rsidRDefault="00C97F42" w:rsidP="00EB687D"/>
    <w:p w:rsidR="00EB687D" w:rsidRDefault="007A6B99" w:rsidP="00EB687D">
      <w:pPr>
        <w:rPr>
          <w:b/>
        </w:rPr>
      </w:pPr>
      <w:r>
        <w:rPr>
          <w:b/>
        </w:rPr>
        <w:t xml:space="preserve">Technical </w:t>
      </w:r>
      <w:r w:rsidR="00EB687D" w:rsidRPr="00C97F42">
        <w:rPr>
          <w:b/>
        </w:rPr>
        <w:t>Knowledge and Experience</w:t>
      </w:r>
      <w:r w:rsidR="00C97F42">
        <w:rPr>
          <w:b/>
        </w:rPr>
        <w:t>:</w:t>
      </w:r>
    </w:p>
    <w:p w:rsidR="007A6B99" w:rsidRPr="007A6B99" w:rsidRDefault="007A6B99" w:rsidP="00EB687D">
      <w:pPr>
        <w:rPr>
          <w:i/>
          <w:sz w:val="18"/>
          <w:szCs w:val="18"/>
        </w:rPr>
      </w:pPr>
      <w:r>
        <w:rPr>
          <w:b/>
        </w:rPr>
        <w:t>(</w:t>
      </w:r>
      <w:r w:rsidRPr="007A6B99">
        <w:rPr>
          <w:i/>
          <w:sz w:val="18"/>
          <w:szCs w:val="18"/>
        </w:rPr>
        <w:t>E.g. qualifications that are essential for the role and / or examples of the experience role holders would be expected to have in order to succeed in the role)</w:t>
      </w:r>
    </w:p>
    <w:p w:rsidR="00EB687D" w:rsidRDefault="00EB687D" w:rsidP="00EB687D"/>
    <w:p w:rsidR="003471D4" w:rsidRPr="00CF50CE" w:rsidRDefault="003471D4" w:rsidP="00CF50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CF50CE">
        <w:rPr>
          <w:rFonts w:eastAsiaTheme="minorHAnsi" w:cs="Arial"/>
          <w:sz w:val="23"/>
          <w:szCs w:val="23"/>
          <w:lang w:eastAsia="en-US"/>
        </w:rPr>
        <w:t xml:space="preserve">Degree level education </w:t>
      </w: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34"/>
          <w:szCs w:val="34"/>
          <w:lang w:eastAsia="en-US"/>
        </w:rPr>
        <w:t xml:space="preserve">• </w:t>
      </w:r>
      <w:r w:rsidRPr="003471D4">
        <w:rPr>
          <w:rFonts w:eastAsiaTheme="minorHAnsi" w:cs="Arial"/>
          <w:sz w:val="23"/>
          <w:szCs w:val="23"/>
          <w:lang w:eastAsia="en-US"/>
        </w:rPr>
        <w:t>Recognised degree l</w:t>
      </w:r>
      <w:r>
        <w:rPr>
          <w:rFonts w:eastAsiaTheme="minorHAnsi" w:cs="Arial"/>
          <w:sz w:val="23"/>
          <w:szCs w:val="23"/>
          <w:lang w:eastAsia="en-US"/>
        </w:rPr>
        <w:t xml:space="preserve">evel qualification regeneration </w:t>
      </w:r>
      <w:r w:rsidRPr="003471D4">
        <w:rPr>
          <w:rFonts w:eastAsiaTheme="minorHAnsi" w:cs="Arial"/>
          <w:b/>
          <w:bCs/>
          <w:sz w:val="24"/>
          <w:lang w:eastAsia="en-US"/>
        </w:rPr>
        <w:t xml:space="preserve">in </w:t>
      </w:r>
      <w:r w:rsidRPr="003471D4">
        <w:rPr>
          <w:rFonts w:eastAsiaTheme="minorHAnsi" w:cs="Arial"/>
          <w:sz w:val="23"/>
          <w:szCs w:val="23"/>
          <w:lang w:eastAsia="en-US"/>
        </w:rPr>
        <w:t>construction project management.</w:t>
      </w: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ascii="Times New Roman" w:eastAsiaTheme="minorHAnsi" w:hAnsi="Times New Roman"/>
          <w:sz w:val="34"/>
          <w:szCs w:val="34"/>
          <w:lang w:eastAsia="en-US"/>
        </w:rPr>
        <w:t xml:space="preserve">• </w:t>
      </w:r>
      <w:r w:rsidRPr="003471D4">
        <w:rPr>
          <w:rFonts w:eastAsiaTheme="minorHAnsi" w:cs="Arial"/>
          <w:sz w:val="23"/>
          <w:szCs w:val="23"/>
          <w:lang w:eastAsia="en-US"/>
        </w:rPr>
        <w:t>Good knowledge of construction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and safety responsibilities in relation procurement practice and related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to construction and Construction law.</w:t>
      </w: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34"/>
          <w:szCs w:val="34"/>
          <w:lang w:eastAsia="en-US"/>
        </w:rPr>
        <w:t xml:space="preserve">• </w:t>
      </w:r>
      <w:r w:rsidRPr="003471D4">
        <w:rPr>
          <w:rFonts w:eastAsiaTheme="minorHAnsi" w:cs="Arial"/>
          <w:sz w:val="23"/>
          <w:szCs w:val="23"/>
          <w:lang w:eastAsia="en-US"/>
        </w:rPr>
        <w:t>Knowledge &amp; understanding of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regulations</w:t>
      </w:r>
      <w:r w:rsidR="00CF50CE">
        <w:rPr>
          <w:rFonts w:eastAsiaTheme="minorHAnsi" w:cs="Arial"/>
          <w:sz w:val="23"/>
          <w:szCs w:val="23"/>
          <w:lang w:eastAsia="en-US"/>
        </w:rPr>
        <w:t>,</w:t>
      </w:r>
      <w:r w:rsidRPr="003471D4">
        <w:rPr>
          <w:rFonts w:eastAsiaTheme="minorHAnsi" w:cs="Arial"/>
          <w:sz w:val="23"/>
          <w:szCs w:val="23"/>
          <w:lang w:eastAsia="en-US"/>
        </w:rPr>
        <w:t xml:space="preserve"> sustainability in terms of</w:t>
      </w:r>
      <w:r w:rsidR="00CF50CE">
        <w:rPr>
          <w:rFonts w:eastAsiaTheme="minorHAnsi" w:cs="Arial"/>
          <w:sz w:val="23"/>
          <w:szCs w:val="23"/>
          <w:lang w:eastAsia="en-US"/>
        </w:rPr>
        <w:t xml:space="preserve"> </w:t>
      </w:r>
      <w:r w:rsidR="00CF50CE" w:rsidRPr="003471D4">
        <w:rPr>
          <w:rFonts w:eastAsiaTheme="minorHAnsi" w:cs="Arial"/>
          <w:sz w:val="23"/>
          <w:szCs w:val="23"/>
          <w:lang w:eastAsia="en-US"/>
        </w:rPr>
        <w:t>Design and Management</w:t>
      </w: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34"/>
          <w:szCs w:val="34"/>
          <w:lang w:eastAsia="en-US"/>
        </w:rPr>
        <w:t xml:space="preserve">• </w:t>
      </w:r>
      <w:r w:rsidRPr="003471D4">
        <w:rPr>
          <w:rFonts w:eastAsiaTheme="minorHAnsi" w:cs="Arial"/>
          <w:sz w:val="23"/>
          <w:szCs w:val="23"/>
          <w:lang w:eastAsia="en-US"/>
        </w:rPr>
        <w:t>Knowledge of effective resident environment, communities and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engagement techniq</w:t>
      </w:r>
      <w:r>
        <w:rPr>
          <w:rFonts w:eastAsiaTheme="minorHAnsi" w:cs="Arial"/>
          <w:sz w:val="23"/>
          <w:szCs w:val="23"/>
          <w:lang w:eastAsia="en-US"/>
        </w:rPr>
        <w:t xml:space="preserve">ues in relation to construction </w:t>
      </w:r>
      <w:r w:rsidRPr="003471D4">
        <w:rPr>
          <w:rFonts w:eastAsiaTheme="minorHAnsi" w:cs="Arial"/>
          <w:sz w:val="23"/>
          <w:szCs w:val="23"/>
          <w:lang w:eastAsia="en-US"/>
        </w:rPr>
        <w:t>regeneration projects.</w:t>
      </w: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34"/>
          <w:szCs w:val="34"/>
          <w:lang w:eastAsia="en-US"/>
        </w:rPr>
        <w:t xml:space="preserve">• </w:t>
      </w:r>
      <w:r w:rsidRPr="003471D4">
        <w:rPr>
          <w:rFonts w:eastAsiaTheme="minorHAnsi" w:cs="Arial"/>
          <w:sz w:val="23"/>
          <w:szCs w:val="23"/>
          <w:lang w:eastAsia="en-US"/>
        </w:rPr>
        <w:t>Knowledge of construction contract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and property law, including Landlord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&amp; Tenant law and practice.</w:t>
      </w: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34"/>
          <w:szCs w:val="34"/>
          <w:lang w:eastAsia="en-US"/>
        </w:rPr>
        <w:t xml:space="preserve">• </w:t>
      </w:r>
      <w:r w:rsidRPr="003471D4">
        <w:rPr>
          <w:rFonts w:eastAsiaTheme="minorHAnsi" w:cs="Arial"/>
          <w:sz w:val="23"/>
          <w:szCs w:val="23"/>
          <w:lang w:eastAsia="en-US"/>
        </w:rPr>
        <w:t>A good knowledge of best practice in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regeneration and development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activities.</w:t>
      </w:r>
    </w:p>
    <w:p w:rsidR="003471D4" w:rsidRPr="003471D4" w:rsidRDefault="003471D4" w:rsidP="003471D4">
      <w:pPr>
        <w:autoSpaceDE w:val="0"/>
        <w:autoSpaceDN w:val="0"/>
        <w:adjustRightInd w:val="0"/>
        <w:rPr>
          <w:rFonts w:eastAsiaTheme="minorHAnsi" w:cs="Arial"/>
          <w:sz w:val="23"/>
          <w:szCs w:val="23"/>
          <w:lang w:eastAsia="en-US"/>
        </w:rPr>
      </w:pPr>
      <w:r w:rsidRPr="003471D4">
        <w:rPr>
          <w:rFonts w:eastAsiaTheme="minorHAnsi" w:cs="Arial"/>
          <w:sz w:val="34"/>
          <w:szCs w:val="34"/>
          <w:lang w:eastAsia="en-US"/>
        </w:rPr>
        <w:t xml:space="preserve">• </w:t>
      </w:r>
      <w:r w:rsidRPr="003471D4">
        <w:rPr>
          <w:rFonts w:eastAsiaTheme="minorHAnsi" w:cs="Arial"/>
          <w:sz w:val="23"/>
          <w:szCs w:val="23"/>
          <w:lang w:eastAsia="en-US"/>
        </w:rPr>
        <w:t>Knowledge of Asset Management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Planning, particularly in a local</w:t>
      </w:r>
      <w:r>
        <w:rPr>
          <w:rFonts w:eastAsiaTheme="minorHAnsi" w:cs="Arial"/>
          <w:sz w:val="23"/>
          <w:szCs w:val="23"/>
          <w:lang w:eastAsia="en-US"/>
        </w:rPr>
        <w:t xml:space="preserve"> </w:t>
      </w:r>
      <w:r w:rsidRPr="003471D4">
        <w:rPr>
          <w:rFonts w:eastAsiaTheme="minorHAnsi" w:cs="Arial"/>
          <w:sz w:val="23"/>
          <w:szCs w:val="23"/>
          <w:lang w:eastAsia="en-US"/>
        </w:rPr>
        <w:t>authority context.</w:t>
      </w:r>
    </w:p>
    <w:p w:rsidR="00EB687D" w:rsidRDefault="00EB687D" w:rsidP="00EB687D"/>
    <w:p w:rsidR="00C97F42" w:rsidRDefault="00C97F42" w:rsidP="00EB687D"/>
    <w:p w:rsidR="00C97F42" w:rsidRPr="00C97F42" w:rsidRDefault="00287409" w:rsidP="00EB687D">
      <w:pPr>
        <w:rPr>
          <w:b/>
        </w:rPr>
      </w:pPr>
      <w:r>
        <w:rPr>
          <w:b/>
        </w:rPr>
        <w:t xml:space="preserve">Camden Core </w:t>
      </w:r>
      <w:r w:rsidR="00C97F42" w:rsidRPr="00C97F42">
        <w:rPr>
          <w:b/>
        </w:rPr>
        <w:t>Behaviours</w:t>
      </w:r>
      <w:r>
        <w:rPr>
          <w:b/>
        </w:rPr>
        <w:t xml:space="preserve"> – identify the level relevant to role for the 5 Camden core behaviours</w:t>
      </w:r>
      <w:r w:rsidR="00C97F42" w:rsidRPr="00C97F42">
        <w:rPr>
          <w:b/>
        </w:rPr>
        <w:t>:</w:t>
      </w:r>
    </w:p>
    <w:p w:rsidR="00C97F42" w:rsidRDefault="00C97F42" w:rsidP="00EB687D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</w:t>
      </w:r>
      <w:r w:rsidR="007A6B99" w:rsidRPr="00C97F42">
        <w:rPr>
          <w:i/>
          <w:sz w:val="18"/>
          <w:szCs w:val="18"/>
        </w:rPr>
        <w:t>Refer</w:t>
      </w:r>
      <w:r w:rsidRPr="00C97F42">
        <w:rPr>
          <w:i/>
          <w:sz w:val="18"/>
          <w:szCs w:val="18"/>
        </w:rPr>
        <w:t xml:space="preserve"> to Camden Behaviour framework)</w:t>
      </w:r>
    </w:p>
    <w:p w:rsidR="00287409" w:rsidRDefault="00287409" w:rsidP="00EB687D">
      <w:pPr>
        <w:rPr>
          <w:i/>
          <w:sz w:val="18"/>
          <w:szCs w:val="18"/>
        </w:rPr>
      </w:pPr>
    </w:p>
    <w:p w:rsidR="00287409" w:rsidRDefault="00287409" w:rsidP="00EB687D">
      <w:pPr>
        <w:rPr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290"/>
      </w:tblGrid>
      <w:tr w:rsidR="00EB3F80" w:rsidRPr="00EB3F80" w:rsidTr="00EB3F80">
        <w:tc>
          <w:tcPr>
            <w:tcW w:w="2693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b/>
                <w:color w:val="008000"/>
                <w:sz w:val="20"/>
                <w:szCs w:val="20"/>
              </w:rPr>
            </w:pPr>
          </w:p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Behaviour</w:t>
            </w:r>
          </w:p>
          <w:p w:rsidR="00EB3F80" w:rsidRPr="00EB3F80" w:rsidRDefault="00EB3F80" w:rsidP="00EB3F80">
            <w:pPr>
              <w:jc w:val="center"/>
              <w:rPr>
                <w:rFonts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90" w:type="dxa"/>
          </w:tcPr>
          <w:p w:rsidR="00EB3F80" w:rsidRPr="00EB3F80" w:rsidRDefault="00EB3F80" w:rsidP="00EB3F80">
            <w:pPr>
              <w:jc w:val="center"/>
              <w:rPr>
                <w:rFonts w:cs="Arial"/>
                <w:b/>
                <w:color w:val="008000"/>
                <w:sz w:val="20"/>
                <w:szCs w:val="20"/>
              </w:rPr>
            </w:pPr>
          </w:p>
          <w:p w:rsidR="00EB3F80" w:rsidRPr="00EB3F80" w:rsidRDefault="00EB3F80" w:rsidP="00EB3F80">
            <w:pPr>
              <w:jc w:val="center"/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Level required at Zone 2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 xml:space="preserve">Confidence and </w:t>
            </w: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lastRenderedPageBreak/>
              <w:t>Resilience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Driving</w:t>
            </w:r>
          </w:p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Improvement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t>3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Leading People or Working Together*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t>3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Organisational Awareness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t>4</w:t>
            </w:r>
          </w:p>
        </w:tc>
      </w:tr>
      <w:tr w:rsidR="00EB3F80" w:rsidRPr="00EB3F80" w:rsidTr="00EB3F80">
        <w:tc>
          <w:tcPr>
            <w:tcW w:w="2693" w:type="dxa"/>
          </w:tcPr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Strategic</w:t>
            </w:r>
          </w:p>
          <w:p w:rsidR="00EB3F80" w:rsidRPr="00EB3F80" w:rsidRDefault="00EB3F80" w:rsidP="00EB3F80">
            <w:pPr>
              <w:rPr>
                <w:rFonts w:cs="Arial"/>
                <w:b/>
                <w:color w:val="008000"/>
                <w:sz w:val="20"/>
                <w:szCs w:val="20"/>
              </w:rPr>
            </w:pPr>
            <w:r w:rsidRPr="00EB3F80">
              <w:rPr>
                <w:rFonts w:cs="Arial"/>
                <w:b/>
                <w:color w:val="008000"/>
                <w:sz w:val="20"/>
                <w:szCs w:val="20"/>
              </w:rPr>
              <w:t>Perspective</w:t>
            </w:r>
          </w:p>
        </w:tc>
        <w:tc>
          <w:tcPr>
            <w:tcW w:w="3290" w:type="dxa"/>
            <w:vAlign w:val="center"/>
          </w:tcPr>
          <w:p w:rsidR="00EB3F80" w:rsidRPr="00EB3F80" w:rsidRDefault="00EB3F80" w:rsidP="00EB3F80">
            <w:pPr>
              <w:jc w:val="center"/>
              <w:rPr>
                <w:rFonts w:cs="Arial"/>
                <w:sz w:val="20"/>
                <w:szCs w:val="20"/>
              </w:rPr>
            </w:pPr>
            <w:r w:rsidRPr="00EB3F80">
              <w:rPr>
                <w:rFonts w:cs="Arial"/>
                <w:sz w:val="20"/>
                <w:szCs w:val="20"/>
              </w:rPr>
              <w:t>2</w:t>
            </w:r>
          </w:p>
        </w:tc>
      </w:tr>
    </w:tbl>
    <w:p w:rsidR="00EB3F80" w:rsidRDefault="00EB3F80" w:rsidP="00EB687D">
      <w:pPr>
        <w:rPr>
          <w:sz w:val="18"/>
          <w:szCs w:val="18"/>
        </w:rPr>
      </w:pPr>
    </w:p>
    <w:p w:rsidR="00EB3F80" w:rsidRDefault="00EB3F80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b/>
        </w:rPr>
      </w:pPr>
      <w:r w:rsidRPr="00287409">
        <w:rPr>
          <w:b/>
        </w:rPr>
        <w:t xml:space="preserve">Camden Additional Behaviours – identify </w:t>
      </w:r>
      <w:r>
        <w:rPr>
          <w:b/>
        </w:rPr>
        <w:t xml:space="preserve">one or two </w:t>
      </w:r>
      <w:r w:rsidRPr="00287409">
        <w:rPr>
          <w:b/>
        </w:rPr>
        <w:t>relevant additional behaviours</w:t>
      </w:r>
      <w:r>
        <w:rPr>
          <w:b/>
        </w:rPr>
        <w:t xml:space="preserve"> with the appropriate level for this role:</w:t>
      </w:r>
    </w:p>
    <w:p w:rsidR="00287409" w:rsidRDefault="00287409" w:rsidP="00287409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(Refer to Camden Behaviour framework)</w:t>
      </w:r>
    </w:p>
    <w:p w:rsidR="00C97F42" w:rsidRDefault="00C97F42" w:rsidP="00EB687D"/>
    <w:p w:rsidR="00BE1BA8" w:rsidRDefault="00BE1BA8" w:rsidP="00EB687D"/>
    <w:p w:rsidR="00BE1BA8" w:rsidRDefault="00BE1BA8" w:rsidP="00EB687D">
      <w:pPr>
        <w:rPr>
          <w:b/>
        </w:rPr>
      </w:pPr>
    </w:p>
    <w:p w:rsidR="00BE1BA8" w:rsidRDefault="00BE1BA8" w:rsidP="00EB687D">
      <w:pPr>
        <w:rPr>
          <w:b/>
        </w:rPr>
      </w:pPr>
      <w:r w:rsidRPr="00BE1BA8">
        <w:rPr>
          <w:b/>
        </w:rPr>
        <w:t>Structure Chart</w:t>
      </w:r>
      <w:r>
        <w:rPr>
          <w:b/>
        </w:rPr>
        <w:t xml:space="preserve"> – please insert or attach an up to date structure chart showing this role</w:t>
      </w: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  <w:r w:rsidRPr="00BA4907">
        <w:rPr>
          <w:b/>
        </w:rPr>
        <w:lastRenderedPageBreak/>
        <w:drawing>
          <wp:inline distT="0" distB="0" distL="0" distR="0" wp14:anchorId="36C70309" wp14:editId="386ED865">
            <wp:extent cx="4922520" cy="27689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133" cy="277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  <w:bookmarkStart w:id="0" w:name="_GoBack"/>
      <w:r w:rsidRPr="00BA4907">
        <w:rPr>
          <w:b/>
        </w:rPr>
        <w:drawing>
          <wp:inline distT="0" distB="0" distL="0" distR="0" wp14:anchorId="54245495" wp14:editId="4061CF8C">
            <wp:extent cx="3703320" cy="20831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8963" cy="209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Default="00BA4907" w:rsidP="00EB687D">
      <w:pPr>
        <w:rPr>
          <w:b/>
        </w:rPr>
      </w:pPr>
    </w:p>
    <w:p w:rsidR="00BA4907" w:rsidRPr="00BE1BA8" w:rsidRDefault="00BA4907" w:rsidP="00EB687D">
      <w:pPr>
        <w:rPr>
          <w:b/>
        </w:rPr>
      </w:pPr>
    </w:p>
    <w:sectPr w:rsidR="00BA4907" w:rsidRPr="00BE1BA8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FC" w:rsidRDefault="00956BFC">
      <w:r>
        <w:separator/>
      </w:r>
    </w:p>
  </w:endnote>
  <w:endnote w:type="continuationSeparator" w:id="0">
    <w:p w:rsidR="00956BFC" w:rsidRDefault="0095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FC" w:rsidRDefault="00956BFC">
      <w:r>
        <w:separator/>
      </w:r>
    </w:p>
  </w:footnote>
  <w:footnote w:type="continuationSeparator" w:id="0">
    <w:p w:rsidR="00956BFC" w:rsidRDefault="0095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D165F1"/>
    <w:multiLevelType w:val="multilevel"/>
    <w:tmpl w:val="638A148E"/>
    <w:numStyleLink w:val="HayGroupNumberingList"/>
  </w:abstractNum>
  <w:abstractNum w:abstractNumId="8" w15:restartNumberingAfterBreak="0">
    <w:nsid w:val="316E1768"/>
    <w:multiLevelType w:val="multilevel"/>
    <w:tmpl w:val="5718C5D6"/>
    <w:numStyleLink w:val="HayGroupBulletlist"/>
  </w:abstractNum>
  <w:abstractNum w:abstractNumId="9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40FB8"/>
    <w:multiLevelType w:val="hybridMultilevel"/>
    <w:tmpl w:val="89D07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8A76E0"/>
    <w:multiLevelType w:val="hybridMultilevel"/>
    <w:tmpl w:val="E202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DC09DA"/>
    <w:multiLevelType w:val="hybridMultilevel"/>
    <w:tmpl w:val="BE623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20"/>
  </w:num>
  <w:num w:numId="5">
    <w:abstractNumId w:val="1"/>
  </w:num>
  <w:num w:numId="6">
    <w:abstractNumId w:val="6"/>
  </w:num>
  <w:num w:numId="7">
    <w:abstractNumId w:val="17"/>
  </w:num>
  <w:num w:numId="8">
    <w:abstractNumId w:val="12"/>
  </w:num>
  <w:num w:numId="9">
    <w:abstractNumId w:val="5"/>
  </w:num>
  <w:num w:numId="10">
    <w:abstractNumId w:val="9"/>
  </w:num>
  <w:num w:numId="11">
    <w:abstractNumId w:val="0"/>
  </w:num>
  <w:num w:numId="12">
    <w:abstractNumId w:val="1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15"/>
  </w:num>
  <w:num w:numId="20">
    <w:abstractNumId w:val="13"/>
  </w:num>
  <w:num w:numId="21">
    <w:abstractNumId w:val="19"/>
  </w:num>
  <w:num w:numId="2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D5688"/>
    <w:rsid w:val="000D5BA4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206A7F"/>
    <w:rsid w:val="002242F1"/>
    <w:rsid w:val="002276F6"/>
    <w:rsid w:val="002335E9"/>
    <w:rsid w:val="00241AA7"/>
    <w:rsid w:val="00253840"/>
    <w:rsid w:val="00253888"/>
    <w:rsid w:val="0026753A"/>
    <w:rsid w:val="00272781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30129C"/>
    <w:rsid w:val="00303FA0"/>
    <w:rsid w:val="003056BE"/>
    <w:rsid w:val="0032261C"/>
    <w:rsid w:val="00343798"/>
    <w:rsid w:val="003471D4"/>
    <w:rsid w:val="00352952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4194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687E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7025D2"/>
    <w:rsid w:val="00713850"/>
    <w:rsid w:val="00755D02"/>
    <w:rsid w:val="00760BA1"/>
    <w:rsid w:val="00764960"/>
    <w:rsid w:val="00766226"/>
    <w:rsid w:val="00767BDF"/>
    <w:rsid w:val="007A6B99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5090F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257A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6BFC"/>
    <w:rsid w:val="00957CC7"/>
    <w:rsid w:val="00962233"/>
    <w:rsid w:val="00966982"/>
    <w:rsid w:val="00982C5D"/>
    <w:rsid w:val="00982F62"/>
    <w:rsid w:val="00983C0C"/>
    <w:rsid w:val="00985CBE"/>
    <w:rsid w:val="00990EA9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1766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3411C"/>
    <w:rsid w:val="00B44BEE"/>
    <w:rsid w:val="00B53918"/>
    <w:rsid w:val="00B53C74"/>
    <w:rsid w:val="00B60815"/>
    <w:rsid w:val="00B75B7F"/>
    <w:rsid w:val="00B77231"/>
    <w:rsid w:val="00B9448F"/>
    <w:rsid w:val="00B97A74"/>
    <w:rsid w:val="00BA37F8"/>
    <w:rsid w:val="00BA4907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1A53"/>
    <w:rsid w:val="00C5406A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0CE"/>
    <w:rsid w:val="00CF5976"/>
    <w:rsid w:val="00CF5FC1"/>
    <w:rsid w:val="00D05301"/>
    <w:rsid w:val="00D21442"/>
    <w:rsid w:val="00D2411E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3F80"/>
    <w:rsid w:val="00EB687D"/>
    <w:rsid w:val="00EB732F"/>
    <w:rsid w:val="00EC07F8"/>
    <w:rsid w:val="00EC138A"/>
    <w:rsid w:val="00EC53A4"/>
    <w:rsid w:val="00ED0420"/>
    <w:rsid w:val="00ED6ACF"/>
    <w:rsid w:val="00EF22A4"/>
    <w:rsid w:val="00EF481B"/>
    <w:rsid w:val="00EF6D39"/>
    <w:rsid w:val="00F013CD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55C444"/>
  <w15:docId w15:val="{CD39CEE4-04E9-48B4-BD95-4744BF0B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CF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Neil Vokes</cp:lastModifiedBy>
  <cp:revision>4</cp:revision>
  <cp:lastPrinted>2009-12-02T09:13:00Z</cp:lastPrinted>
  <dcterms:created xsi:type="dcterms:W3CDTF">2015-02-26T15:21:00Z</dcterms:created>
  <dcterms:modified xsi:type="dcterms:W3CDTF">2017-09-25T12:37:00Z</dcterms:modified>
</cp:coreProperties>
</file>