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18" w:rsidRDefault="00D568F9" w:rsidP="007153D1">
      <w:pPr>
        <w:pStyle w:val="NormalWeb"/>
        <w:spacing w:before="225" w:beforeAutospacing="0" w:after="225" w:afterAutospacing="0" w:line="330" w:lineRule="atLeast"/>
        <w:jc w:val="center"/>
        <w:rPr>
          <w:rStyle w:val="Strong"/>
          <w:color w:val="000000" w:themeColor="text1"/>
          <w:sz w:val="32"/>
          <w:szCs w:val="32"/>
        </w:rPr>
      </w:pPr>
      <w:r w:rsidRPr="003F7BA3">
        <w:rPr>
          <w:rStyle w:val="Strong"/>
          <w:color w:val="000000" w:themeColor="text1"/>
          <w:sz w:val="32"/>
          <w:szCs w:val="32"/>
        </w:rPr>
        <w:t>Dual Use Permissions</w:t>
      </w:r>
    </w:p>
    <w:p w:rsidR="00FD5624" w:rsidRDefault="00FD5624" w:rsidP="007153D1">
      <w:pPr>
        <w:pStyle w:val="NormalWeb"/>
        <w:spacing w:before="225" w:beforeAutospacing="0" w:after="225" w:afterAutospacing="0" w:line="330" w:lineRule="atLeast"/>
        <w:jc w:val="center"/>
        <w:rPr>
          <w:rStyle w:val="Strong"/>
          <w:color w:val="000000" w:themeColor="text1"/>
          <w:sz w:val="32"/>
          <w:szCs w:val="32"/>
        </w:rPr>
      </w:pPr>
      <w:r>
        <w:rPr>
          <w:rStyle w:val="Strong"/>
          <w:color w:val="000000" w:themeColor="text1"/>
          <w:sz w:val="32"/>
          <w:szCs w:val="32"/>
        </w:rPr>
        <w:t>CGCA’s Position</w:t>
      </w:r>
    </w:p>
    <w:p w:rsidR="00C72DDE" w:rsidRPr="00E4616C" w:rsidRDefault="00E4616C" w:rsidP="00E4616C">
      <w:pPr>
        <w:pStyle w:val="NormalWeb"/>
        <w:spacing w:before="225" w:beforeAutospacing="0" w:after="225" w:afterAutospacing="0" w:line="330" w:lineRule="atLeast"/>
        <w:rPr>
          <w:rStyle w:val="Strong"/>
          <w:color w:val="000000" w:themeColor="text1"/>
          <w:sz w:val="20"/>
          <w:szCs w:val="20"/>
        </w:rPr>
      </w:pPr>
      <w:r w:rsidRPr="00E4616C">
        <w:rPr>
          <w:rStyle w:val="Strong"/>
          <w:color w:val="000000" w:themeColor="text1"/>
          <w:sz w:val="20"/>
          <w:szCs w:val="20"/>
        </w:rPr>
        <w:t>Summary:</w:t>
      </w:r>
    </w:p>
    <w:p w:rsidR="00E4616C" w:rsidRDefault="00495D7F" w:rsidP="00E4616C">
      <w:pPr>
        <w:pStyle w:val="legclearfix2"/>
        <w:numPr>
          <w:ilvl w:val="0"/>
          <w:numId w:val="1"/>
        </w:numPr>
        <w:spacing w:line="360" w:lineRule="auto"/>
        <w:rPr>
          <w:color w:val="000000" w:themeColor="text1"/>
          <w:sz w:val="20"/>
          <w:szCs w:val="20"/>
          <w:lang w:val="en"/>
        </w:rPr>
      </w:pPr>
      <w:r>
        <w:rPr>
          <w:color w:val="000000" w:themeColor="text1"/>
          <w:sz w:val="20"/>
          <w:szCs w:val="20"/>
          <w:lang w:val="en"/>
        </w:rPr>
        <w:t>A p</w:t>
      </w:r>
      <w:r w:rsidR="00E4616C">
        <w:rPr>
          <w:color w:val="000000" w:themeColor="text1"/>
          <w:sz w:val="20"/>
          <w:szCs w:val="20"/>
          <w:lang w:val="en"/>
        </w:rPr>
        <w:t xml:space="preserve">ermission is not implemented until development takes place. There is no development until permitted building </w:t>
      </w:r>
      <w:r w:rsidR="00E4616C" w:rsidRPr="00C25DD7">
        <w:rPr>
          <w:i/>
          <w:color w:val="000000" w:themeColor="text1"/>
          <w:sz w:val="20"/>
          <w:szCs w:val="20"/>
          <w:lang w:val="en"/>
        </w:rPr>
        <w:t>etc</w:t>
      </w:r>
      <w:r w:rsidR="00E4616C">
        <w:rPr>
          <w:color w:val="000000" w:themeColor="text1"/>
          <w:sz w:val="20"/>
          <w:szCs w:val="20"/>
          <w:lang w:val="en"/>
        </w:rPr>
        <w:t xml:space="preserve"> operations are carried out or a material </w:t>
      </w:r>
      <w:r w:rsidR="00E4616C" w:rsidRPr="00C25DD7">
        <w:rPr>
          <w:i/>
          <w:color w:val="000000" w:themeColor="text1"/>
          <w:sz w:val="20"/>
          <w:szCs w:val="20"/>
          <w:lang w:val="en"/>
        </w:rPr>
        <w:t>change</w:t>
      </w:r>
      <w:r w:rsidR="00E4616C">
        <w:rPr>
          <w:color w:val="000000" w:themeColor="text1"/>
          <w:sz w:val="20"/>
          <w:szCs w:val="20"/>
          <w:lang w:val="en"/>
        </w:rPr>
        <w:t xml:space="preserve"> of use occurs. If a permission is granted subject to a condition that it must be implemented within three years then unless a material </w:t>
      </w:r>
      <w:r w:rsidR="00E4616C" w:rsidRPr="00C25DD7">
        <w:rPr>
          <w:i/>
          <w:color w:val="000000" w:themeColor="text1"/>
          <w:sz w:val="20"/>
          <w:szCs w:val="20"/>
          <w:lang w:val="en"/>
        </w:rPr>
        <w:t>change</w:t>
      </w:r>
      <w:r w:rsidR="00E4616C">
        <w:rPr>
          <w:color w:val="000000" w:themeColor="text1"/>
          <w:sz w:val="20"/>
          <w:szCs w:val="20"/>
          <w:lang w:val="en"/>
        </w:rPr>
        <w:t xml:space="preserve"> of use (or some other permitted development) occurs within three years thereafter any material change of use will be in bre</w:t>
      </w:r>
      <w:r w:rsidR="00907E8B">
        <w:rPr>
          <w:color w:val="000000" w:themeColor="text1"/>
          <w:sz w:val="20"/>
          <w:szCs w:val="20"/>
          <w:lang w:val="en"/>
        </w:rPr>
        <w:t>ach of condition</w:t>
      </w:r>
      <w:r w:rsidR="00E4616C">
        <w:rPr>
          <w:color w:val="000000" w:themeColor="text1"/>
          <w:sz w:val="20"/>
          <w:szCs w:val="20"/>
          <w:lang w:val="en"/>
        </w:rPr>
        <w:t>.</w:t>
      </w:r>
    </w:p>
    <w:p w:rsidR="00FD5624" w:rsidRDefault="00FD5624" w:rsidP="00E4616C">
      <w:pPr>
        <w:pStyle w:val="legclearfix2"/>
        <w:spacing w:line="360" w:lineRule="auto"/>
        <w:rPr>
          <w:b/>
          <w:color w:val="000000" w:themeColor="text1"/>
          <w:sz w:val="20"/>
          <w:szCs w:val="20"/>
          <w:lang w:val="en"/>
        </w:rPr>
      </w:pPr>
    </w:p>
    <w:p w:rsidR="00E4616C" w:rsidRPr="001C06C2" w:rsidRDefault="00E4616C" w:rsidP="00E4616C">
      <w:pPr>
        <w:pStyle w:val="legclearfix2"/>
        <w:spacing w:line="360" w:lineRule="auto"/>
        <w:rPr>
          <w:b/>
          <w:color w:val="000000" w:themeColor="text1"/>
          <w:sz w:val="20"/>
          <w:szCs w:val="20"/>
          <w:lang w:val="en"/>
        </w:rPr>
      </w:pPr>
      <w:r w:rsidRPr="001C06C2">
        <w:rPr>
          <w:b/>
          <w:color w:val="000000" w:themeColor="text1"/>
          <w:sz w:val="20"/>
          <w:szCs w:val="20"/>
          <w:lang w:val="en"/>
        </w:rPr>
        <w:t>Reasoning:</w:t>
      </w:r>
    </w:p>
    <w:p w:rsidR="00480D52" w:rsidRPr="00480D52" w:rsidRDefault="00D568F9" w:rsidP="00480D52">
      <w:pPr>
        <w:pStyle w:val="NormalWeb"/>
        <w:numPr>
          <w:ilvl w:val="0"/>
          <w:numId w:val="1"/>
        </w:numPr>
        <w:spacing w:before="225" w:beforeAutospacing="0" w:after="225" w:afterAutospacing="0" w:line="330" w:lineRule="atLeast"/>
        <w:ind w:left="0" w:firstLine="360"/>
        <w:rPr>
          <w:rStyle w:val="NormalWeb"/>
          <w:color w:val="000000" w:themeColor="text1"/>
          <w:sz w:val="20"/>
          <w:szCs w:val="20"/>
        </w:rPr>
      </w:pPr>
      <w:r w:rsidRPr="003F7BA3">
        <w:rPr>
          <w:color w:val="000000" w:themeColor="text1"/>
          <w:sz w:val="20"/>
          <w:szCs w:val="20"/>
        </w:rPr>
        <w:t>The Covent Garden Community Association</w:t>
      </w:r>
      <w:r w:rsidR="00495D7F">
        <w:rPr>
          <w:color w:val="000000" w:themeColor="text1"/>
          <w:sz w:val="20"/>
          <w:szCs w:val="20"/>
        </w:rPr>
        <w:t xml:space="preserve"> (‘CGCA’)</w:t>
      </w:r>
      <w:r w:rsidRPr="003F7BA3">
        <w:rPr>
          <w:color w:val="000000" w:themeColor="text1"/>
          <w:sz w:val="20"/>
          <w:szCs w:val="20"/>
        </w:rPr>
        <w:t xml:space="preserve"> has</w:t>
      </w:r>
      <w:r w:rsidR="00965561" w:rsidRPr="003F7BA3">
        <w:rPr>
          <w:color w:val="000000" w:themeColor="text1"/>
          <w:sz w:val="20"/>
          <w:szCs w:val="20"/>
        </w:rPr>
        <w:t xml:space="preserve"> seen an increasing number of applications </w:t>
      </w:r>
      <w:r w:rsidR="009A7C18" w:rsidRPr="003F7BA3">
        <w:rPr>
          <w:color w:val="000000" w:themeColor="text1"/>
          <w:sz w:val="20"/>
          <w:szCs w:val="20"/>
        </w:rPr>
        <w:t xml:space="preserve">to London Borough of Camden </w:t>
      </w:r>
      <w:r w:rsidR="00965561" w:rsidRPr="003F7BA3">
        <w:rPr>
          <w:color w:val="000000" w:themeColor="text1"/>
          <w:sz w:val="20"/>
          <w:szCs w:val="20"/>
        </w:rPr>
        <w:t>for</w:t>
      </w:r>
      <w:r w:rsidR="009A7C18" w:rsidRPr="003F7BA3">
        <w:rPr>
          <w:color w:val="000000" w:themeColor="text1"/>
          <w:sz w:val="20"/>
          <w:szCs w:val="20"/>
        </w:rPr>
        <w:t xml:space="preserve">, and grants of, </w:t>
      </w:r>
      <w:r w:rsidR="00965561" w:rsidRPr="003F7BA3">
        <w:rPr>
          <w:color w:val="000000" w:themeColor="text1"/>
          <w:sz w:val="20"/>
          <w:szCs w:val="20"/>
        </w:rPr>
        <w:t xml:space="preserve"> </w:t>
      </w:r>
      <w:r w:rsidR="009A7C18" w:rsidRPr="003F7BA3">
        <w:rPr>
          <w:color w:val="000000" w:themeColor="text1"/>
          <w:sz w:val="20"/>
          <w:szCs w:val="20"/>
        </w:rPr>
        <w:t xml:space="preserve">planning permission </w:t>
      </w:r>
      <w:r w:rsidR="00965561" w:rsidRPr="003F7BA3">
        <w:rPr>
          <w:color w:val="000000" w:themeColor="text1"/>
          <w:sz w:val="20"/>
          <w:szCs w:val="20"/>
        </w:rPr>
        <w:t>change of use to ‘alternative’ or ‘flexible’ uses comprising more than one use class.</w:t>
      </w:r>
      <w:r w:rsidR="00DD1B24" w:rsidRPr="003F7BA3">
        <w:rPr>
          <w:color w:val="000000" w:themeColor="text1"/>
          <w:sz w:val="20"/>
          <w:szCs w:val="20"/>
        </w:rPr>
        <w:t xml:space="preserve"> T</w:t>
      </w:r>
      <w:r w:rsidR="00965561" w:rsidRPr="003F7BA3">
        <w:rPr>
          <w:color w:val="000000" w:themeColor="text1"/>
          <w:sz w:val="20"/>
          <w:szCs w:val="20"/>
        </w:rPr>
        <w:t xml:space="preserve">his </w:t>
      </w:r>
      <w:r w:rsidR="00DD1B24" w:rsidRPr="003F7BA3">
        <w:rPr>
          <w:color w:val="000000" w:themeColor="text1"/>
          <w:sz w:val="20"/>
          <w:szCs w:val="20"/>
        </w:rPr>
        <w:t>may involve</w:t>
      </w:r>
      <w:r w:rsidR="00C72DDE">
        <w:rPr>
          <w:color w:val="000000" w:themeColor="text1"/>
          <w:sz w:val="20"/>
          <w:szCs w:val="20"/>
        </w:rPr>
        <w:t xml:space="preserve"> use class B1 being changed </w:t>
      </w:r>
      <w:r w:rsidR="00965561" w:rsidRPr="003F7BA3">
        <w:rPr>
          <w:color w:val="000000" w:themeColor="text1"/>
          <w:sz w:val="20"/>
          <w:szCs w:val="20"/>
        </w:rPr>
        <w:t xml:space="preserve"> flexibl</w:t>
      </w:r>
      <w:r w:rsidR="00C72DDE">
        <w:rPr>
          <w:color w:val="000000" w:themeColor="text1"/>
          <w:sz w:val="20"/>
          <w:szCs w:val="20"/>
        </w:rPr>
        <w:t xml:space="preserve">y between </w:t>
      </w:r>
      <w:r w:rsidR="00965561" w:rsidRPr="003F7BA3">
        <w:rPr>
          <w:color w:val="000000" w:themeColor="text1"/>
          <w:sz w:val="20"/>
          <w:szCs w:val="20"/>
        </w:rPr>
        <w:t xml:space="preserve"> </w:t>
      </w:r>
      <w:r w:rsidRPr="003F7BA3">
        <w:rPr>
          <w:color w:val="000000" w:themeColor="text1"/>
          <w:sz w:val="20"/>
          <w:szCs w:val="20"/>
        </w:rPr>
        <w:t xml:space="preserve">use class B1 and C3, on the basis of </w:t>
      </w:r>
      <w:r w:rsidR="00795E22" w:rsidRPr="003F7BA3">
        <w:rPr>
          <w:color w:val="000000" w:themeColor="text1"/>
          <w:sz w:val="20"/>
          <w:szCs w:val="20"/>
        </w:rPr>
        <w:t xml:space="preserve"> Part 3, Class V</w:t>
      </w:r>
      <w:r w:rsidR="00965561" w:rsidRPr="003F7BA3">
        <w:rPr>
          <w:color w:val="000000" w:themeColor="text1"/>
          <w:sz w:val="20"/>
          <w:szCs w:val="20"/>
        </w:rPr>
        <w:t>, Schedule 2 to the Town &amp; Country Planning General Permitted Development Order</w:t>
      </w:r>
      <w:r w:rsidR="00795E22" w:rsidRPr="003F7BA3">
        <w:rPr>
          <w:color w:val="000000" w:themeColor="text1"/>
          <w:sz w:val="20"/>
          <w:szCs w:val="20"/>
        </w:rPr>
        <w:t xml:space="preserve"> 2015</w:t>
      </w:r>
      <w:r w:rsidR="00965561" w:rsidRPr="003F7BA3">
        <w:rPr>
          <w:color w:val="000000" w:themeColor="text1"/>
          <w:sz w:val="20"/>
          <w:szCs w:val="20"/>
        </w:rPr>
        <w:t>.</w:t>
      </w:r>
      <w:r w:rsidR="00480D52">
        <w:rPr>
          <w:color w:val="000000" w:themeColor="text1"/>
          <w:sz w:val="20"/>
          <w:szCs w:val="20"/>
        </w:rPr>
        <w:t xml:space="preserve"> This provides as follows:</w:t>
      </w:r>
    </w:p>
    <w:p w:rsidR="00480D52" w:rsidRPr="00480D52" w:rsidRDefault="00480D52" w:rsidP="00480D52">
      <w:pPr>
        <w:pStyle w:val="NormalWeb"/>
        <w:spacing w:before="225" w:beforeAutospacing="0" w:after="225" w:afterAutospacing="0"/>
        <w:ind w:left="720"/>
        <w:rPr>
          <w:rFonts w:ascii="Times-Bold" w:hAnsi="Times-Bold"/>
          <w:bCs/>
          <w:color w:val="000000"/>
          <w:sz w:val="20"/>
          <w:szCs w:val="20"/>
        </w:rPr>
      </w:pPr>
      <w:r>
        <w:rPr>
          <w:rStyle w:val="fontstyle01"/>
          <w:sz w:val="20"/>
          <w:szCs w:val="20"/>
        </w:rPr>
        <w:t>“</w:t>
      </w:r>
      <w:r w:rsidR="003E2375" w:rsidRPr="00480D52">
        <w:rPr>
          <w:rStyle w:val="fontstyle01"/>
          <w:sz w:val="20"/>
          <w:szCs w:val="20"/>
        </w:rPr>
        <w:t>Class V – changes of use permitted under a permission granted on an application</w:t>
      </w:r>
      <w:r w:rsidR="003E2375" w:rsidRPr="00480D52">
        <w:rPr>
          <w:rFonts w:ascii="Times-Italic" w:hAnsi="Times-Italic"/>
          <w:i/>
          <w:iCs/>
          <w:color w:val="000000"/>
          <w:sz w:val="20"/>
          <w:szCs w:val="20"/>
        </w:rPr>
        <w:br/>
      </w:r>
      <w:r w:rsidR="003E2375" w:rsidRPr="00480D52">
        <w:rPr>
          <w:rStyle w:val="fontstyle21"/>
          <w:b w:val="0"/>
          <w:sz w:val="20"/>
          <w:szCs w:val="20"/>
        </w:rPr>
        <w:t>Permitted development</w:t>
      </w:r>
      <w:r w:rsidR="003E2375" w:rsidRPr="00480D52">
        <w:rPr>
          <w:rFonts w:ascii="Times-Bold" w:hAnsi="Times-Bold"/>
          <w:bCs/>
          <w:color w:val="000000"/>
          <w:sz w:val="20"/>
          <w:szCs w:val="20"/>
        </w:rPr>
        <w:br/>
      </w:r>
      <w:r w:rsidR="003E2375" w:rsidRPr="00480D52">
        <w:rPr>
          <w:rStyle w:val="fontstyle21"/>
          <w:b w:val="0"/>
          <w:sz w:val="20"/>
          <w:szCs w:val="20"/>
        </w:rPr>
        <w:t xml:space="preserve">V. </w:t>
      </w:r>
      <w:r w:rsidR="003E2375" w:rsidRPr="00480D52">
        <w:rPr>
          <w:rStyle w:val="fontstyle31"/>
          <w:b w:val="0"/>
          <w:sz w:val="20"/>
          <w:szCs w:val="20"/>
        </w:rPr>
        <w:t>Development consisting of a change of use of a building or other land from a use permitted</w:t>
      </w:r>
      <w:r w:rsidRPr="00480D52">
        <w:rPr>
          <w:rFonts w:ascii="Times-BoldItalic" w:hAnsi="Times-BoldItalic"/>
          <w:bCs/>
          <w:i/>
          <w:iCs/>
          <w:color w:val="000000"/>
          <w:sz w:val="20"/>
          <w:szCs w:val="20"/>
        </w:rPr>
        <w:t xml:space="preserve"> </w:t>
      </w:r>
      <w:r w:rsidR="003E2375" w:rsidRPr="00480D52">
        <w:rPr>
          <w:rStyle w:val="fontstyle31"/>
          <w:b w:val="0"/>
          <w:sz w:val="20"/>
          <w:szCs w:val="20"/>
        </w:rPr>
        <w:t xml:space="preserve">by planning permission granted on an application, to another use which </w:t>
      </w:r>
      <w:r w:rsidR="003E2375" w:rsidRPr="0075280D">
        <w:rPr>
          <w:rStyle w:val="fontstyle31"/>
          <w:b w:val="0"/>
          <w:sz w:val="20"/>
          <w:szCs w:val="20"/>
        </w:rPr>
        <w:t>that</w:t>
      </w:r>
      <w:r w:rsidR="003E2375" w:rsidRPr="00480D52">
        <w:rPr>
          <w:rStyle w:val="fontstyle31"/>
          <w:b w:val="0"/>
          <w:sz w:val="20"/>
          <w:szCs w:val="20"/>
        </w:rPr>
        <w:t xml:space="preserve"> permission would</w:t>
      </w:r>
      <w:r w:rsidRPr="00480D52">
        <w:rPr>
          <w:rFonts w:ascii="Times-BoldItalic" w:hAnsi="Times-BoldItalic"/>
          <w:bCs/>
          <w:i/>
          <w:iCs/>
          <w:color w:val="000000"/>
          <w:sz w:val="20"/>
          <w:szCs w:val="20"/>
        </w:rPr>
        <w:t xml:space="preserve"> </w:t>
      </w:r>
      <w:r w:rsidR="003E2375" w:rsidRPr="00480D52">
        <w:rPr>
          <w:rStyle w:val="fontstyle31"/>
          <w:b w:val="0"/>
          <w:sz w:val="20"/>
          <w:szCs w:val="20"/>
        </w:rPr>
        <w:t>have specifically authorised when it was granted.</w:t>
      </w:r>
      <w:r w:rsidR="003E2375" w:rsidRPr="00480D52">
        <w:rPr>
          <w:rFonts w:ascii="Times-BoldItalic" w:hAnsi="Times-BoldItalic"/>
          <w:bCs/>
          <w:i/>
          <w:iCs/>
          <w:color w:val="000000"/>
          <w:sz w:val="20"/>
          <w:szCs w:val="20"/>
        </w:rPr>
        <w:br/>
      </w:r>
      <w:r w:rsidR="003E2375" w:rsidRPr="00480D52">
        <w:rPr>
          <w:rStyle w:val="fontstyle21"/>
          <w:b w:val="0"/>
          <w:sz w:val="20"/>
          <w:szCs w:val="20"/>
        </w:rPr>
        <w:t>Development not permitted</w:t>
      </w:r>
      <w:r w:rsidR="003E2375" w:rsidRPr="00480D52">
        <w:rPr>
          <w:rFonts w:ascii="Times-Bold" w:hAnsi="Times-Bold"/>
          <w:bCs/>
          <w:color w:val="000000"/>
          <w:sz w:val="20"/>
          <w:szCs w:val="20"/>
        </w:rPr>
        <w:br/>
      </w:r>
      <w:r w:rsidR="003E2375" w:rsidRPr="00480D52">
        <w:rPr>
          <w:rStyle w:val="fontstyle21"/>
          <w:sz w:val="20"/>
          <w:szCs w:val="20"/>
        </w:rPr>
        <w:t xml:space="preserve">V.1 </w:t>
      </w:r>
      <w:r w:rsidR="003E2375" w:rsidRPr="00480D52">
        <w:rPr>
          <w:rStyle w:val="fontstyle41"/>
          <w:sz w:val="20"/>
          <w:szCs w:val="20"/>
        </w:rPr>
        <w:t>Development is not permitted by Class V if—</w:t>
      </w:r>
      <w:r w:rsidR="003E2375" w:rsidRPr="00480D52">
        <w:rPr>
          <w:rFonts w:ascii="Times-Roman" w:hAnsi="Times-Roman"/>
          <w:color w:val="000000"/>
          <w:sz w:val="20"/>
          <w:szCs w:val="20"/>
        </w:rPr>
        <w:br/>
      </w:r>
      <w:r w:rsidR="003E2375" w:rsidRPr="00480D52">
        <w:rPr>
          <w:rStyle w:val="fontstyle41"/>
          <w:sz w:val="20"/>
          <w:szCs w:val="20"/>
        </w:rPr>
        <w:t>(a) the application for planning permission referred to was made before 5th December 1988;</w:t>
      </w:r>
      <w:r w:rsidR="003E2375" w:rsidRPr="00480D52">
        <w:rPr>
          <w:rFonts w:ascii="Times-Roman" w:hAnsi="Times-Roman"/>
          <w:color w:val="000000"/>
          <w:sz w:val="20"/>
          <w:szCs w:val="20"/>
        </w:rPr>
        <w:br/>
      </w:r>
      <w:r w:rsidR="003E2375" w:rsidRPr="00480D52">
        <w:rPr>
          <w:rStyle w:val="fontstyle41"/>
          <w:sz w:val="20"/>
          <w:szCs w:val="20"/>
        </w:rPr>
        <w:t>(b) it would be carried out more than 10 years after the grant of planning p</w:t>
      </w:r>
      <w:r w:rsidRPr="00480D52">
        <w:rPr>
          <w:rStyle w:val="fontstyle41"/>
          <w:sz w:val="20"/>
          <w:szCs w:val="20"/>
        </w:rPr>
        <w:t>lanning permission</w:t>
      </w:r>
      <w:r>
        <w:rPr>
          <w:rStyle w:val="fontstyle41"/>
          <w:rFonts w:ascii="Times-Bold" w:hAnsi="Times-Bold"/>
          <w:bCs/>
          <w:sz w:val="20"/>
          <w:szCs w:val="20"/>
        </w:rPr>
        <w:t xml:space="preserve">             </w:t>
      </w:r>
      <w:r>
        <w:rPr>
          <w:rFonts w:ascii="Times-Roman" w:hAnsi="Times-Roman"/>
          <w:color w:val="000000"/>
          <w:sz w:val="20"/>
          <w:szCs w:val="20"/>
        </w:rPr>
        <w:t>(c</w:t>
      </w:r>
      <w:r w:rsidRPr="00480D52">
        <w:rPr>
          <w:rFonts w:ascii="Times-Roman" w:hAnsi="Times-Roman"/>
          <w:color w:val="000000"/>
          <w:sz w:val="20"/>
          <w:szCs w:val="20"/>
        </w:rPr>
        <w:t>) the development would consist of a change of use of a building to use as betting office or</w:t>
      </w:r>
      <w:r w:rsidRPr="00480D52">
        <w:rPr>
          <w:rFonts w:ascii="Times-Roman" w:hAnsi="Times-Roman"/>
          <w:color w:val="000000"/>
          <w:sz w:val="20"/>
          <w:szCs w:val="20"/>
        </w:rPr>
        <w:br/>
        <w:t>pay day loan shop; or</w:t>
      </w:r>
      <w:r w:rsidRPr="00480D52">
        <w:rPr>
          <w:rFonts w:ascii="Times-Roman" w:hAnsi="Times-Roman"/>
          <w:color w:val="000000"/>
          <w:sz w:val="20"/>
          <w:szCs w:val="20"/>
        </w:rPr>
        <w:br/>
        <w:t>(d) it would result in the breach of any condition, limitation or specification contained in that</w:t>
      </w:r>
      <w:r w:rsidRPr="00480D52">
        <w:rPr>
          <w:rFonts w:ascii="Times-Roman" w:hAnsi="Times-Roman"/>
          <w:color w:val="000000"/>
          <w:sz w:val="20"/>
          <w:szCs w:val="20"/>
        </w:rPr>
        <w:br/>
        <w:t>planning permission in relation to the use in question</w:t>
      </w:r>
      <w:r w:rsidR="0075280D">
        <w:rPr>
          <w:rFonts w:ascii="Times-Roman" w:hAnsi="Times-Roman"/>
          <w:color w:val="000000"/>
          <w:sz w:val="20"/>
          <w:szCs w:val="20"/>
        </w:rPr>
        <w:t>”</w:t>
      </w:r>
    </w:p>
    <w:p w:rsidR="00965561" w:rsidRPr="003F7BA3" w:rsidRDefault="00454098" w:rsidP="00965561">
      <w:pPr>
        <w:pStyle w:val="NormalWeb"/>
        <w:numPr>
          <w:ilvl w:val="0"/>
          <w:numId w:val="1"/>
        </w:numPr>
        <w:spacing w:before="225" w:beforeAutospacing="0" w:after="225" w:afterAutospacing="0" w:line="330" w:lineRule="atLeast"/>
        <w:rPr>
          <w:color w:val="000000" w:themeColor="text1"/>
          <w:sz w:val="20"/>
          <w:szCs w:val="20"/>
        </w:rPr>
      </w:pPr>
      <w:r w:rsidRPr="003F7BA3">
        <w:rPr>
          <w:color w:val="000000" w:themeColor="text1"/>
          <w:sz w:val="20"/>
          <w:szCs w:val="20"/>
        </w:rPr>
        <w:t>This is a problem for CGCA</w:t>
      </w:r>
      <w:r w:rsidR="00965561" w:rsidRPr="003F7BA3">
        <w:rPr>
          <w:color w:val="000000" w:themeColor="text1"/>
          <w:sz w:val="20"/>
          <w:szCs w:val="20"/>
        </w:rPr>
        <w:t xml:space="preserve"> because landowners </w:t>
      </w:r>
      <w:r w:rsidRPr="003F7BA3">
        <w:rPr>
          <w:color w:val="000000" w:themeColor="text1"/>
          <w:sz w:val="20"/>
          <w:szCs w:val="20"/>
        </w:rPr>
        <w:t>sometimes obtain a dual use permission but do</w:t>
      </w:r>
      <w:r w:rsidR="00495D7F">
        <w:rPr>
          <w:color w:val="000000" w:themeColor="text1"/>
          <w:sz w:val="20"/>
          <w:szCs w:val="20"/>
        </w:rPr>
        <w:t xml:space="preserve"> not implement it </w:t>
      </w:r>
      <w:r w:rsidR="00DD1B24" w:rsidRPr="003F7BA3">
        <w:rPr>
          <w:color w:val="000000" w:themeColor="text1"/>
          <w:sz w:val="20"/>
          <w:szCs w:val="20"/>
        </w:rPr>
        <w:t xml:space="preserve"> until after planning circumstances have significantly changed</w:t>
      </w:r>
      <w:r w:rsidRPr="003F7BA3">
        <w:rPr>
          <w:color w:val="000000" w:themeColor="text1"/>
          <w:sz w:val="20"/>
          <w:szCs w:val="20"/>
        </w:rPr>
        <w:t>. The change of use may no longer be appropriate. If a planning</w:t>
      </w:r>
      <w:r w:rsidR="0037258B">
        <w:rPr>
          <w:color w:val="000000" w:themeColor="text1"/>
          <w:sz w:val="20"/>
          <w:szCs w:val="20"/>
        </w:rPr>
        <w:t xml:space="preserve"> application were made at the la</w:t>
      </w:r>
      <w:r w:rsidRPr="003F7BA3">
        <w:rPr>
          <w:color w:val="000000" w:themeColor="text1"/>
          <w:sz w:val="20"/>
          <w:szCs w:val="20"/>
        </w:rPr>
        <w:t xml:space="preserve">ter time it might well be </w:t>
      </w:r>
      <w:r w:rsidR="00965561" w:rsidRPr="003F7BA3">
        <w:rPr>
          <w:color w:val="000000" w:themeColor="text1"/>
          <w:sz w:val="20"/>
          <w:szCs w:val="20"/>
        </w:rPr>
        <w:t xml:space="preserve"> refused.</w:t>
      </w:r>
    </w:p>
    <w:p w:rsidR="00DD1B24" w:rsidRPr="003F7BA3" w:rsidRDefault="00965561" w:rsidP="00965561">
      <w:pPr>
        <w:pStyle w:val="NormalWeb"/>
        <w:numPr>
          <w:ilvl w:val="0"/>
          <w:numId w:val="1"/>
        </w:numPr>
        <w:spacing w:before="225" w:beforeAutospacing="0" w:after="225" w:afterAutospacing="0" w:line="330" w:lineRule="atLeast"/>
        <w:rPr>
          <w:color w:val="000000" w:themeColor="text1"/>
          <w:sz w:val="20"/>
          <w:szCs w:val="20"/>
        </w:rPr>
      </w:pPr>
      <w:r w:rsidRPr="003F7BA3">
        <w:rPr>
          <w:color w:val="000000" w:themeColor="text1"/>
          <w:sz w:val="20"/>
          <w:szCs w:val="20"/>
        </w:rPr>
        <w:t>The develo</w:t>
      </w:r>
      <w:r w:rsidR="00DD1B24" w:rsidRPr="003F7BA3">
        <w:rPr>
          <w:color w:val="000000" w:themeColor="text1"/>
          <w:sz w:val="20"/>
          <w:szCs w:val="20"/>
        </w:rPr>
        <w:t>pers assert that they have effectively circumvented the standard condition that</w:t>
      </w:r>
    </w:p>
    <w:p w:rsidR="00DD1B24" w:rsidRPr="003F7BA3" w:rsidRDefault="00DD1B24" w:rsidP="0081235A">
      <w:pPr>
        <w:pStyle w:val="NormalWeb"/>
        <w:spacing w:before="225" w:beforeAutospacing="0" w:after="225" w:afterAutospacing="0"/>
        <w:ind w:left="1440"/>
        <w:rPr>
          <w:color w:val="000000" w:themeColor="text1"/>
          <w:sz w:val="20"/>
          <w:szCs w:val="20"/>
        </w:rPr>
      </w:pPr>
      <w:r w:rsidRPr="003F7BA3">
        <w:rPr>
          <w:color w:val="000000" w:themeColor="text1"/>
          <w:sz w:val="20"/>
          <w:szCs w:val="20"/>
        </w:rPr>
        <w:t xml:space="preserve"> </w:t>
      </w:r>
      <w:r w:rsidR="00965561" w:rsidRPr="003F7BA3">
        <w:rPr>
          <w:color w:val="000000" w:themeColor="text1"/>
          <w:sz w:val="20"/>
          <w:szCs w:val="20"/>
        </w:rPr>
        <w:t xml:space="preserve">“development hereby permitted must be begun not later than the end of three years from the date of this permission”. </w:t>
      </w:r>
    </w:p>
    <w:p w:rsidR="00965561" w:rsidRPr="003F7BA3" w:rsidRDefault="00965561" w:rsidP="00DD1B24">
      <w:pPr>
        <w:pStyle w:val="NormalWeb"/>
        <w:spacing w:before="225" w:beforeAutospacing="0" w:after="225" w:afterAutospacing="0" w:line="330" w:lineRule="atLeast"/>
        <w:ind w:left="720"/>
        <w:rPr>
          <w:color w:val="000000" w:themeColor="text1"/>
          <w:sz w:val="20"/>
          <w:szCs w:val="20"/>
        </w:rPr>
      </w:pPr>
      <w:r w:rsidRPr="003F7BA3">
        <w:rPr>
          <w:color w:val="000000" w:themeColor="text1"/>
          <w:sz w:val="20"/>
          <w:szCs w:val="20"/>
        </w:rPr>
        <w:t>Since one of the uses is continuing on the first day after</w:t>
      </w:r>
      <w:r w:rsidR="00DD1B24" w:rsidRPr="003F7BA3">
        <w:rPr>
          <w:color w:val="000000" w:themeColor="text1"/>
          <w:sz w:val="20"/>
          <w:szCs w:val="20"/>
        </w:rPr>
        <w:t xml:space="preserve"> permission is granted, they claim</w:t>
      </w:r>
      <w:r w:rsidRPr="003F7BA3">
        <w:rPr>
          <w:color w:val="000000" w:themeColor="text1"/>
          <w:sz w:val="20"/>
          <w:szCs w:val="20"/>
        </w:rPr>
        <w:t xml:space="preserve"> that the development has immediately begun, which triggers the start of the 10 year permission enabling change to the other use at any time.</w:t>
      </w:r>
    </w:p>
    <w:p w:rsidR="00DD1B24" w:rsidRPr="003F7BA3" w:rsidRDefault="00DD1B24" w:rsidP="00DD1B24">
      <w:pPr>
        <w:pStyle w:val="NormalWeb"/>
        <w:numPr>
          <w:ilvl w:val="0"/>
          <w:numId w:val="1"/>
        </w:numPr>
        <w:spacing w:before="225" w:beforeAutospacing="0" w:after="225" w:afterAutospacing="0" w:line="330" w:lineRule="atLeast"/>
        <w:rPr>
          <w:color w:val="000000" w:themeColor="text1"/>
          <w:sz w:val="20"/>
          <w:szCs w:val="20"/>
        </w:rPr>
      </w:pPr>
      <w:r w:rsidRPr="003F7BA3">
        <w:rPr>
          <w:color w:val="000000" w:themeColor="text1"/>
          <w:sz w:val="20"/>
          <w:szCs w:val="20"/>
        </w:rPr>
        <w:t>That develope</w:t>
      </w:r>
      <w:r w:rsidR="007153D1">
        <w:rPr>
          <w:color w:val="000000" w:themeColor="text1"/>
          <w:sz w:val="20"/>
          <w:szCs w:val="20"/>
        </w:rPr>
        <w:t>r’s assertion is</w:t>
      </w:r>
      <w:r w:rsidRPr="003F7BA3">
        <w:rPr>
          <w:color w:val="000000" w:themeColor="text1"/>
          <w:sz w:val="20"/>
          <w:szCs w:val="20"/>
        </w:rPr>
        <w:t xml:space="preserve"> based on a misunderstanding of the </w:t>
      </w:r>
      <w:r w:rsidR="00FD5624">
        <w:rPr>
          <w:color w:val="000000" w:themeColor="text1"/>
          <w:sz w:val="20"/>
          <w:szCs w:val="20"/>
        </w:rPr>
        <w:t xml:space="preserve">nature of planning permission and the </w:t>
      </w:r>
      <w:r w:rsidRPr="003F7BA3">
        <w:rPr>
          <w:color w:val="000000" w:themeColor="text1"/>
          <w:sz w:val="20"/>
          <w:szCs w:val="20"/>
        </w:rPr>
        <w:t>meaning of development</w:t>
      </w:r>
      <w:r w:rsidR="00295D01" w:rsidRPr="003F7BA3">
        <w:rPr>
          <w:color w:val="000000" w:themeColor="text1"/>
          <w:sz w:val="20"/>
          <w:szCs w:val="20"/>
        </w:rPr>
        <w:t xml:space="preserve">. </w:t>
      </w:r>
      <w:r w:rsidR="00FD5624">
        <w:rPr>
          <w:color w:val="000000" w:themeColor="text1"/>
          <w:sz w:val="20"/>
          <w:szCs w:val="20"/>
        </w:rPr>
        <w:t xml:space="preserve">Planning permission can only be granted  for development. </w:t>
      </w:r>
      <w:r w:rsidR="00295D01" w:rsidRPr="003F7BA3">
        <w:rPr>
          <w:color w:val="000000" w:themeColor="text1"/>
          <w:sz w:val="20"/>
          <w:szCs w:val="20"/>
        </w:rPr>
        <w:t>D</w:t>
      </w:r>
      <w:r w:rsidRPr="003F7BA3">
        <w:rPr>
          <w:color w:val="000000" w:themeColor="text1"/>
          <w:sz w:val="20"/>
          <w:szCs w:val="20"/>
        </w:rPr>
        <w:t xml:space="preserve">evelopment is defined in the Town and Country Planning Act 1990 as </w:t>
      </w:r>
    </w:p>
    <w:p w:rsidR="00DA4B71" w:rsidRPr="004D0CC9" w:rsidRDefault="00F267A3" w:rsidP="00DA4B71">
      <w:pPr>
        <w:shd w:val="clear" w:color="auto" w:fill="FFFFFF"/>
        <w:ind w:left="360"/>
        <w:outlineLvl w:val="4"/>
        <w:rPr>
          <w:rFonts w:ascii="Times New Roman" w:eastAsia="Times New Roman" w:hAnsi="Times New Roman"/>
          <w:color w:val="000000"/>
          <w:sz w:val="20"/>
          <w:szCs w:val="20"/>
          <w:lang w:val="en"/>
        </w:rPr>
      </w:pPr>
      <w:r w:rsidRPr="003F7BA3">
        <w:rPr>
          <w:color w:val="000000" w:themeColor="text1"/>
          <w:sz w:val="20"/>
          <w:szCs w:val="20"/>
        </w:rPr>
        <w:t>“</w:t>
      </w:r>
      <w:r w:rsidR="005C0939" w:rsidRPr="00DA4B71">
        <w:rPr>
          <w:rFonts w:ascii="Times New Roman" w:hAnsi="Times New Roman"/>
          <w:b/>
          <w:color w:val="000000" w:themeColor="text1"/>
          <w:sz w:val="20"/>
          <w:szCs w:val="20"/>
        </w:rPr>
        <w:t>55</w:t>
      </w:r>
      <w:r w:rsidR="005C0939" w:rsidRPr="00DA4B71">
        <w:rPr>
          <w:rFonts w:ascii="Times New Roman" w:hAnsi="Times New Roman"/>
          <w:color w:val="000000" w:themeColor="text1"/>
          <w:sz w:val="20"/>
          <w:szCs w:val="20"/>
        </w:rPr>
        <w:t xml:space="preserve"> </w:t>
      </w:r>
      <w:r w:rsidR="005C0939" w:rsidRPr="00DA4B71">
        <w:rPr>
          <w:rStyle w:val="legds2"/>
          <w:rFonts w:ascii="Times New Roman" w:hAnsi="Times New Roman"/>
          <w:color w:val="000000" w:themeColor="text1"/>
          <w:sz w:val="20"/>
          <w:szCs w:val="20"/>
          <w:lang w:val="en"/>
          <w:specVanish w:val="0"/>
        </w:rPr>
        <w:t>(1)</w:t>
      </w:r>
      <w:r w:rsidR="00795E22" w:rsidRPr="00DA4B71">
        <w:rPr>
          <w:rStyle w:val="legds2"/>
          <w:rFonts w:ascii="Times New Roman" w:hAnsi="Times New Roman"/>
          <w:color w:val="000000" w:themeColor="text1"/>
          <w:sz w:val="20"/>
          <w:szCs w:val="20"/>
          <w:lang w:val="en"/>
          <w:specVanish w:val="0"/>
        </w:rPr>
        <w:t xml:space="preserve"> </w:t>
      </w:r>
      <w:r w:rsidR="005C0939" w:rsidRPr="00DA4B71">
        <w:rPr>
          <w:rStyle w:val="legds2"/>
          <w:rFonts w:ascii="Times New Roman" w:hAnsi="Times New Roman"/>
          <w:color w:val="000000" w:themeColor="text1"/>
          <w:sz w:val="20"/>
          <w:szCs w:val="20"/>
          <w:lang w:val="en"/>
          <w:specVanish w:val="0"/>
        </w:rPr>
        <w:t>Subject to</w:t>
      </w:r>
      <w:r w:rsidR="005C0939" w:rsidRPr="003F7BA3">
        <w:rPr>
          <w:rStyle w:val="legds2"/>
          <w:color w:val="000000" w:themeColor="text1"/>
          <w:sz w:val="20"/>
          <w:szCs w:val="20"/>
          <w:lang w:val="en"/>
          <w:specVanish w:val="0"/>
        </w:rPr>
        <w:t xml:space="preserve"> </w:t>
      </w:r>
    </w:p>
    <w:p w:rsidR="00DD1B24" w:rsidRPr="003F7BA3" w:rsidRDefault="005C0939" w:rsidP="0081235A">
      <w:pPr>
        <w:pStyle w:val="NormalWeb"/>
        <w:spacing w:before="225" w:beforeAutospacing="0" w:after="225" w:afterAutospacing="0"/>
        <w:ind w:left="1440"/>
        <w:rPr>
          <w:color w:val="000000" w:themeColor="text1"/>
          <w:sz w:val="20"/>
          <w:szCs w:val="20"/>
        </w:rPr>
      </w:pPr>
      <w:r w:rsidRPr="003F7BA3">
        <w:rPr>
          <w:rStyle w:val="legds2"/>
          <w:color w:val="000000" w:themeColor="text1"/>
          <w:sz w:val="20"/>
          <w:szCs w:val="20"/>
          <w:lang w:val="en"/>
          <w:specVanish w:val="0"/>
        </w:rPr>
        <w:t>the following provisions of this section, in this Act, except where the context otherwise requires, “</w:t>
      </w:r>
      <w:r w:rsidRPr="003F7BA3">
        <w:rPr>
          <w:rStyle w:val="legterm"/>
          <w:color w:val="000000" w:themeColor="text1"/>
          <w:sz w:val="20"/>
          <w:szCs w:val="20"/>
          <w:lang w:val="en"/>
        </w:rPr>
        <w:t>development,</w:t>
      </w:r>
      <w:r w:rsidRPr="003F7BA3">
        <w:rPr>
          <w:rStyle w:val="legds2"/>
          <w:color w:val="000000" w:themeColor="text1"/>
          <w:sz w:val="20"/>
          <w:szCs w:val="20"/>
          <w:lang w:val="en"/>
          <w:specVanish w:val="0"/>
        </w:rPr>
        <w:t xml:space="preserve">” means the carrying out of building, engineering, mining or other operations in, on, over or under land, or the making of any material </w:t>
      </w:r>
      <w:r w:rsidRPr="003F7BA3">
        <w:rPr>
          <w:rStyle w:val="legds2"/>
          <w:i/>
          <w:color w:val="000000" w:themeColor="text1"/>
          <w:sz w:val="20"/>
          <w:szCs w:val="20"/>
          <w:u w:val="single"/>
          <w:lang w:val="en"/>
          <w:specVanish w:val="0"/>
        </w:rPr>
        <w:t>change</w:t>
      </w:r>
      <w:r w:rsidRPr="003F7BA3">
        <w:rPr>
          <w:rStyle w:val="legds2"/>
          <w:color w:val="000000" w:themeColor="text1"/>
          <w:sz w:val="20"/>
          <w:szCs w:val="20"/>
          <w:lang w:val="en"/>
          <w:specVanish w:val="0"/>
        </w:rPr>
        <w:t xml:space="preserve"> in the use of any buildings or other land</w:t>
      </w:r>
      <w:r w:rsidR="00F267A3" w:rsidRPr="003F7BA3">
        <w:rPr>
          <w:color w:val="000000" w:themeColor="text1"/>
          <w:sz w:val="20"/>
          <w:szCs w:val="20"/>
        </w:rPr>
        <w:t>”</w:t>
      </w:r>
      <w:r w:rsidRPr="003F7BA3">
        <w:rPr>
          <w:color w:val="000000" w:themeColor="text1"/>
          <w:sz w:val="20"/>
          <w:szCs w:val="20"/>
        </w:rPr>
        <w:t xml:space="preserve"> (my emphasis)</w:t>
      </w:r>
    </w:p>
    <w:p w:rsidR="00DA4B71" w:rsidRDefault="004D0CC9" w:rsidP="004D0CC9">
      <w:pPr>
        <w:shd w:val="clear" w:color="auto" w:fill="FFFFFF"/>
        <w:outlineLvl w:val="4"/>
        <w:rPr>
          <w:rFonts w:ascii="Times New Roman" w:hAnsi="Times New Roman"/>
          <w:color w:val="000000" w:themeColor="text1"/>
          <w:sz w:val="20"/>
          <w:szCs w:val="20"/>
        </w:rPr>
      </w:pPr>
      <w:r w:rsidRPr="007153D1">
        <w:rPr>
          <w:rFonts w:ascii="Times New Roman" w:hAnsi="Times New Roman"/>
          <w:color w:val="000000" w:themeColor="text1"/>
          <w:sz w:val="20"/>
          <w:szCs w:val="20"/>
          <w:u w:val="single"/>
        </w:rPr>
        <w:t>Uses</w:t>
      </w:r>
      <w:r w:rsidR="007153D1">
        <w:rPr>
          <w:rFonts w:ascii="Times New Roman" w:hAnsi="Times New Roman"/>
          <w:color w:val="000000" w:themeColor="text1"/>
          <w:sz w:val="20"/>
          <w:szCs w:val="20"/>
        </w:rPr>
        <w:t xml:space="preserve">, rather than </w:t>
      </w:r>
      <w:r w:rsidR="007153D1" w:rsidRPr="007153D1">
        <w:rPr>
          <w:rFonts w:ascii="Times New Roman" w:hAnsi="Times New Roman"/>
          <w:color w:val="000000" w:themeColor="text1"/>
          <w:sz w:val="20"/>
          <w:szCs w:val="20"/>
          <w:u w:val="single"/>
        </w:rPr>
        <w:t>changes</w:t>
      </w:r>
      <w:r w:rsidR="007153D1">
        <w:rPr>
          <w:rFonts w:ascii="Times New Roman" w:hAnsi="Times New Roman"/>
          <w:color w:val="000000" w:themeColor="text1"/>
          <w:sz w:val="20"/>
          <w:szCs w:val="20"/>
        </w:rPr>
        <w:t xml:space="preserve"> of use,</w:t>
      </w:r>
      <w:r w:rsidRPr="004D0CC9">
        <w:rPr>
          <w:rFonts w:ascii="Times New Roman" w:hAnsi="Times New Roman"/>
          <w:color w:val="000000" w:themeColor="text1"/>
          <w:sz w:val="20"/>
          <w:szCs w:val="20"/>
        </w:rPr>
        <w:t xml:space="preserve"> are only in themselves permitted where buildings are constructed. </w:t>
      </w:r>
    </w:p>
    <w:p w:rsidR="00DA4B71" w:rsidRDefault="00DA4B71" w:rsidP="004D0CC9">
      <w:pPr>
        <w:shd w:val="clear" w:color="auto" w:fill="FFFFFF"/>
        <w:outlineLvl w:val="4"/>
        <w:rPr>
          <w:rFonts w:ascii="Times New Roman" w:hAnsi="Times New Roman"/>
          <w:color w:val="000000" w:themeColor="text1"/>
          <w:sz w:val="20"/>
          <w:szCs w:val="20"/>
        </w:rPr>
      </w:pPr>
    </w:p>
    <w:p w:rsidR="00DA4B71" w:rsidRDefault="00DA4B71" w:rsidP="00DA4B71">
      <w:pPr>
        <w:shd w:val="clear" w:color="auto" w:fill="FFFFFF"/>
        <w:ind w:left="360"/>
        <w:outlineLvl w:val="4"/>
        <w:rPr>
          <w:rFonts w:ascii="Times New Roman" w:eastAsia="Times New Roman" w:hAnsi="Times New Roman"/>
          <w:color w:val="000000"/>
          <w:sz w:val="20"/>
          <w:szCs w:val="20"/>
          <w:lang w:val="en"/>
        </w:rPr>
      </w:pPr>
      <w:r>
        <w:rPr>
          <w:rFonts w:ascii="Times New Roman" w:eastAsia="Times New Roman" w:hAnsi="Times New Roman"/>
          <w:color w:val="000000"/>
          <w:sz w:val="20"/>
          <w:szCs w:val="20"/>
          <w:lang w:val="en"/>
        </w:rPr>
        <w:t>“</w:t>
      </w:r>
      <w:r w:rsidRPr="004D0CC9">
        <w:rPr>
          <w:rFonts w:ascii="Times New Roman" w:eastAsia="Times New Roman" w:hAnsi="Times New Roman"/>
          <w:color w:val="000000"/>
          <w:sz w:val="20"/>
          <w:szCs w:val="20"/>
          <w:lang w:val="en"/>
        </w:rPr>
        <w:t xml:space="preserve">75 </w:t>
      </w:r>
      <w:r w:rsidRPr="004D0CC9">
        <w:rPr>
          <w:rFonts w:ascii="Times New Roman" w:eastAsia="Times New Roman" w:hAnsi="Times New Roman"/>
          <w:b/>
          <w:color w:val="000000"/>
          <w:sz w:val="20"/>
          <w:szCs w:val="20"/>
          <w:lang w:val="en"/>
        </w:rPr>
        <w:t>Effect of planning permission</w:t>
      </w:r>
      <w:r w:rsidRPr="004D0CC9">
        <w:rPr>
          <w:rFonts w:ascii="Times New Roman" w:eastAsia="Times New Roman" w:hAnsi="Times New Roman"/>
          <w:color w:val="000000"/>
          <w:sz w:val="20"/>
          <w:szCs w:val="20"/>
          <w:lang w:val="en"/>
        </w:rPr>
        <w:t>.</w:t>
      </w:r>
    </w:p>
    <w:p w:rsidR="00DA4B71" w:rsidRPr="004D0CC9" w:rsidRDefault="00DA4B71" w:rsidP="00DA4B71">
      <w:pPr>
        <w:shd w:val="clear" w:color="auto" w:fill="FFFFFF"/>
        <w:ind w:left="360"/>
        <w:outlineLvl w:val="4"/>
        <w:rPr>
          <w:rFonts w:ascii="Times New Roman" w:eastAsia="Times New Roman" w:hAnsi="Times New Roman"/>
          <w:color w:val="000000"/>
          <w:sz w:val="20"/>
          <w:szCs w:val="20"/>
          <w:lang w:val="en"/>
        </w:rPr>
      </w:pPr>
      <w:r w:rsidRPr="004D0CC9">
        <w:rPr>
          <w:rFonts w:ascii="Times New Roman" w:eastAsia="Times New Roman" w:hAnsi="Times New Roman"/>
          <w:b/>
          <w:bCs/>
          <w:vanish/>
          <w:color w:val="FFFFFF"/>
          <w:sz w:val="20"/>
          <w:szCs w:val="20"/>
          <w:shd w:val="clear" w:color="auto" w:fill="660066"/>
          <w:lang w:val="en"/>
        </w:rPr>
        <w:t>E+W</w:t>
      </w:r>
    </w:p>
    <w:p w:rsidR="00DA4B71" w:rsidRPr="004D0CC9" w:rsidRDefault="00DA4B71" w:rsidP="00DA4B71">
      <w:pPr>
        <w:shd w:val="clear" w:color="auto" w:fill="FFFFFF"/>
        <w:spacing w:after="120"/>
        <w:ind w:left="360"/>
        <w:rPr>
          <w:rFonts w:ascii="Times New Roman" w:eastAsia="Times New Roman" w:hAnsi="Times New Roman"/>
          <w:color w:val="000000"/>
          <w:sz w:val="20"/>
          <w:szCs w:val="20"/>
          <w:lang w:val="en"/>
        </w:rPr>
      </w:pPr>
      <w:r w:rsidRPr="004D0CC9">
        <w:rPr>
          <w:rFonts w:ascii="Times New Roman" w:eastAsia="Times New Roman" w:hAnsi="Times New Roman"/>
          <w:color w:val="000000"/>
          <w:sz w:val="20"/>
          <w:szCs w:val="20"/>
          <w:lang w:val="en"/>
        </w:rPr>
        <w:t xml:space="preserve"> (2)Where planning permission is granted for the erection of a building, the grant of permission may specify the purposes for which the building may be used.</w:t>
      </w:r>
    </w:p>
    <w:p w:rsidR="00DA4B71" w:rsidRPr="004D0CC9" w:rsidRDefault="00DA4B71" w:rsidP="00DA4B71">
      <w:pPr>
        <w:shd w:val="clear" w:color="auto" w:fill="FFFFFF"/>
        <w:spacing w:after="120"/>
        <w:ind w:left="360"/>
        <w:rPr>
          <w:rFonts w:ascii="Times New Roman" w:eastAsia="Times New Roman" w:hAnsi="Times New Roman"/>
          <w:color w:val="000000"/>
          <w:sz w:val="20"/>
          <w:szCs w:val="20"/>
          <w:lang w:val="en"/>
        </w:rPr>
      </w:pPr>
      <w:r w:rsidRPr="004D0CC9">
        <w:rPr>
          <w:rFonts w:ascii="Times New Roman" w:eastAsia="Times New Roman" w:hAnsi="Times New Roman"/>
          <w:color w:val="000000"/>
          <w:sz w:val="20"/>
          <w:szCs w:val="20"/>
          <w:lang w:val="en"/>
        </w:rPr>
        <w:t>(3)If no purpose is so specified, the permission shall be construed as including permission to use the building for the purpose for which it is designed.</w:t>
      </w:r>
      <w:r>
        <w:rPr>
          <w:rFonts w:ascii="Times New Roman" w:eastAsia="Times New Roman" w:hAnsi="Times New Roman"/>
          <w:color w:val="000000"/>
          <w:sz w:val="20"/>
          <w:szCs w:val="20"/>
          <w:lang w:val="en"/>
        </w:rPr>
        <w:t>”</w:t>
      </w:r>
    </w:p>
    <w:p w:rsidR="004D2E42" w:rsidRPr="009B36A7" w:rsidRDefault="00F267A3" w:rsidP="00DA4B71">
      <w:pPr>
        <w:pStyle w:val="NormalWeb"/>
        <w:spacing w:before="225" w:beforeAutospacing="0" w:after="225" w:afterAutospacing="0" w:line="330" w:lineRule="atLeast"/>
        <w:rPr>
          <w:sz w:val="20"/>
          <w:szCs w:val="20"/>
          <w:u w:val="single"/>
        </w:rPr>
      </w:pPr>
      <w:r w:rsidRPr="003F7BA3">
        <w:rPr>
          <w:color w:val="000000" w:themeColor="text1"/>
          <w:sz w:val="20"/>
          <w:szCs w:val="20"/>
        </w:rPr>
        <w:t xml:space="preserve">Unless </w:t>
      </w:r>
      <w:r w:rsidR="00795E22" w:rsidRPr="003F7BA3">
        <w:rPr>
          <w:color w:val="000000" w:themeColor="text1"/>
          <w:sz w:val="20"/>
          <w:szCs w:val="20"/>
        </w:rPr>
        <w:t xml:space="preserve"> </w:t>
      </w:r>
      <w:r w:rsidR="00DA4B71">
        <w:rPr>
          <w:color w:val="000000" w:themeColor="text1"/>
          <w:sz w:val="20"/>
          <w:szCs w:val="20"/>
        </w:rPr>
        <w:t xml:space="preserve">therefore the development involved the construction of a new building (in which case uses may be   expressly or impliedly permitted by a permission) </w:t>
      </w:r>
      <w:r w:rsidR="0037258B">
        <w:rPr>
          <w:color w:val="000000" w:themeColor="text1"/>
          <w:sz w:val="20"/>
          <w:szCs w:val="20"/>
        </w:rPr>
        <w:t>or</w:t>
      </w:r>
      <w:r w:rsidR="00795E22" w:rsidRPr="003F7BA3">
        <w:rPr>
          <w:color w:val="000000" w:themeColor="text1"/>
          <w:sz w:val="20"/>
          <w:szCs w:val="20"/>
        </w:rPr>
        <w:t xml:space="preserve"> </w:t>
      </w:r>
      <w:r w:rsidRPr="003F7BA3">
        <w:rPr>
          <w:color w:val="000000" w:themeColor="text1"/>
          <w:sz w:val="20"/>
          <w:szCs w:val="20"/>
        </w:rPr>
        <w:t xml:space="preserve">a </w:t>
      </w:r>
      <w:r w:rsidRPr="003F7BA3">
        <w:rPr>
          <w:i/>
          <w:color w:val="000000" w:themeColor="text1"/>
          <w:sz w:val="20"/>
          <w:szCs w:val="20"/>
          <w:u w:val="single"/>
        </w:rPr>
        <w:t>change</w:t>
      </w:r>
      <w:r w:rsidRPr="003F7BA3">
        <w:rPr>
          <w:color w:val="000000" w:themeColor="text1"/>
          <w:sz w:val="20"/>
          <w:szCs w:val="20"/>
        </w:rPr>
        <w:t xml:space="preserve"> of use has occurred</w:t>
      </w:r>
      <w:r w:rsidR="0037258B">
        <w:rPr>
          <w:color w:val="000000" w:themeColor="text1"/>
          <w:sz w:val="20"/>
          <w:szCs w:val="20"/>
        </w:rPr>
        <w:t>,</w:t>
      </w:r>
      <w:r w:rsidRPr="003F7BA3">
        <w:rPr>
          <w:color w:val="000000" w:themeColor="text1"/>
          <w:sz w:val="20"/>
          <w:szCs w:val="20"/>
        </w:rPr>
        <w:t xml:space="preserve"> no development has taken place and the condition has not been satisfied.</w:t>
      </w:r>
      <w:r w:rsidR="004D2E42" w:rsidRPr="004D2E42">
        <w:rPr>
          <w:rFonts w:ascii="Verdana" w:hAnsi="Verdana"/>
          <w:sz w:val="19"/>
          <w:szCs w:val="19"/>
        </w:rPr>
        <w:t xml:space="preserve"> </w:t>
      </w:r>
      <w:r w:rsidR="004D2E42" w:rsidRPr="004D2E42">
        <w:rPr>
          <w:sz w:val="20"/>
          <w:szCs w:val="20"/>
        </w:rPr>
        <w:t xml:space="preserve">This inevitably follows from the Court of Appeal decision in </w:t>
      </w:r>
      <w:r w:rsidR="004D2E42" w:rsidRPr="004D2E42">
        <w:rPr>
          <w:sz w:val="20"/>
          <w:szCs w:val="20"/>
          <w:u w:val="single"/>
        </w:rPr>
        <w:t xml:space="preserve">Cynon Valley v Secretary of State for Wales </w:t>
      </w:r>
      <w:r w:rsidR="009B36A7" w:rsidRPr="009B36A7">
        <w:rPr>
          <w:bCs/>
          <w:sz w:val="20"/>
          <w:szCs w:val="20"/>
        </w:rPr>
        <w:t>(1987) 53 P. &amp; C.R. 68</w:t>
      </w:r>
    </w:p>
    <w:p w:rsidR="00F267A3" w:rsidRPr="004D2E42" w:rsidRDefault="004D2E42" w:rsidP="00C72DDE">
      <w:pPr>
        <w:pStyle w:val="NormalWeb"/>
        <w:spacing w:before="225" w:beforeAutospacing="0" w:after="225" w:afterAutospacing="0"/>
        <w:ind w:left="1440"/>
        <w:rPr>
          <w:color w:val="000000" w:themeColor="text1"/>
          <w:sz w:val="20"/>
          <w:szCs w:val="20"/>
        </w:rPr>
      </w:pPr>
      <w:r w:rsidRPr="004D2E42">
        <w:rPr>
          <w:sz w:val="20"/>
          <w:szCs w:val="20"/>
        </w:rPr>
        <w:t>[</w:t>
      </w:r>
      <w:r w:rsidR="009B36A7">
        <w:rPr>
          <w:sz w:val="20"/>
          <w:szCs w:val="20"/>
        </w:rPr>
        <w:t>76</w:t>
      </w:r>
      <w:r w:rsidRPr="004D2E42">
        <w:rPr>
          <w:sz w:val="20"/>
          <w:szCs w:val="20"/>
        </w:rPr>
        <w:t xml:space="preserve">]We have come to the conclusion that Mr. Kelly's submissions are to be preferred to those of Mr. Laws. In particular we accept Mr. Kelly's submission that where the development for which planning permission is required is a material change of use, the permission is to change </w:t>
      </w:r>
      <w:r w:rsidRPr="004D2E42">
        <w:rPr>
          <w:rStyle w:val="Emphasis"/>
          <w:sz w:val="20"/>
          <w:szCs w:val="20"/>
        </w:rPr>
        <w:t xml:space="preserve">from </w:t>
      </w:r>
      <w:r w:rsidRPr="004D2E42">
        <w:rPr>
          <w:sz w:val="20"/>
          <w:szCs w:val="20"/>
        </w:rPr>
        <w:t xml:space="preserve">use A </w:t>
      </w:r>
      <w:r w:rsidRPr="004D2E42">
        <w:rPr>
          <w:rStyle w:val="Emphasis"/>
          <w:sz w:val="20"/>
          <w:szCs w:val="20"/>
        </w:rPr>
        <w:t xml:space="preserve">to </w:t>
      </w:r>
      <w:r w:rsidRPr="004D2E42">
        <w:rPr>
          <w:sz w:val="20"/>
          <w:szCs w:val="20"/>
        </w:rPr>
        <w:t xml:space="preserve">use B, and is </w:t>
      </w:r>
      <w:r w:rsidRPr="0037258B">
        <w:rPr>
          <w:sz w:val="20"/>
          <w:szCs w:val="20"/>
          <w:u w:val="single"/>
        </w:rPr>
        <w:t>not merely a permission to use the property for use B</w:t>
      </w:r>
      <w:r w:rsidRPr="0037258B">
        <w:rPr>
          <w:i/>
          <w:sz w:val="20"/>
          <w:szCs w:val="20"/>
        </w:rPr>
        <w:t xml:space="preserve"> </w:t>
      </w:r>
      <w:r w:rsidRPr="0037258B">
        <w:rPr>
          <w:sz w:val="20"/>
          <w:szCs w:val="20"/>
        </w:rPr>
        <w:t xml:space="preserve">for the indefinite future. </w:t>
      </w:r>
      <w:r w:rsidRPr="004D2E42">
        <w:rPr>
          <w:sz w:val="20"/>
          <w:szCs w:val="20"/>
        </w:rPr>
        <w:t>We appreciate that most, if not all, planning permissions are expressed in the latter form, but that is no guide to the true construction of the 1971 Act.</w:t>
      </w:r>
      <w:r>
        <w:rPr>
          <w:sz w:val="20"/>
          <w:szCs w:val="20"/>
        </w:rPr>
        <w:t>”</w:t>
      </w:r>
      <w:r w:rsidR="0037258B">
        <w:rPr>
          <w:sz w:val="20"/>
          <w:szCs w:val="20"/>
        </w:rPr>
        <w:t xml:space="preserve"> (my emphasis in </w:t>
      </w:r>
      <w:r w:rsidR="0037258B">
        <w:rPr>
          <w:sz w:val="20"/>
          <w:szCs w:val="20"/>
        </w:rPr>
        <w:t>underlined</w:t>
      </w:r>
      <w:r w:rsidR="0037258B">
        <w:rPr>
          <w:sz w:val="20"/>
          <w:szCs w:val="20"/>
        </w:rPr>
        <w:t xml:space="preserve"> passage)</w:t>
      </w:r>
    </w:p>
    <w:p w:rsidR="00295D01" w:rsidRPr="003F7BA3" w:rsidRDefault="00295D01" w:rsidP="00295D01">
      <w:pPr>
        <w:pStyle w:val="NormalWeb"/>
        <w:numPr>
          <w:ilvl w:val="0"/>
          <w:numId w:val="1"/>
        </w:numPr>
        <w:spacing w:before="225" w:beforeAutospacing="0" w:after="225" w:afterAutospacing="0" w:line="330" w:lineRule="atLeast"/>
        <w:rPr>
          <w:color w:val="000000" w:themeColor="text1"/>
          <w:sz w:val="20"/>
          <w:szCs w:val="20"/>
        </w:rPr>
      </w:pPr>
      <w:r w:rsidRPr="004D2E42">
        <w:rPr>
          <w:color w:val="000000" w:themeColor="text1"/>
          <w:sz w:val="20"/>
          <w:szCs w:val="20"/>
        </w:rPr>
        <w:t>The importance of the time limitation on planning permissions in the planning system is emphasised by the inclus</w:t>
      </w:r>
      <w:r w:rsidR="009A7C18" w:rsidRPr="004D2E42">
        <w:rPr>
          <w:color w:val="000000" w:themeColor="text1"/>
          <w:sz w:val="20"/>
          <w:szCs w:val="20"/>
        </w:rPr>
        <w:t>ion within the TCPA 1990 of s 91</w:t>
      </w:r>
      <w:r w:rsidR="00BD7A93" w:rsidRPr="004D2E42">
        <w:rPr>
          <w:color w:val="000000" w:themeColor="text1"/>
          <w:sz w:val="20"/>
          <w:szCs w:val="20"/>
        </w:rPr>
        <w:t xml:space="preserve"> and 93</w:t>
      </w:r>
      <w:r w:rsidRPr="004D2E42">
        <w:rPr>
          <w:color w:val="000000" w:themeColor="text1"/>
          <w:sz w:val="20"/>
          <w:szCs w:val="20"/>
        </w:rPr>
        <w:t xml:space="preserve"> which not only r</w:t>
      </w:r>
      <w:r w:rsidR="00BD7A93" w:rsidRPr="004D2E42">
        <w:rPr>
          <w:color w:val="000000" w:themeColor="text1"/>
          <w:sz w:val="20"/>
          <w:szCs w:val="20"/>
        </w:rPr>
        <w:t>equire</w:t>
      </w:r>
      <w:r w:rsidR="002A2F36">
        <w:rPr>
          <w:color w:val="000000" w:themeColor="text1"/>
          <w:sz w:val="20"/>
          <w:szCs w:val="20"/>
        </w:rPr>
        <w:t xml:space="preserve"> a time limitation condition on</w:t>
      </w:r>
      <w:r w:rsidRPr="004D2E42">
        <w:rPr>
          <w:color w:val="000000" w:themeColor="text1"/>
          <w:sz w:val="20"/>
          <w:szCs w:val="20"/>
        </w:rPr>
        <w:t xml:space="preserve"> planning permissions but </w:t>
      </w:r>
      <w:r w:rsidR="00BD7A93" w:rsidRPr="004D2E42">
        <w:rPr>
          <w:color w:val="000000" w:themeColor="text1"/>
          <w:sz w:val="20"/>
          <w:szCs w:val="20"/>
        </w:rPr>
        <w:t xml:space="preserve">(1) </w:t>
      </w:r>
      <w:r w:rsidRPr="004D2E42">
        <w:rPr>
          <w:color w:val="000000" w:themeColor="text1"/>
          <w:sz w:val="20"/>
          <w:szCs w:val="20"/>
        </w:rPr>
        <w:t>deems such conditions to have been imposed even if they have not been expressly included in a grant of  permission</w:t>
      </w:r>
      <w:r w:rsidR="00BD7A93" w:rsidRPr="004D2E42">
        <w:rPr>
          <w:color w:val="000000" w:themeColor="text1"/>
          <w:sz w:val="20"/>
          <w:szCs w:val="20"/>
        </w:rPr>
        <w:t xml:space="preserve"> and (2) deem any develop</w:t>
      </w:r>
      <w:r w:rsidR="00BD7A93" w:rsidRPr="003F7BA3">
        <w:rPr>
          <w:color w:val="000000" w:themeColor="text1"/>
          <w:sz w:val="20"/>
          <w:szCs w:val="20"/>
        </w:rPr>
        <w:t>ment in breach of such a condition to be unauthorised</w:t>
      </w:r>
      <w:r w:rsidRPr="003F7BA3">
        <w:rPr>
          <w:color w:val="000000" w:themeColor="text1"/>
          <w:sz w:val="20"/>
          <w:szCs w:val="20"/>
        </w:rPr>
        <w:t>.</w:t>
      </w:r>
    </w:p>
    <w:p w:rsidR="0081235A" w:rsidRDefault="009A7C18" w:rsidP="009A7C18">
      <w:pPr>
        <w:pStyle w:val="ListParagraph"/>
        <w:shd w:val="clear" w:color="auto" w:fill="FFFFFF"/>
        <w:spacing w:line="288" w:lineRule="atLeast"/>
        <w:ind w:left="1080"/>
        <w:outlineLvl w:val="4"/>
        <w:rPr>
          <w:b/>
          <w:color w:val="000000" w:themeColor="text1"/>
          <w:sz w:val="20"/>
          <w:szCs w:val="20"/>
        </w:rPr>
      </w:pPr>
      <w:r w:rsidRPr="0081235A">
        <w:rPr>
          <w:rFonts w:ascii="Times New Roman" w:eastAsia="Times New Roman" w:hAnsi="Times New Roman"/>
          <w:b/>
          <w:color w:val="000000" w:themeColor="text1"/>
          <w:sz w:val="20"/>
          <w:szCs w:val="20"/>
          <w:lang w:val="en"/>
        </w:rPr>
        <w:t>91.</w:t>
      </w:r>
      <w:r w:rsidR="000A40C0" w:rsidRPr="003F7BA3">
        <w:rPr>
          <w:rFonts w:ascii="Times New Roman" w:eastAsia="Times New Roman" w:hAnsi="Times New Roman"/>
          <w:color w:val="000000" w:themeColor="text1"/>
          <w:sz w:val="20"/>
          <w:szCs w:val="20"/>
          <w:lang w:val="en"/>
        </w:rPr>
        <w:t xml:space="preserve"> </w:t>
      </w:r>
      <w:r w:rsidR="000A40C0" w:rsidRPr="003F7BA3">
        <w:rPr>
          <w:rFonts w:ascii="Times New Roman" w:eastAsia="Times New Roman" w:hAnsi="Times New Roman"/>
          <w:b/>
          <w:color w:val="000000" w:themeColor="text1"/>
          <w:sz w:val="20"/>
          <w:szCs w:val="20"/>
          <w:lang w:val="en"/>
        </w:rPr>
        <w:t>General condition limiting duration of planning permission</w:t>
      </w:r>
      <w:r w:rsidR="000A40C0" w:rsidRPr="003F7BA3">
        <w:rPr>
          <w:b/>
          <w:color w:val="000000" w:themeColor="text1"/>
          <w:sz w:val="20"/>
          <w:szCs w:val="20"/>
        </w:rPr>
        <w:t xml:space="preserve"> </w:t>
      </w:r>
    </w:p>
    <w:p w:rsidR="009A7C18" w:rsidRPr="003F7BA3" w:rsidRDefault="009A7C18" w:rsidP="009A7C18">
      <w:pPr>
        <w:pStyle w:val="ListParagraph"/>
        <w:shd w:val="clear" w:color="auto" w:fill="FFFFFF"/>
        <w:spacing w:line="288" w:lineRule="atLeast"/>
        <w:ind w:left="1080"/>
        <w:outlineLvl w:val="4"/>
        <w:rPr>
          <w:rFonts w:ascii="Times New Roman" w:eastAsia="Times New Roman" w:hAnsi="Times New Roman"/>
          <w:color w:val="000000" w:themeColor="text1"/>
          <w:sz w:val="20"/>
          <w:szCs w:val="20"/>
          <w:lang w:val="en"/>
        </w:rPr>
      </w:pPr>
      <w:r w:rsidRPr="003F7BA3">
        <w:rPr>
          <w:rFonts w:ascii="Times New Roman" w:eastAsia="Times New Roman" w:hAnsi="Times New Roman"/>
          <w:b/>
          <w:bCs/>
          <w:vanish/>
          <w:color w:val="000000" w:themeColor="text1"/>
          <w:sz w:val="20"/>
          <w:szCs w:val="20"/>
          <w:shd w:val="clear" w:color="auto" w:fill="660066"/>
          <w:lang w:val="en"/>
        </w:rPr>
        <w:t>E+W</w:t>
      </w:r>
    </w:p>
    <w:p w:rsidR="009A7C18" w:rsidRPr="003F7BA3" w:rsidRDefault="009A7C18" w:rsidP="00F22CE4">
      <w:pPr>
        <w:pStyle w:val="ListParagraph"/>
        <w:shd w:val="clear" w:color="auto" w:fill="FFFFFF"/>
        <w:spacing w:after="120"/>
        <w:ind w:left="1080"/>
        <w:rPr>
          <w:rFonts w:ascii="Times New Roman" w:eastAsia="Times New Roman" w:hAnsi="Times New Roman"/>
          <w:color w:val="000000" w:themeColor="text1"/>
          <w:sz w:val="20"/>
          <w:szCs w:val="20"/>
          <w:lang w:val="en"/>
        </w:rPr>
      </w:pPr>
      <w:r w:rsidRPr="003F7BA3">
        <w:rPr>
          <w:rFonts w:ascii="Times New Roman" w:eastAsia="Times New Roman" w:hAnsi="Times New Roman"/>
          <w:color w:val="000000" w:themeColor="text1"/>
          <w:sz w:val="20"/>
          <w:szCs w:val="20"/>
          <w:lang w:val="en"/>
        </w:rPr>
        <w:t>(1)Subject to the provisions of this section, every planning permission granted or deemed to be granted shall be granted or, as the case may be, be deemed to be granted, subject to the condition that the development to which it relates must be begun not later than the expiration of—</w:t>
      </w:r>
    </w:p>
    <w:p w:rsidR="009A7C18" w:rsidRPr="003F7BA3" w:rsidRDefault="009A7C18" w:rsidP="00F22CE4">
      <w:pPr>
        <w:pStyle w:val="ListParagraph"/>
        <w:shd w:val="clear" w:color="auto" w:fill="FFFFFF"/>
        <w:spacing w:after="120"/>
        <w:ind w:left="1080"/>
        <w:rPr>
          <w:rFonts w:ascii="Times New Roman" w:eastAsia="Times New Roman" w:hAnsi="Times New Roman"/>
          <w:color w:val="000000" w:themeColor="text1"/>
          <w:sz w:val="20"/>
          <w:szCs w:val="20"/>
          <w:lang w:val="en"/>
        </w:rPr>
      </w:pPr>
      <w:r w:rsidRPr="003F7BA3">
        <w:rPr>
          <w:rFonts w:ascii="Times New Roman" w:eastAsia="Times New Roman" w:hAnsi="Times New Roman"/>
          <w:color w:val="000000" w:themeColor="text1"/>
          <w:sz w:val="20"/>
          <w:szCs w:val="20"/>
          <w:lang w:val="en"/>
        </w:rPr>
        <w:t>(a) three years beginning with the date on which the permission is granted or, as the case may be, deemed to be granted; or</w:t>
      </w:r>
    </w:p>
    <w:p w:rsidR="009A7C18" w:rsidRPr="003F7BA3" w:rsidRDefault="009A7C18" w:rsidP="00F22CE4">
      <w:pPr>
        <w:pStyle w:val="ListParagraph"/>
        <w:shd w:val="clear" w:color="auto" w:fill="FFFFFF"/>
        <w:spacing w:after="120"/>
        <w:ind w:left="1080"/>
        <w:rPr>
          <w:rFonts w:ascii="Times New Roman" w:eastAsia="Times New Roman" w:hAnsi="Times New Roman"/>
          <w:color w:val="000000" w:themeColor="text1"/>
          <w:sz w:val="20"/>
          <w:szCs w:val="20"/>
          <w:lang w:val="en"/>
        </w:rPr>
      </w:pPr>
      <w:r w:rsidRPr="003F7BA3">
        <w:rPr>
          <w:rFonts w:ascii="Times New Roman" w:eastAsia="Times New Roman" w:hAnsi="Times New Roman"/>
          <w:color w:val="000000" w:themeColor="text1"/>
          <w:sz w:val="20"/>
          <w:szCs w:val="20"/>
          <w:lang w:val="en"/>
        </w:rPr>
        <w:t>(b) such other period (whether longer or shorter) beginning with that date as the authority concerned with the terms of planning permission may direct.</w:t>
      </w:r>
    </w:p>
    <w:p w:rsidR="009A7C18" w:rsidRPr="003F7BA3" w:rsidRDefault="009A7C18" w:rsidP="00F22CE4">
      <w:pPr>
        <w:pStyle w:val="ListParagraph"/>
        <w:shd w:val="clear" w:color="auto" w:fill="FFFFFF"/>
        <w:spacing w:after="120"/>
        <w:ind w:left="1080"/>
        <w:rPr>
          <w:rFonts w:ascii="Times New Roman" w:eastAsia="Times New Roman" w:hAnsi="Times New Roman"/>
          <w:color w:val="000000" w:themeColor="text1"/>
          <w:sz w:val="20"/>
          <w:szCs w:val="20"/>
          <w:lang w:val="en"/>
        </w:rPr>
      </w:pPr>
      <w:r w:rsidRPr="003F7BA3">
        <w:rPr>
          <w:rFonts w:ascii="Times New Roman" w:eastAsia="Times New Roman" w:hAnsi="Times New Roman"/>
          <w:color w:val="000000" w:themeColor="text1"/>
          <w:sz w:val="20"/>
          <w:szCs w:val="20"/>
          <w:lang w:val="en"/>
        </w:rPr>
        <w:t>(2)The period mentioned in subsection (1)(b) shall be a period which the authority consider appropriate having regard to the provisions of the development plan and to any other material considerations.</w:t>
      </w:r>
    </w:p>
    <w:p w:rsidR="009A7C18" w:rsidRPr="003F7BA3" w:rsidRDefault="009A7C18" w:rsidP="00F22CE4">
      <w:pPr>
        <w:pStyle w:val="ListParagraph"/>
        <w:shd w:val="clear" w:color="auto" w:fill="FFFFFF"/>
        <w:spacing w:after="120"/>
        <w:ind w:left="1080"/>
        <w:rPr>
          <w:rFonts w:ascii="Times New Roman" w:eastAsia="Times New Roman" w:hAnsi="Times New Roman"/>
          <w:color w:val="000000" w:themeColor="text1"/>
          <w:sz w:val="20"/>
          <w:szCs w:val="20"/>
          <w:lang w:val="en"/>
        </w:rPr>
      </w:pPr>
      <w:r w:rsidRPr="003F7BA3">
        <w:rPr>
          <w:rFonts w:ascii="Times New Roman" w:eastAsia="Times New Roman" w:hAnsi="Times New Roman"/>
          <w:color w:val="000000" w:themeColor="text1"/>
          <w:sz w:val="20"/>
          <w:szCs w:val="20"/>
          <w:lang w:val="en"/>
        </w:rPr>
        <w:t>(3)If planning permission is granted without the condition required by subsection (1), it shall be deemed to have been granted subject to the condition that the development to which it relates must be begun not later than the expiration of three years beginning with the date of the grant.”</w:t>
      </w:r>
    </w:p>
    <w:p w:rsidR="00BD7A93" w:rsidRPr="003F7BA3" w:rsidRDefault="00BD7A93" w:rsidP="00F22CE4">
      <w:pPr>
        <w:pStyle w:val="ListParagraph"/>
        <w:shd w:val="clear" w:color="auto" w:fill="FFFFFF"/>
        <w:spacing w:after="120"/>
        <w:ind w:left="1080"/>
        <w:rPr>
          <w:rFonts w:ascii="Times New Roman" w:eastAsia="Times New Roman" w:hAnsi="Times New Roman"/>
          <w:color w:val="000000" w:themeColor="text1"/>
          <w:sz w:val="20"/>
          <w:szCs w:val="20"/>
          <w:lang w:val="en"/>
        </w:rPr>
      </w:pPr>
    </w:p>
    <w:p w:rsidR="00BD7A93" w:rsidRPr="003F7BA3" w:rsidRDefault="00BD7A93" w:rsidP="00F22CE4">
      <w:pPr>
        <w:pStyle w:val="legclearfix2"/>
        <w:spacing w:line="240" w:lineRule="auto"/>
        <w:ind w:left="1080"/>
        <w:rPr>
          <w:color w:val="000000" w:themeColor="text1"/>
          <w:sz w:val="20"/>
          <w:szCs w:val="20"/>
          <w:lang w:val="en"/>
        </w:rPr>
      </w:pPr>
      <w:r w:rsidRPr="0081235A">
        <w:rPr>
          <w:rStyle w:val="legds2"/>
          <w:b/>
          <w:color w:val="000000" w:themeColor="text1"/>
          <w:sz w:val="20"/>
          <w:szCs w:val="20"/>
          <w:lang w:val="en"/>
          <w:specVanish w:val="0"/>
        </w:rPr>
        <w:t>93</w:t>
      </w:r>
      <w:r w:rsidRPr="0081235A">
        <w:rPr>
          <w:rStyle w:val="legds2"/>
          <w:rFonts w:ascii="Arial" w:hAnsi="Arial" w:cs="Arial"/>
          <w:b/>
          <w:color w:val="000000" w:themeColor="text1"/>
          <w:sz w:val="18"/>
          <w:szCs w:val="18"/>
          <w:lang w:val="en"/>
          <w:specVanish w:val="0"/>
        </w:rPr>
        <w:t xml:space="preserve"> </w:t>
      </w:r>
      <w:r w:rsidRPr="003F7BA3">
        <w:rPr>
          <w:rStyle w:val="legds2"/>
          <w:rFonts w:ascii="Arial" w:hAnsi="Arial" w:cs="Arial"/>
          <w:color w:val="000000" w:themeColor="text1"/>
          <w:sz w:val="18"/>
          <w:szCs w:val="18"/>
          <w:lang w:val="en"/>
          <w:specVanish w:val="0"/>
        </w:rPr>
        <w:t>(</w:t>
      </w:r>
      <w:r w:rsidRPr="003F7BA3">
        <w:rPr>
          <w:rStyle w:val="legds2"/>
          <w:color w:val="000000" w:themeColor="text1"/>
          <w:sz w:val="20"/>
          <w:szCs w:val="20"/>
          <w:lang w:val="en"/>
          <w:specVanish w:val="0"/>
        </w:rPr>
        <w:t>4) “In the case of planning permission (whether outline or other) which has conditions attached to it by or under section 91 or 92—</w:t>
      </w:r>
    </w:p>
    <w:p w:rsidR="00BD7A93" w:rsidRPr="003F7BA3" w:rsidRDefault="00BD7A93" w:rsidP="00F22CE4">
      <w:pPr>
        <w:pStyle w:val="legclearfix2"/>
        <w:spacing w:line="240" w:lineRule="auto"/>
        <w:ind w:left="1080"/>
        <w:rPr>
          <w:color w:val="000000" w:themeColor="text1"/>
          <w:sz w:val="20"/>
          <w:szCs w:val="20"/>
          <w:lang w:val="en"/>
        </w:rPr>
      </w:pPr>
      <w:r w:rsidRPr="003F7BA3">
        <w:rPr>
          <w:rStyle w:val="legds2"/>
          <w:color w:val="000000" w:themeColor="text1"/>
          <w:sz w:val="20"/>
          <w:szCs w:val="20"/>
          <w:lang w:val="en"/>
          <w:specVanish w:val="0"/>
        </w:rPr>
        <w:t>(a)</w:t>
      </w:r>
      <w:r w:rsidRPr="003F7BA3">
        <w:rPr>
          <w:color w:val="000000" w:themeColor="text1"/>
          <w:sz w:val="20"/>
          <w:szCs w:val="20"/>
          <w:lang w:val="en"/>
        </w:rPr>
        <w:t>development carried out after the date by which the conditions require it to be carried out shall be treated as not authorised by the permission”</w:t>
      </w:r>
    </w:p>
    <w:p w:rsidR="00BD7A93" w:rsidRPr="003F7BA3" w:rsidRDefault="00BD7A93" w:rsidP="00BD7A93">
      <w:pPr>
        <w:pStyle w:val="legclearfix2"/>
        <w:ind w:left="1080"/>
        <w:rPr>
          <w:color w:val="000000" w:themeColor="text1"/>
          <w:sz w:val="20"/>
          <w:szCs w:val="20"/>
          <w:lang w:val="en"/>
        </w:rPr>
      </w:pPr>
    </w:p>
    <w:p w:rsidR="000A40C0" w:rsidRPr="003F7BA3" w:rsidRDefault="00DD3272" w:rsidP="000A40C0">
      <w:pPr>
        <w:pStyle w:val="legclearfix2"/>
        <w:numPr>
          <w:ilvl w:val="0"/>
          <w:numId w:val="1"/>
        </w:numPr>
        <w:rPr>
          <w:color w:val="000000" w:themeColor="text1"/>
          <w:sz w:val="20"/>
          <w:szCs w:val="20"/>
          <w:lang w:val="en"/>
        </w:rPr>
      </w:pPr>
      <w:r>
        <w:rPr>
          <w:color w:val="000000" w:themeColor="text1"/>
          <w:sz w:val="20"/>
          <w:szCs w:val="20"/>
          <w:lang w:val="en"/>
        </w:rPr>
        <w:t xml:space="preserve">Developers may assert that </w:t>
      </w:r>
      <w:r w:rsidR="000A40C0" w:rsidRPr="003F7BA3">
        <w:rPr>
          <w:color w:val="000000" w:themeColor="text1"/>
          <w:sz w:val="20"/>
          <w:szCs w:val="20"/>
          <w:lang w:val="en"/>
        </w:rPr>
        <w:t xml:space="preserve"> </w:t>
      </w:r>
      <w:r>
        <w:rPr>
          <w:color w:val="000000" w:themeColor="text1"/>
          <w:sz w:val="20"/>
          <w:szCs w:val="20"/>
          <w:lang w:val="en"/>
        </w:rPr>
        <w:t>even where the first change</w:t>
      </w:r>
      <w:r w:rsidR="000A40C0" w:rsidRPr="003F7BA3">
        <w:rPr>
          <w:color w:val="000000" w:themeColor="text1"/>
          <w:sz w:val="20"/>
          <w:szCs w:val="20"/>
          <w:lang w:val="en"/>
        </w:rPr>
        <w:t xml:space="preserve"> of use </w:t>
      </w:r>
      <w:r>
        <w:rPr>
          <w:color w:val="000000" w:themeColor="text1"/>
          <w:sz w:val="20"/>
          <w:szCs w:val="20"/>
          <w:lang w:val="en"/>
        </w:rPr>
        <w:t>occurs after three years there is no breach of a require</w:t>
      </w:r>
      <w:r w:rsidR="0081235A">
        <w:rPr>
          <w:color w:val="000000" w:themeColor="text1"/>
          <w:sz w:val="20"/>
          <w:szCs w:val="20"/>
          <w:lang w:val="en"/>
        </w:rPr>
        <w:t>men</w:t>
      </w:r>
      <w:r>
        <w:rPr>
          <w:color w:val="000000" w:themeColor="text1"/>
          <w:sz w:val="20"/>
          <w:szCs w:val="20"/>
          <w:lang w:val="en"/>
        </w:rPr>
        <w:t xml:space="preserve">t that the permission be implemented within three years because </w:t>
      </w:r>
      <w:r w:rsidR="000A40C0" w:rsidRPr="003F7BA3">
        <w:rPr>
          <w:color w:val="000000" w:themeColor="text1"/>
          <w:sz w:val="20"/>
          <w:szCs w:val="20"/>
          <w:lang w:val="en"/>
        </w:rPr>
        <w:t xml:space="preserve"> of s </w:t>
      </w:r>
      <w:r w:rsidR="000C3103" w:rsidRPr="003F7BA3">
        <w:rPr>
          <w:color w:val="000000" w:themeColor="text1"/>
          <w:sz w:val="20"/>
          <w:szCs w:val="20"/>
          <w:lang w:val="en"/>
        </w:rPr>
        <w:t>91(4)</w:t>
      </w:r>
    </w:p>
    <w:p w:rsidR="000A40C0" w:rsidRPr="003F7BA3" w:rsidRDefault="000A40C0" w:rsidP="000A40C0">
      <w:pPr>
        <w:pStyle w:val="legclearfix2"/>
        <w:ind w:left="360"/>
        <w:rPr>
          <w:color w:val="000000" w:themeColor="text1"/>
          <w:sz w:val="20"/>
          <w:szCs w:val="20"/>
          <w:lang w:val="en"/>
        </w:rPr>
      </w:pPr>
    </w:p>
    <w:p w:rsidR="000A40C0" w:rsidRPr="003F7BA3" w:rsidRDefault="000A40C0" w:rsidP="00C72DDE">
      <w:pPr>
        <w:pStyle w:val="legclearfix2"/>
        <w:spacing w:line="240" w:lineRule="auto"/>
        <w:ind w:left="1440"/>
        <w:rPr>
          <w:color w:val="000000" w:themeColor="text1"/>
          <w:sz w:val="20"/>
          <w:szCs w:val="20"/>
          <w:lang w:val="en"/>
        </w:rPr>
      </w:pPr>
      <w:r w:rsidRPr="0081235A">
        <w:rPr>
          <w:b/>
          <w:color w:val="000000" w:themeColor="text1"/>
          <w:sz w:val="20"/>
          <w:szCs w:val="20"/>
          <w:lang w:val="en"/>
        </w:rPr>
        <w:t>91</w:t>
      </w:r>
      <w:r w:rsidR="000C3103" w:rsidRPr="003F7BA3">
        <w:rPr>
          <w:color w:val="000000" w:themeColor="text1"/>
          <w:sz w:val="20"/>
          <w:szCs w:val="20"/>
          <w:lang w:val="en"/>
        </w:rPr>
        <w:t>(4</w:t>
      </w:r>
      <w:r w:rsidRPr="003F7BA3">
        <w:rPr>
          <w:color w:val="000000" w:themeColor="text1"/>
          <w:sz w:val="20"/>
          <w:szCs w:val="20"/>
          <w:lang w:val="en"/>
        </w:rPr>
        <w:t>)</w:t>
      </w:r>
      <w:r w:rsidRPr="003F7BA3">
        <w:rPr>
          <w:rStyle w:val="Strong"/>
          <w:rFonts w:ascii="Arial" w:hAnsi="Arial" w:cs="Arial"/>
          <w:color w:val="000000" w:themeColor="text1"/>
          <w:sz w:val="18"/>
          <w:szCs w:val="18"/>
          <w:lang w:val="en"/>
        </w:rPr>
        <w:t xml:space="preserve">  “</w:t>
      </w:r>
      <w:r w:rsidRPr="003F7BA3">
        <w:rPr>
          <w:rStyle w:val="legds2"/>
          <w:color w:val="000000" w:themeColor="text1"/>
          <w:sz w:val="20"/>
          <w:szCs w:val="20"/>
          <w:lang w:val="en"/>
          <w:specVanish w:val="0"/>
        </w:rPr>
        <w:t>Nothing in this section applies—</w:t>
      </w:r>
    </w:p>
    <w:p w:rsidR="000A40C0" w:rsidRPr="003F7BA3" w:rsidRDefault="000A40C0" w:rsidP="00C72DDE">
      <w:pPr>
        <w:pStyle w:val="legclearfix2"/>
        <w:numPr>
          <w:ilvl w:val="0"/>
          <w:numId w:val="2"/>
        </w:numPr>
        <w:spacing w:line="240" w:lineRule="auto"/>
        <w:rPr>
          <w:color w:val="000000" w:themeColor="text1"/>
          <w:sz w:val="20"/>
          <w:szCs w:val="20"/>
          <w:lang w:val="en"/>
        </w:rPr>
      </w:pPr>
      <w:r w:rsidRPr="003F7BA3">
        <w:rPr>
          <w:color w:val="000000" w:themeColor="text1"/>
          <w:sz w:val="20"/>
          <w:szCs w:val="20"/>
          <w:lang w:val="en"/>
        </w:rPr>
        <w:t>to any planning permission granted by a development order..”</w:t>
      </w:r>
    </w:p>
    <w:p w:rsidR="000C3103" w:rsidRPr="003F7BA3" w:rsidRDefault="000C3103" w:rsidP="00C72DDE">
      <w:pPr>
        <w:pStyle w:val="legclearfix2"/>
        <w:spacing w:line="240" w:lineRule="auto"/>
        <w:ind w:left="2160"/>
        <w:rPr>
          <w:color w:val="000000" w:themeColor="text1"/>
          <w:sz w:val="20"/>
          <w:szCs w:val="20"/>
          <w:lang w:val="en"/>
        </w:rPr>
      </w:pPr>
    </w:p>
    <w:p w:rsidR="00F22CE4" w:rsidRDefault="0081235A" w:rsidP="00F22CE4">
      <w:pPr>
        <w:pStyle w:val="legclearfix2"/>
        <w:spacing w:line="360" w:lineRule="auto"/>
        <w:ind w:left="720"/>
        <w:rPr>
          <w:color w:val="000000" w:themeColor="text1"/>
          <w:sz w:val="20"/>
          <w:szCs w:val="20"/>
          <w:lang w:val="en"/>
        </w:rPr>
      </w:pPr>
      <w:r>
        <w:rPr>
          <w:color w:val="000000" w:themeColor="text1"/>
          <w:sz w:val="20"/>
          <w:szCs w:val="20"/>
          <w:lang w:val="en"/>
        </w:rPr>
        <w:t xml:space="preserve">There are two problems </w:t>
      </w:r>
      <w:r w:rsidR="00F22CE4" w:rsidRPr="003F7BA3">
        <w:rPr>
          <w:color w:val="000000" w:themeColor="text1"/>
          <w:sz w:val="20"/>
          <w:szCs w:val="20"/>
          <w:lang w:val="en"/>
        </w:rPr>
        <w:t>with this argument.</w:t>
      </w:r>
      <w:r w:rsidR="000C3103" w:rsidRPr="003F7BA3">
        <w:rPr>
          <w:color w:val="000000" w:themeColor="text1"/>
          <w:sz w:val="20"/>
          <w:szCs w:val="20"/>
          <w:lang w:val="en"/>
        </w:rPr>
        <w:t xml:space="preserve"> </w:t>
      </w:r>
      <w:r w:rsidR="000C3103" w:rsidRPr="003F7BA3">
        <w:rPr>
          <w:color w:val="000000" w:themeColor="text1"/>
          <w:sz w:val="20"/>
          <w:szCs w:val="20"/>
          <w:u w:val="single"/>
          <w:lang w:val="en"/>
        </w:rPr>
        <w:t>First</w:t>
      </w:r>
      <w:r w:rsidR="000C3103" w:rsidRPr="003F7BA3">
        <w:rPr>
          <w:color w:val="000000" w:themeColor="text1"/>
          <w:sz w:val="20"/>
          <w:szCs w:val="20"/>
          <w:lang w:val="en"/>
        </w:rPr>
        <w:t xml:space="preserve">: </w:t>
      </w:r>
      <w:r w:rsidR="00F22CE4" w:rsidRPr="003F7BA3">
        <w:rPr>
          <w:color w:val="000000" w:themeColor="text1"/>
          <w:sz w:val="20"/>
          <w:szCs w:val="20"/>
          <w:lang w:val="en"/>
        </w:rPr>
        <w:t>if a permission has been granted with a time limitation condition</w:t>
      </w:r>
      <w:r w:rsidR="00885875" w:rsidRPr="003F7BA3">
        <w:rPr>
          <w:color w:val="000000" w:themeColor="text1"/>
          <w:sz w:val="20"/>
          <w:szCs w:val="20"/>
          <w:lang w:val="en"/>
        </w:rPr>
        <w:t>,</w:t>
      </w:r>
      <w:r w:rsidR="00F22CE4" w:rsidRPr="003F7BA3">
        <w:rPr>
          <w:color w:val="000000" w:themeColor="text1"/>
          <w:sz w:val="20"/>
          <w:szCs w:val="20"/>
          <w:lang w:val="en"/>
        </w:rPr>
        <w:t xml:space="preserve"> the applicability of s 91 is irrelevant. The planning authority has a </w:t>
      </w:r>
      <w:r w:rsidR="00F22CE4" w:rsidRPr="003F7BA3">
        <w:rPr>
          <w:i/>
          <w:color w:val="000000" w:themeColor="text1"/>
          <w:sz w:val="20"/>
          <w:szCs w:val="20"/>
          <w:lang w:val="en"/>
        </w:rPr>
        <w:t>power</w:t>
      </w:r>
      <w:r w:rsidR="00F22CE4" w:rsidRPr="003F7BA3">
        <w:rPr>
          <w:color w:val="000000" w:themeColor="text1"/>
          <w:sz w:val="20"/>
          <w:szCs w:val="20"/>
          <w:lang w:val="en"/>
        </w:rPr>
        <w:t xml:space="preserve"> to impose such a condition even if it </w:t>
      </w:r>
      <w:r w:rsidR="000C3103" w:rsidRPr="003F7BA3">
        <w:rPr>
          <w:color w:val="000000" w:themeColor="text1"/>
          <w:sz w:val="20"/>
          <w:szCs w:val="20"/>
          <w:lang w:val="en"/>
        </w:rPr>
        <w:t xml:space="preserve">has no </w:t>
      </w:r>
      <w:r w:rsidR="000C3103" w:rsidRPr="003F7BA3">
        <w:rPr>
          <w:i/>
          <w:color w:val="000000" w:themeColor="text1"/>
          <w:sz w:val="20"/>
          <w:szCs w:val="20"/>
          <w:lang w:val="en"/>
        </w:rPr>
        <w:t>duty</w:t>
      </w:r>
      <w:r w:rsidR="000C3103" w:rsidRPr="003F7BA3">
        <w:rPr>
          <w:color w:val="000000" w:themeColor="text1"/>
          <w:sz w:val="20"/>
          <w:szCs w:val="20"/>
          <w:lang w:val="en"/>
        </w:rPr>
        <w:t xml:space="preserve"> under s 91. </w:t>
      </w:r>
      <w:r w:rsidR="000C3103" w:rsidRPr="003F7BA3">
        <w:rPr>
          <w:color w:val="000000" w:themeColor="text1"/>
          <w:sz w:val="20"/>
          <w:szCs w:val="20"/>
          <w:u w:val="single"/>
          <w:lang w:val="en"/>
        </w:rPr>
        <w:t>Second</w:t>
      </w:r>
      <w:r w:rsidR="000C3103" w:rsidRPr="003F7BA3">
        <w:rPr>
          <w:color w:val="000000" w:themeColor="text1"/>
          <w:sz w:val="20"/>
          <w:szCs w:val="20"/>
          <w:lang w:val="en"/>
        </w:rPr>
        <w:t xml:space="preserve">: the </w:t>
      </w:r>
      <w:r w:rsidR="00E37043" w:rsidRPr="003F7BA3">
        <w:rPr>
          <w:color w:val="000000" w:themeColor="text1"/>
          <w:sz w:val="20"/>
          <w:szCs w:val="20"/>
          <w:lang w:val="en"/>
        </w:rPr>
        <w:t xml:space="preserve">breach of condition relates to the original  permission </w:t>
      </w:r>
      <w:r w:rsidR="000C3103" w:rsidRPr="003F7BA3">
        <w:rPr>
          <w:color w:val="000000" w:themeColor="text1"/>
          <w:sz w:val="20"/>
          <w:szCs w:val="20"/>
          <w:lang w:val="en"/>
        </w:rPr>
        <w:t xml:space="preserve"> granted by the planning authority </w:t>
      </w:r>
      <w:r w:rsidR="00E37043" w:rsidRPr="003F7BA3">
        <w:rPr>
          <w:color w:val="000000" w:themeColor="text1"/>
          <w:sz w:val="20"/>
          <w:szCs w:val="20"/>
          <w:lang w:val="en"/>
        </w:rPr>
        <w:t xml:space="preserve">-- </w:t>
      </w:r>
      <w:r w:rsidR="000C3103" w:rsidRPr="003F7BA3">
        <w:rPr>
          <w:color w:val="000000" w:themeColor="text1"/>
          <w:sz w:val="20"/>
          <w:szCs w:val="20"/>
          <w:lang w:val="en"/>
        </w:rPr>
        <w:t xml:space="preserve">not </w:t>
      </w:r>
      <w:r w:rsidR="00E37043" w:rsidRPr="003F7BA3">
        <w:rPr>
          <w:color w:val="000000" w:themeColor="text1"/>
          <w:sz w:val="20"/>
          <w:szCs w:val="20"/>
          <w:lang w:val="en"/>
        </w:rPr>
        <w:t xml:space="preserve">to one granted later </w:t>
      </w:r>
      <w:r w:rsidR="000C3103" w:rsidRPr="003F7BA3">
        <w:rPr>
          <w:color w:val="000000" w:themeColor="text1"/>
          <w:sz w:val="20"/>
          <w:szCs w:val="20"/>
          <w:lang w:val="en"/>
        </w:rPr>
        <w:t>by development order</w:t>
      </w:r>
      <w:r w:rsidR="00E37043" w:rsidRPr="003F7BA3">
        <w:rPr>
          <w:color w:val="000000" w:themeColor="text1"/>
          <w:sz w:val="20"/>
          <w:szCs w:val="20"/>
          <w:lang w:val="en"/>
        </w:rPr>
        <w:t xml:space="preserve">. It is important to distinguish between the time limitation condition on the implementation of the permission which requires </w:t>
      </w:r>
      <w:r w:rsidR="00E37043" w:rsidRPr="003F7BA3">
        <w:rPr>
          <w:i/>
          <w:color w:val="000000" w:themeColor="text1"/>
          <w:sz w:val="20"/>
          <w:szCs w:val="20"/>
          <w:lang w:val="en"/>
        </w:rPr>
        <w:t>some</w:t>
      </w:r>
      <w:r w:rsidR="00E37043" w:rsidRPr="003F7BA3">
        <w:rPr>
          <w:color w:val="000000" w:themeColor="text1"/>
          <w:sz w:val="20"/>
          <w:szCs w:val="20"/>
          <w:lang w:val="en"/>
        </w:rPr>
        <w:t xml:space="preserve"> change of use within three y</w:t>
      </w:r>
      <w:r w:rsidR="00885875" w:rsidRPr="003F7BA3">
        <w:rPr>
          <w:color w:val="000000" w:themeColor="text1"/>
          <w:sz w:val="20"/>
          <w:szCs w:val="20"/>
          <w:lang w:val="en"/>
        </w:rPr>
        <w:t xml:space="preserve">ears of the grant of permission and subsequent changes of use </w:t>
      </w:r>
      <w:r w:rsidR="005D038A">
        <w:rPr>
          <w:color w:val="000000" w:themeColor="text1"/>
          <w:sz w:val="20"/>
          <w:szCs w:val="20"/>
          <w:lang w:val="en"/>
        </w:rPr>
        <w:t xml:space="preserve">within a ten year period </w:t>
      </w:r>
      <w:r w:rsidR="00885875" w:rsidRPr="003F7BA3">
        <w:rPr>
          <w:color w:val="000000" w:themeColor="text1"/>
          <w:sz w:val="20"/>
          <w:szCs w:val="20"/>
          <w:lang w:val="en"/>
        </w:rPr>
        <w:t xml:space="preserve">which </w:t>
      </w:r>
      <w:r w:rsidR="00885875" w:rsidRPr="003F7BA3">
        <w:rPr>
          <w:i/>
          <w:color w:val="000000" w:themeColor="text1"/>
          <w:sz w:val="20"/>
          <w:szCs w:val="20"/>
          <w:lang w:val="en"/>
        </w:rPr>
        <w:t>may</w:t>
      </w:r>
      <w:r w:rsidR="00885875" w:rsidRPr="003F7BA3">
        <w:rPr>
          <w:color w:val="000000" w:themeColor="text1"/>
          <w:sz w:val="20"/>
          <w:szCs w:val="20"/>
          <w:lang w:val="en"/>
        </w:rPr>
        <w:t xml:space="preserve"> be able to take advantage of s 91 (4) TCPA 1990.</w:t>
      </w:r>
    </w:p>
    <w:p w:rsidR="00C25DD7" w:rsidRPr="00C25DD7" w:rsidRDefault="00C25DD7" w:rsidP="00F22CE4">
      <w:pPr>
        <w:pStyle w:val="legclearfix2"/>
        <w:spacing w:line="360" w:lineRule="auto"/>
        <w:ind w:left="720"/>
        <w:rPr>
          <w:b/>
          <w:color w:val="000000" w:themeColor="text1"/>
          <w:sz w:val="20"/>
          <w:szCs w:val="20"/>
          <w:lang w:val="en"/>
        </w:rPr>
      </w:pPr>
      <w:r w:rsidRPr="00C25DD7">
        <w:rPr>
          <w:b/>
          <w:color w:val="000000" w:themeColor="text1"/>
          <w:sz w:val="20"/>
          <w:szCs w:val="20"/>
          <w:lang w:val="en"/>
        </w:rPr>
        <w:t xml:space="preserve"> Conclusion:</w:t>
      </w:r>
    </w:p>
    <w:p w:rsidR="00C25DD7" w:rsidRPr="003F7BA3" w:rsidRDefault="007153D1" w:rsidP="00C25DD7">
      <w:pPr>
        <w:pStyle w:val="legclearfix2"/>
        <w:numPr>
          <w:ilvl w:val="0"/>
          <w:numId w:val="1"/>
        </w:numPr>
        <w:spacing w:line="360" w:lineRule="auto"/>
        <w:rPr>
          <w:color w:val="000000" w:themeColor="text1"/>
          <w:sz w:val="20"/>
          <w:szCs w:val="20"/>
          <w:lang w:val="en"/>
        </w:rPr>
      </w:pPr>
      <w:r>
        <w:rPr>
          <w:color w:val="000000" w:themeColor="text1"/>
          <w:sz w:val="20"/>
          <w:szCs w:val="20"/>
          <w:lang w:val="en"/>
        </w:rPr>
        <w:t xml:space="preserve">A </w:t>
      </w:r>
      <w:r w:rsidR="00C25DD7">
        <w:rPr>
          <w:color w:val="000000" w:themeColor="text1"/>
          <w:sz w:val="20"/>
          <w:szCs w:val="20"/>
          <w:lang w:val="en"/>
        </w:rPr>
        <w:t xml:space="preserve">permission is not implemented until development takes place. There is no development until permitted building </w:t>
      </w:r>
      <w:r w:rsidR="00C25DD7" w:rsidRPr="00C25DD7">
        <w:rPr>
          <w:i/>
          <w:color w:val="000000" w:themeColor="text1"/>
          <w:sz w:val="20"/>
          <w:szCs w:val="20"/>
          <w:lang w:val="en"/>
        </w:rPr>
        <w:t>etc</w:t>
      </w:r>
      <w:r w:rsidR="00C25DD7">
        <w:rPr>
          <w:color w:val="000000" w:themeColor="text1"/>
          <w:sz w:val="20"/>
          <w:szCs w:val="20"/>
          <w:lang w:val="en"/>
        </w:rPr>
        <w:t xml:space="preserve"> operations are carried </w:t>
      </w:r>
      <w:r w:rsidR="00E4616C">
        <w:rPr>
          <w:color w:val="000000" w:themeColor="text1"/>
          <w:sz w:val="20"/>
          <w:szCs w:val="20"/>
          <w:lang w:val="en"/>
        </w:rPr>
        <w:t xml:space="preserve">out </w:t>
      </w:r>
      <w:r w:rsidR="00C25DD7">
        <w:rPr>
          <w:color w:val="000000" w:themeColor="text1"/>
          <w:sz w:val="20"/>
          <w:szCs w:val="20"/>
          <w:lang w:val="en"/>
        </w:rPr>
        <w:t xml:space="preserve">or a material </w:t>
      </w:r>
      <w:r w:rsidR="00C25DD7" w:rsidRPr="00C25DD7">
        <w:rPr>
          <w:i/>
          <w:color w:val="000000" w:themeColor="text1"/>
          <w:sz w:val="20"/>
          <w:szCs w:val="20"/>
          <w:lang w:val="en"/>
        </w:rPr>
        <w:t>change</w:t>
      </w:r>
      <w:r w:rsidR="00C25DD7">
        <w:rPr>
          <w:color w:val="000000" w:themeColor="text1"/>
          <w:sz w:val="20"/>
          <w:szCs w:val="20"/>
          <w:lang w:val="en"/>
        </w:rPr>
        <w:t xml:space="preserve"> of use occurs. If a permission is granted subject to a condition that it must be implemented within three years then unless a material </w:t>
      </w:r>
      <w:r w:rsidR="00C25DD7" w:rsidRPr="00C25DD7">
        <w:rPr>
          <w:i/>
          <w:color w:val="000000" w:themeColor="text1"/>
          <w:sz w:val="20"/>
          <w:szCs w:val="20"/>
          <w:lang w:val="en"/>
        </w:rPr>
        <w:t>change</w:t>
      </w:r>
      <w:r w:rsidR="00C25DD7">
        <w:rPr>
          <w:color w:val="000000" w:themeColor="text1"/>
          <w:sz w:val="20"/>
          <w:szCs w:val="20"/>
          <w:lang w:val="en"/>
        </w:rPr>
        <w:t xml:space="preserve"> of use (or some other permitted development) occurs within three years ther</w:t>
      </w:r>
      <w:r w:rsidR="00AE1018">
        <w:rPr>
          <w:color w:val="000000" w:themeColor="text1"/>
          <w:sz w:val="20"/>
          <w:szCs w:val="20"/>
          <w:lang w:val="en"/>
        </w:rPr>
        <w:t>e</w:t>
      </w:r>
      <w:r w:rsidR="00C25DD7">
        <w:rPr>
          <w:color w:val="000000" w:themeColor="text1"/>
          <w:sz w:val="20"/>
          <w:szCs w:val="20"/>
          <w:lang w:val="en"/>
        </w:rPr>
        <w:t>after any material</w:t>
      </w:r>
      <w:r w:rsidR="00E4616C">
        <w:rPr>
          <w:color w:val="000000" w:themeColor="text1"/>
          <w:sz w:val="20"/>
          <w:szCs w:val="20"/>
          <w:lang w:val="en"/>
        </w:rPr>
        <w:t xml:space="preserve"> change of use will</w:t>
      </w:r>
      <w:r w:rsidR="00C25DD7">
        <w:rPr>
          <w:color w:val="000000" w:themeColor="text1"/>
          <w:sz w:val="20"/>
          <w:szCs w:val="20"/>
          <w:lang w:val="en"/>
        </w:rPr>
        <w:t xml:space="preserve"> be </w:t>
      </w:r>
      <w:r w:rsidR="00E4616C">
        <w:rPr>
          <w:color w:val="000000" w:themeColor="text1"/>
          <w:sz w:val="20"/>
          <w:szCs w:val="20"/>
          <w:lang w:val="en"/>
        </w:rPr>
        <w:t>in breach of condition</w:t>
      </w:r>
      <w:r w:rsidR="00C25DD7">
        <w:rPr>
          <w:color w:val="000000" w:themeColor="text1"/>
          <w:sz w:val="20"/>
          <w:szCs w:val="20"/>
          <w:lang w:val="en"/>
        </w:rPr>
        <w:t>.</w:t>
      </w:r>
    </w:p>
    <w:p w:rsidR="005D038A" w:rsidRDefault="005D038A" w:rsidP="00885875">
      <w:pPr>
        <w:pStyle w:val="legclearfix2"/>
        <w:spacing w:line="360" w:lineRule="auto"/>
        <w:ind w:left="720"/>
        <w:jc w:val="right"/>
        <w:rPr>
          <w:b/>
          <w:color w:val="000000" w:themeColor="text1"/>
          <w:sz w:val="20"/>
          <w:szCs w:val="20"/>
          <w:lang w:val="en"/>
        </w:rPr>
      </w:pPr>
    </w:p>
    <w:p w:rsidR="005D038A" w:rsidRDefault="005D038A" w:rsidP="00885875">
      <w:pPr>
        <w:pStyle w:val="legclearfix2"/>
        <w:spacing w:line="360" w:lineRule="auto"/>
        <w:ind w:left="720"/>
        <w:jc w:val="right"/>
        <w:rPr>
          <w:b/>
          <w:color w:val="000000" w:themeColor="text1"/>
          <w:sz w:val="20"/>
          <w:szCs w:val="20"/>
          <w:lang w:val="en"/>
        </w:rPr>
      </w:pPr>
    </w:p>
    <w:p w:rsidR="00BD7A93" w:rsidRPr="003F7BA3" w:rsidRDefault="00BD7A93" w:rsidP="000A40C0">
      <w:pPr>
        <w:pStyle w:val="legclearfix2"/>
        <w:ind w:left="720"/>
        <w:rPr>
          <w:color w:val="000000" w:themeColor="text1"/>
          <w:sz w:val="20"/>
          <w:szCs w:val="20"/>
          <w:lang w:val="en"/>
        </w:rPr>
      </w:pPr>
    </w:p>
    <w:p w:rsidR="009A7C18" w:rsidRPr="00BD7A93" w:rsidRDefault="009A7C18" w:rsidP="009A7C18">
      <w:pPr>
        <w:pStyle w:val="NormalWeb"/>
        <w:spacing w:before="225" w:beforeAutospacing="0" w:after="225" w:afterAutospacing="0" w:line="330" w:lineRule="atLeast"/>
        <w:ind w:left="1080"/>
        <w:rPr>
          <w:color w:val="2B2E2F"/>
          <w:sz w:val="20"/>
          <w:szCs w:val="20"/>
        </w:rPr>
      </w:pPr>
    </w:p>
    <w:p w:rsidR="00C67162" w:rsidRPr="009A7C18" w:rsidRDefault="00796D79" w:rsidP="009A7C18">
      <w:pPr>
        <w:ind w:left="360"/>
        <w:rPr>
          <w:rFonts w:ascii="Times New Roman" w:hAnsi="Times New Roman"/>
          <w:sz w:val="20"/>
          <w:szCs w:val="20"/>
        </w:rPr>
      </w:pPr>
    </w:p>
    <w:sectPr w:rsidR="00C67162" w:rsidRPr="009A7C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79" w:rsidRDefault="00796D79" w:rsidP="000A40C0">
      <w:r>
        <w:separator/>
      </w:r>
    </w:p>
  </w:endnote>
  <w:endnote w:type="continuationSeparator" w:id="0">
    <w:p w:rsidR="00796D79" w:rsidRDefault="00796D79" w:rsidP="000A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Italic">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79" w:rsidRDefault="00796D79" w:rsidP="000A40C0">
      <w:r>
        <w:separator/>
      </w:r>
    </w:p>
  </w:footnote>
  <w:footnote w:type="continuationSeparator" w:id="0">
    <w:p w:rsidR="00796D79" w:rsidRDefault="00796D79" w:rsidP="000A4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45D2"/>
    <w:multiLevelType w:val="hybridMultilevel"/>
    <w:tmpl w:val="EFECDA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931362"/>
    <w:multiLevelType w:val="hybridMultilevel"/>
    <w:tmpl w:val="2C541A2E"/>
    <w:lvl w:ilvl="0" w:tplc="2B3624F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1"/>
    <w:rsid w:val="000A40C0"/>
    <w:rsid w:val="000C3103"/>
    <w:rsid w:val="001C06C2"/>
    <w:rsid w:val="00295D01"/>
    <w:rsid w:val="002A2F36"/>
    <w:rsid w:val="0037258B"/>
    <w:rsid w:val="003E2375"/>
    <w:rsid w:val="003F7BA3"/>
    <w:rsid w:val="00454098"/>
    <w:rsid w:val="00480D52"/>
    <w:rsid w:val="00495D7F"/>
    <w:rsid w:val="004D0CC9"/>
    <w:rsid w:val="004D2E42"/>
    <w:rsid w:val="004E404F"/>
    <w:rsid w:val="004E4FD5"/>
    <w:rsid w:val="005C0939"/>
    <w:rsid w:val="005D038A"/>
    <w:rsid w:val="007153D1"/>
    <w:rsid w:val="0075280D"/>
    <w:rsid w:val="00795E22"/>
    <w:rsid w:val="00796D79"/>
    <w:rsid w:val="0081235A"/>
    <w:rsid w:val="00885875"/>
    <w:rsid w:val="00907E8B"/>
    <w:rsid w:val="00965561"/>
    <w:rsid w:val="009A7C18"/>
    <w:rsid w:val="009B2F49"/>
    <w:rsid w:val="009B36A7"/>
    <w:rsid w:val="00AE1018"/>
    <w:rsid w:val="00BD7A93"/>
    <w:rsid w:val="00C25DD7"/>
    <w:rsid w:val="00C72DDE"/>
    <w:rsid w:val="00D568F9"/>
    <w:rsid w:val="00DA4B71"/>
    <w:rsid w:val="00DD1B24"/>
    <w:rsid w:val="00DD3272"/>
    <w:rsid w:val="00E37043"/>
    <w:rsid w:val="00E4616C"/>
    <w:rsid w:val="00EE420B"/>
    <w:rsid w:val="00F22CE4"/>
    <w:rsid w:val="00F267A3"/>
    <w:rsid w:val="00FD5624"/>
    <w:rsid w:val="00FD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4DD261-5BBF-43F2-A216-A9A65F5B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61"/>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56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65561"/>
    <w:rPr>
      <w:b/>
      <w:bCs/>
    </w:rPr>
  </w:style>
  <w:style w:type="character" w:customStyle="1" w:styleId="legds2">
    <w:name w:val="legds2"/>
    <w:basedOn w:val="DefaultParagraphFont"/>
    <w:rsid w:val="005C0939"/>
    <w:rPr>
      <w:vanish w:val="0"/>
      <w:webHidden w:val="0"/>
      <w:specVanish w:val="0"/>
    </w:rPr>
  </w:style>
  <w:style w:type="character" w:customStyle="1" w:styleId="legterm">
    <w:name w:val="legterm"/>
    <w:basedOn w:val="DefaultParagraphFont"/>
    <w:rsid w:val="005C0939"/>
  </w:style>
  <w:style w:type="character" w:customStyle="1" w:styleId="legextentrestriction7">
    <w:name w:val="legextentrestriction7"/>
    <w:basedOn w:val="DefaultParagraphFont"/>
    <w:rsid w:val="009A7C18"/>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9A7C18"/>
    <w:pPr>
      <w:shd w:val="clear" w:color="auto" w:fill="FFFFFF"/>
      <w:spacing w:after="120" w:line="360" w:lineRule="atLeast"/>
    </w:pPr>
    <w:rPr>
      <w:rFonts w:ascii="Times New Roman" w:eastAsia="Times New Roman" w:hAnsi="Times New Roman"/>
      <w:color w:val="000000"/>
      <w:sz w:val="19"/>
      <w:szCs w:val="19"/>
    </w:rPr>
  </w:style>
  <w:style w:type="character" w:customStyle="1" w:styleId="legchangedelimiter2">
    <w:name w:val="legchangedelimiter2"/>
    <w:basedOn w:val="DefaultParagraphFont"/>
    <w:rsid w:val="009A7C18"/>
    <w:rPr>
      <w:b/>
      <w:bCs/>
      <w:i w:val="0"/>
      <w:iCs w:val="0"/>
      <w:color w:val="000000"/>
      <w:sz w:val="34"/>
      <w:szCs w:val="34"/>
    </w:rPr>
  </w:style>
  <w:style w:type="character" w:customStyle="1" w:styleId="legsubstitution5">
    <w:name w:val="legsubstitution5"/>
    <w:basedOn w:val="DefaultParagraphFont"/>
    <w:rsid w:val="009A7C18"/>
  </w:style>
  <w:style w:type="paragraph" w:styleId="ListParagraph">
    <w:name w:val="List Paragraph"/>
    <w:basedOn w:val="Normal"/>
    <w:uiPriority w:val="34"/>
    <w:qFormat/>
    <w:rsid w:val="009A7C18"/>
    <w:pPr>
      <w:ind w:left="720"/>
      <w:contextualSpacing/>
    </w:pPr>
  </w:style>
  <w:style w:type="character" w:customStyle="1" w:styleId="legaddition5">
    <w:name w:val="legaddition5"/>
    <w:basedOn w:val="DefaultParagraphFont"/>
    <w:rsid w:val="000A40C0"/>
  </w:style>
  <w:style w:type="paragraph" w:styleId="Header">
    <w:name w:val="header"/>
    <w:basedOn w:val="Normal"/>
    <w:link w:val="HeaderChar"/>
    <w:uiPriority w:val="99"/>
    <w:unhideWhenUsed/>
    <w:rsid w:val="000A40C0"/>
    <w:pPr>
      <w:tabs>
        <w:tab w:val="center" w:pos="4513"/>
        <w:tab w:val="right" w:pos="9026"/>
      </w:tabs>
    </w:pPr>
  </w:style>
  <w:style w:type="character" w:customStyle="1" w:styleId="HeaderChar">
    <w:name w:val="Header Char"/>
    <w:basedOn w:val="DefaultParagraphFont"/>
    <w:link w:val="Header"/>
    <w:uiPriority w:val="99"/>
    <w:rsid w:val="000A40C0"/>
    <w:rPr>
      <w:rFonts w:ascii="Calibri" w:hAnsi="Calibri" w:cs="Times New Roman"/>
      <w:lang w:eastAsia="en-GB"/>
    </w:rPr>
  </w:style>
  <w:style w:type="paragraph" w:styleId="Footer">
    <w:name w:val="footer"/>
    <w:basedOn w:val="Normal"/>
    <w:link w:val="FooterChar"/>
    <w:uiPriority w:val="99"/>
    <w:unhideWhenUsed/>
    <w:rsid w:val="000A40C0"/>
    <w:pPr>
      <w:tabs>
        <w:tab w:val="center" w:pos="4513"/>
        <w:tab w:val="right" w:pos="9026"/>
      </w:tabs>
    </w:pPr>
  </w:style>
  <w:style w:type="character" w:customStyle="1" w:styleId="FooterChar">
    <w:name w:val="Footer Char"/>
    <w:basedOn w:val="DefaultParagraphFont"/>
    <w:link w:val="Footer"/>
    <w:uiPriority w:val="99"/>
    <w:rsid w:val="000A40C0"/>
    <w:rPr>
      <w:rFonts w:ascii="Calibri" w:hAnsi="Calibri" w:cs="Times New Roman"/>
      <w:lang w:eastAsia="en-GB"/>
    </w:rPr>
  </w:style>
  <w:style w:type="paragraph" w:styleId="FootnoteText">
    <w:name w:val="footnote text"/>
    <w:basedOn w:val="Normal"/>
    <w:link w:val="FootnoteTextChar"/>
    <w:uiPriority w:val="99"/>
    <w:semiHidden/>
    <w:unhideWhenUsed/>
    <w:rsid w:val="003F7BA3"/>
    <w:rPr>
      <w:sz w:val="20"/>
      <w:szCs w:val="20"/>
    </w:rPr>
  </w:style>
  <w:style w:type="character" w:customStyle="1" w:styleId="FootnoteTextChar">
    <w:name w:val="Footnote Text Char"/>
    <w:basedOn w:val="DefaultParagraphFont"/>
    <w:link w:val="FootnoteText"/>
    <w:uiPriority w:val="99"/>
    <w:semiHidden/>
    <w:rsid w:val="003F7BA3"/>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3F7BA3"/>
    <w:rPr>
      <w:vertAlign w:val="superscript"/>
    </w:rPr>
  </w:style>
  <w:style w:type="character" w:styleId="Emphasis">
    <w:name w:val="Emphasis"/>
    <w:basedOn w:val="DefaultParagraphFont"/>
    <w:uiPriority w:val="20"/>
    <w:qFormat/>
    <w:rsid w:val="004D2E42"/>
    <w:rPr>
      <w:i/>
      <w:iCs/>
    </w:rPr>
  </w:style>
  <w:style w:type="character" w:customStyle="1" w:styleId="fontstyle01">
    <w:name w:val="fontstyle01"/>
    <w:basedOn w:val="DefaultParagraphFont"/>
    <w:rsid w:val="003E2375"/>
    <w:rPr>
      <w:rFonts w:ascii="Times-Italic" w:hAnsi="Times-Italic" w:hint="default"/>
      <w:b w:val="0"/>
      <w:bCs w:val="0"/>
      <w:i/>
      <w:iCs/>
      <w:color w:val="000000"/>
      <w:sz w:val="22"/>
      <w:szCs w:val="22"/>
    </w:rPr>
  </w:style>
  <w:style w:type="character" w:customStyle="1" w:styleId="fontstyle21">
    <w:name w:val="fontstyle21"/>
    <w:basedOn w:val="DefaultParagraphFont"/>
    <w:rsid w:val="003E2375"/>
    <w:rPr>
      <w:rFonts w:ascii="Times-Bold" w:hAnsi="Times-Bold" w:hint="default"/>
      <w:b/>
      <w:bCs/>
      <w:i w:val="0"/>
      <w:iCs w:val="0"/>
      <w:color w:val="000000"/>
      <w:sz w:val="22"/>
      <w:szCs w:val="22"/>
    </w:rPr>
  </w:style>
  <w:style w:type="character" w:customStyle="1" w:styleId="fontstyle31">
    <w:name w:val="fontstyle31"/>
    <w:basedOn w:val="DefaultParagraphFont"/>
    <w:rsid w:val="003E2375"/>
    <w:rPr>
      <w:rFonts w:ascii="Times-BoldItalic" w:hAnsi="Times-BoldItalic" w:hint="default"/>
      <w:b/>
      <w:bCs/>
      <w:i/>
      <w:iCs/>
      <w:color w:val="000000"/>
      <w:sz w:val="22"/>
      <w:szCs w:val="22"/>
    </w:rPr>
  </w:style>
  <w:style w:type="character" w:customStyle="1" w:styleId="fontstyle41">
    <w:name w:val="fontstyle41"/>
    <w:basedOn w:val="DefaultParagraphFont"/>
    <w:rsid w:val="003E2375"/>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77260">
      <w:bodyDiv w:val="1"/>
      <w:marLeft w:val="0"/>
      <w:marRight w:val="0"/>
      <w:marTop w:val="0"/>
      <w:marBottom w:val="0"/>
      <w:divBdr>
        <w:top w:val="none" w:sz="0" w:space="0" w:color="auto"/>
        <w:left w:val="none" w:sz="0" w:space="0" w:color="auto"/>
        <w:bottom w:val="none" w:sz="0" w:space="0" w:color="auto"/>
        <w:right w:val="none" w:sz="0" w:space="0" w:color="auto"/>
      </w:divBdr>
      <w:divsChild>
        <w:div w:id="1126241705">
          <w:marLeft w:val="0"/>
          <w:marRight w:val="0"/>
          <w:marTop w:val="0"/>
          <w:marBottom w:val="0"/>
          <w:divBdr>
            <w:top w:val="none" w:sz="0" w:space="0" w:color="auto"/>
            <w:left w:val="none" w:sz="0" w:space="0" w:color="auto"/>
            <w:bottom w:val="none" w:sz="0" w:space="0" w:color="auto"/>
            <w:right w:val="none" w:sz="0" w:space="0" w:color="auto"/>
          </w:divBdr>
          <w:divsChild>
            <w:div w:id="1159734196">
              <w:marLeft w:val="0"/>
              <w:marRight w:val="0"/>
              <w:marTop w:val="0"/>
              <w:marBottom w:val="0"/>
              <w:divBdr>
                <w:top w:val="single" w:sz="2" w:space="0" w:color="FFFFFF"/>
                <w:left w:val="single" w:sz="6" w:space="0" w:color="FFFFFF"/>
                <w:bottom w:val="single" w:sz="6" w:space="0" w:color="FFFFFF"/>
                <w:right w:val="single" w:sz="6" w:space="0" w:color="FFFFFF"/>
              </w:divBdr>
              <w:divsChild>
                <w:div w:id="1984001397">
                  <w:marLeft w:val="0"/>
                  <w:marRight w:val="0"/>
                  <w:marTop w:val="0"/>
                  <w:marBottom w:val="0"/>
                  <w:divBdr>
                    <w:top w:val="single" w:sz="6" w:space="1" w:color="D3D3D3"/>
                    <w:left w:val="none" w:sz="0" w:space="0" w:color="auto"/>
                    <w:bottom w:val="none" w:sz="0" w:space="0" w:color="auto"/>
                    <w:right w:val="none" w:sz="0" w:space="0" w:color="auto"/>
                  </w:divBdr>
                  <w:divsChild>
                    <w:div w:id="761411394">
                      <w:marLeft w:val="0"/>
                      <w:marRight w:val="0"/>
                      <w:marTop w:val="0"/>
                      <w:marBottom w:val="0"/>
                      <w:divBdr>
                        <w:top w:val="none" w:sz="0" w:space="0" w:color="auto"/>
                        <w:left w:val="none" w:sz="0" w:space="0" w:color="auto"/>
                        <w:bottom w:val="none" w:sz="0" w:space="0" w:color="auto"/>
                        <w:right w:val="none" w:sz="0" w:space="0" w:color="auto"/>
                      </w:divBdr>
                      <w:divsChild>
                        <w:div w:id="2090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397848">
      <w:bodyDiv w:val="1"/>
      <w:marLeft w:val="0"/>
      <w:marRight w:val="0"/>
      <w:marTop w:val="0"/>
      <w:marBottom w:val="0"/>
      <w:divBdr>
        <w:top w:val="none" w:sz="0" w:space="0" w:color="auto"/>
        <w:left w:val="none" w:sz="0" w:space="0" w:color="auto"/>
        <w:bottom w:val="none" w:sz="0" w:space="0" w:color="auto"/>
        <w:right w:val="none" w:sz="0" w:space="0" w:color="auto"/>
      </w:divBdr>
      <w:divsChild>
        <w:div w:id="1998921111">
          <w:marLeft w:val="0"/>
          <w:marRight w:val="0"/>
          <w:marTop w:val="0"/>
          <w:marBottom w:val="0"/>
          <w:divBdr>
            <w:top w:val="none" w:sz="0" w:space="0" w:color="auto"/>
            <w:left w:val="none" w:sz="0" w:space="0" w:color="auto"/>
            <w:bottom w:val="none" w:sz="0" w:space="0" w:color="auto"/>
            <w:right w:val="none" w:sz="0" w:space="0" w:color="auto"/>
          </w:divBdr>
          <w:divsChild>
            <w:div w:id="455493153">
              <w:marLeft w:val="0"/>
              <w:marRight w:val="0"/>
              <w:marTop w:val="0"/>
              <w:marBottom w:val="0"/>
              <w:divBdr>
                <w:top w:val="single" w:sz="2" w:space="0" w:color="FFFFFF"/>
                <w:left w:val="single" w:sz="6" w:space="0" w:color="FFFFFF"/>
                <w:bottom w:val="single" w:sz="6" w:space="0" w:color="FFFFFF"/>
                <w:right w:val="single" w:sz="6" w:space="0" w:color="FFFFFF"/>
              </w:divBdr>
              <w:divsChild>
                <w:div w:id="1777403611">
                  <w:marLeft w:val="0"/>
                  <w:marRight w:val="0"/>
                  <w:marTop w:val="0"/>
                  <w:marBottom w:val="0"/>
                  <w:divBdr>
                    <w:top w:val="single" w:sz="6" w:space="1" w:color="D3D3D3"/>
                    <w:left w:val="none" w:sz="0" w:space="0" w:color="auto"/>
                    <w:bottom w:val="none" w:sz="0" w:space="0" w:color="auto"/>
                    <w:right w:val="none" w:sz="0" w:space="0" w:color="auto"/>
                  </w:divBdr>
                  <w:divsChild>
                    <w:div w:id="1181122238">
                      <w:marLeft w:val="0"/>
                      <w:marRight w:val="0"/>
                      <w:marTop w:val="0"/>
                      <w:marBottom w:val="0"/>
                      <w:divBdr>
                        <w:top w:val="none" w:sz="0" w:space="0" w:color="auto"/>
                        <w:left w:val="none" w:sz="0" w:space="0" w:color="auto"/>
                        <w:bottom w:val="none" w:sz="0" w:space="0" w:color="auto"/>
                        <w:right w:val="none" w:sz="0" w:space="0" w:color="auto"/>
                      </w:divBdr>
                      <w:divsChild>
                        <w:div w:id="386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471341">
      <w:bodyDiv w:val="1"/>
      <w:marLeft w:val="0"/>
      <w:marRight w:val="0"/>
      <w:marTop w:val="0"/>
      <w:marBottom w:val="0"/>
      <w:divBdr>
        <w:top w:val="none" w:sz="0" w:space="0" w:color="auto"/>
        <w:left w:val="none" w:sz="0" w:space="0" w:color="auto"/>
        <w:bottom w:val="none" w:sz="0" w:space="0" w:color="auto"/>
        <w:right w:val="none" w:sz="0" w:space="0" w:color="auto"/>
      </w:divBdr>
      <w:divsChild>
        <w:div w:id="552737412">
          <w:marLeft w:val="0"/>
          <w:marRight w:val="0"/>
          <w:marTop w:val="0"/>
          <w:marBottom w:val="0"/>
          <w:divBdr>
            <w:top w:val="none" w:sz="0" w:space="0" w:color="auto"/>
            <w:left w:val="none" w:sz="0" w:space="0" w:color="auto"/>
            <w:bottom w:val="none" w:sz="0" w:space="0" w:color="auto"/>
            <w:right w:val="none" w:sz="0" w:space="0" w:color="auto"/>
          </w:divBdr>
          <w:divsChild>
            <w:div w:id="1133256430">
              <w:marLeft w:val="0"/>
              <w:marRight w:val="0"/>
              <w:marTop w:val="0"/>
              <w:marBottom w:val="0"/>
              <w:divBdr>
                <w:top w:val="single" w:sz="2" w:space="0" w:color="FFFFFF"/>
                <w:left w:val="single" w:sz="6" w:space="0" w:color="FFFFFF"/>
                <w:bottom w:val="single" w:sz="6" w:space="0" w:color="FFFFFF"/>
                <w:right w:val="single" w:sz="6" w:space="0" w:color="FFFFFF"/>
              </w:divBdr>
              <w:divsChild>
                <w:div w:id="78328417">
                  <w:marLeft w:val="0"/>
                  <w:marRight w:val="0"/>
                  <w:marTop w:val="0"/>
                  <w:marBottom w:val="0"/>
                  <w:divBdr>
                    <w:top w:val="single" w:sz="6" w:space="1" w:color="D3D3D3"/>
                    <w:left w:val="none" w:sz="0" w:space="0" w:color="auto"/>
                    <w:bottom w:val="none" w:sz="0" w:space="0" w:color="auto"/>
                    <w:right w:val="none" w:sz="0" w:space="0" w:color="auto"/>
                  </w:divBdr>
                  <w:divsChild>
                    <w:div w:id="155268393">
                      <w:marLeft w:val="0"/>
                      <w:marRight w:val="0"/>
                      <w:marTop w:val="0"/>
                      <w:marBottom w:val="0"/>
                      <w:divBdr>
                        <w:top w:val="none" w:sz="0" w:space="0" w:color="auto"/>
                        <w:left w:val="none" w:sz="0" w:space="0" w:color="auto"/>
                        <w:bottom w:val="none" w:sz="0" w:space="0" w:color="auto"/>
                        <w:right w:val="none" w:sz="0" w:space="0" w:color="auto"/>
                      </w:divBdr>
                      <w:divsChild>
                        <w:div w:id="14115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830947">
      <w:bodyDiv w:val="1"/>
      <w:marLeft w:val="0"/>
      <w:marRight w:val="0"/>
      <w:marTop w:val="0"/>
      <w:marBottom w:val="0"/>
      <w:divBdr>
        <w:top w:val="none" w:sz="0" w:space="0" w:color="auto"/>
        <w:left w:val="none" w:sz="0" w:space="0" w:color="auto"/>
        <w:bottom w:val="none" w:sz="0" w:space="0" w:color="auto"/>
        <w:right w:val="none" w:sz="0" w:space="0" w:color="auto"/>
      </w:divBdr>
    </w:div>
    <w:div w:id="1567642228">
      <w:bodyDiv w:val="1"/>
      <w:marLeft w:val="0"/>
      <w:marRight w:val="0"/>
      <w:marTop w:val="0"/>
      <w:marBottom w:val="0"/>
      <w:divBdr>
        <w:top w:val="none" w:sz="0" w:space="0" w:color="auto"/>
        <w:left w:val="none" w:sz="0" w:space="0" w:color="auto"/>
        <w:bottom w:val="none" w:sz="0" w:space="0" w:color="auto"/>
        <w:right w:val="none" w:sz="0" w:space="0" w:color="auto"/>
      </w:divBdr>
      <w:divsChild>
        <w:div w:id="424227949">
          <w:marLeft w:val="0"/>
          <w:marRight w:val="0"/>
          <w:marTop w:val="0"/>
          <w:marBottom w:val="0"/>
          <w:divBdr>
            <w:top w:val="none" w:sz="0" w:space="0" w:color="auto"/>
            <w:left w:val="none" w:sz="0" w:space="0" w:color="auto"/>
            <w:bottom w:val="none" w:sz="0" w:space="0" w:color="auto"/>
            <w:right w:val="none" w:sz="0" w:space="0" w:color="auto"/>
          </w:divBdr>
          <w:divsChild>
            <w:div w:id="1446459927">
              <w:marLeft w:val="0"/>
              <w:marRight w:val="0"/>
              <w:marTop w:val="0"/>
              <w:marBottom w:val="0"/>
              <w:divBdr>
                <w:top w:val="single" w:sz="2" w:space="0" w:color="FFFFFF"/>
                <w:left w:val="single" w:sz="6" w:space="0" w:color="FFFFFF"/>
                <w:bottom w:val="single" w:sz="6" w:space="0" w:color="FFFFFF"/>
                <w:right w:val="single" w:sz="6" w:space="0" w:color="FFFFFF"/>
              </w:divBdr>
              <w:divsChild>
                <w:div w:id="523246810">
                  <w:marLeft w:val="0"/>
                  <w:marRight w:val="0"/>
                  <w:marTop w:val="0"/>
                  <w:marBottom w:val="0"/>
                  <w:divBdr>
                    <w:top w:val="single" w:sz="6" w:space="1" w:color="D3D3D3"/>
                    <w:left w:val="none" w:sz="0" w:space="0" w:color="auto"/>
                    <w:bottom w:val="none" w:sz="0" w:space="0" w:color="auto"/>
                    <w:right w:val="none" w:sz="0" w:space="0" w:color="auto"/>
                  </w:divBdr>
                  <w:divsChild>
                    <w:div w:id="1254818186">
                      <w:marLeft w:val="0"/>
                      <w:marRight w:val="0"/>
                      <w:marTop w:val="0"/>
                      <w:marBottom w:val="0"/>
                      <w:divBdr>
                        <w:top w:val="none" w:sz="0" w:space="0" w:color="auto"/>
                        <w:left w:val="none" w:sz="0" w:space="0" w:color="auto"/>
                        <w:bottom w:val="none" w:sz="0" w:space="0" w:color="auto"/>
                        <w:right w:val="none" w:sz="0" w:space="0" w:color="auto"/>
                      </w:divBdr>
                      <w:divsChild>
                        <w:div w:id="17244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A53F-36B5-4549-97B5-54D399A9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Advanced 365</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McCracken QC</dc:creator>
  <cp:keywords/>
  <dc:description/>
  <cp:lastModifiedBy>Robert McCracken QC</cp:lastModifiedBy>
  <cp:revision>20</cp:revision>
  <dcterms:created xsi:type="dcterms:W3CDTF">2017-09-13T10:24:00Z</dcterms:created>
  <dcterms:modified xsi:type="dcterms:W3CDTF">2017-09-13T13:16:00Z</dcterms:modified>
</cp:coreProperties>
</file>