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134"/>
        <w:gridCol w:w="1286"/>
        <w:gridCol w:w="273"/>
        <w:gridCol w:w="284"/>
        <w:gridCol w:w="709"/>
        <w:gridCol w:w="425"/>
        <w:gridCol w:w="514"/>
        <w:gridCol w:w="1187"/>
        <w:gridCol w:w="142"/>
        <w:gridCol w:w="708"/>
        <w:gridCol w:w="851"/>
        <w:gridCol w:w="1247"/>
        <w:gridCol w:w="737"/>
      </w:tblGrid>
      <w:tr w:rsidR="00356FDC" w:rsidTr="00356FDC">
        <w:trPr>
          <w:cantSplit/>
          <w:trHeight w:val="330"/>
        </w:trPr>
        <w:tc>
          <w:tcPr>
            <w:tcW w:w="3980" w:type="dxa"/>
            <w:gridSpan w:val="3"/>
            <w:vMerge w:val="restart"/>
            <w:tcBorders>
              <w:top w:val="single" w:sz="12" w:space="0" w:color="auto"/>
              <w:left w:val="single" w:sz="12" w:space="0" w:color="auto"/>
              <w:bottom w:val="single" w:sz="2" w:space="0" w:color="auto"/>
              <w:right w:val="single" w:sz="4" w:space="0" w:color="auto"/>
            </w:tcBorders>
            <w:hideMark/>
          </w:tcPr>
          <w:p w:rsidR="00356FDC" w:rsidRDefault="00356FDC">
            <w:pPr>
              <w:pStyle w:val="Heading4"/>
              <w:jc w:val="left"/>
              <w:rPr>
                <w:rFonts w:cs="Arial"/>
                <w:sz w:val="40"/>
              </w:rPr>
            </w:pPr>
            <w:r>
              <w:rPr>
                <w:rFonts w:cs="Arial"/>
                <w:sz w:val="40"/>
              </w:rPr>
              <w:t>Delegated Report</w:t>
            </w:r>
          </w:p>
        </w:tc>
        <w:tc>
          <w:tcPr>
            <w:tcW w:w="2205" w:type="dxa"/>
            <w:gridSpan w:val="5"/>
            <w:tcBorders>
              <w:top w:val="single" w:sz="12" w:space="0" w:color="auto"/>
              <w:left w:val="single" w:sz="4" w:space="0" w:color="auto"/>
              <w:bottom w:val="single" w:sz="4" w:space="0" w:color="auto"/>
              <w:right w:val="single" w:sz="4" w:space="0" w:color="auto"/>
            </w:tcBorders>
            <w:shd w:val="clear" w:color="auto" w:fill="000000"/>
            <w:vAlign w:val="center"/>
            <w:hideMark/>
          </w:tcPr>
          <w:p w:rsidR="00356FDC" w:rsidRDefault="00356FDC">
            <w:pPr>
              <w:pStyle w:val="Heading4"/>
              <w:jc w:val="left"/>
              <w:rPr>
                <w:rFonts w:cs="Arial"/>
              </w:rPr>
            </w:pPr>
            <w:r>
              <w:rPr>
                <w:rFonts w:cs="Arial"/>
                <w:color w:val="FFFFFF"/>
                <w:sz w:val="24"/>
                <w:highlight w:val="black"/>
              </w:rPr>
              <w:t>Analysis sheet</w:t>
            </w:r>
          </w:p>
        </w:tc>
        <w:tc>
          <w:tcPr>
            <w:tcW w:w="1187" w:type="dxa"/>
            <w:tcBorders>
              <w:top w:val="single" w:sz="12" w:space="0" w:color="auto"/>
              <w:left w:val="single" w:sz="4" w:space="0" w:color="auto"/>
              <w:bottom w:val="single" w:sz="4" w:space="0" w:color="auto"/>
              <w:right w:val="single" w:sz="2" w:space="0" w:color="FFFFFF"/>
            </w:tcBorders>
            <w:shd w:val="clear" w:color="auto" w:fill="000000"/>
          </w:tcPr>
          <w:p w:rsidR="00356FDC" w:rsidRDefault="00356FDC">
            <w:pPr>
              <w:pStyle w:val="Heading4"/>
              <w:jc w:val="left"/>
              <w:rPr>
                <w:rFonts w:cs="Arial"/>
                <w:b w:val="0"/>
                <w:highlight w:val="black"/>
              </w:rPr>
            </w:pPr>
          </w:p>
        </w:tc>
        <w:tc>
          <w:tcPr>
            <w:tcW w:w="1701" w:type="dxa"/>
            <w:gridSpan w:val="3"/>
            <w:tcBorders>
              <w:top w:val="single" w:sz="12" w:space="0" w:color="auto"/>
              <w:left w:val="single" w:sz="2" w:space="0" w:color="FFFFFF"/>
              <w:bottom w:val="single" w:sz="2" w:space="0" w:color="FFFFFF"/>
              <w:right w:val="single" w:sz="4" w:space="0" w:color="auto"/>
            </w:tcBorders>
            <w:shd w:val="clear" w:color="auto" w:fill="000000"/>
            <w:vAlign w:val="center"/>
            <w:hideMark/>
          </w:tcPr>
          <w:p w:rsidR="00356FDC" w:rsidRDefault="00356FDC">
            <w:pPr>
              <w:pStyle w:val="Heading4"/>
              <w:jc w:val="left"/>
              <w:rPr>
                <w:rFonts w:cs="Arial"/>
                <w:color w:val="FFFFFF"/>
                <w:sz w:val="24"/>
                <w:highlight w:val="black"/>
              </w:rPr>
            </w:pPr>
            <w:r>
              <w:rPr>
                <w:rFonts w:cs="Arial"/>
                <w:color w:val="FFFFFF"/>
                <w:sz w:val="24"/>
                <w:highlight w:val="black"/>
              </w:rPr>
              <w:t xml:space="preserve">Expiry Date: </w:t>
            </w:r>
          </w:p>
        </w:tc>
        <w:tc>
          <w:tcPr>
            <w:tcW w:w="1984" w:type="dxa"/>
            <w:gridSpan w:val="2"/>
            <w:tcBorders>
              <w:top w:val="single" w:sz="12" w:space="0" w:color="auto"/>
              <w:left w:val="single" w:sz="4" w:space="0" w:color="auto"/>
              <w:bottom w:val="single" w:sz="4" w:space="0" w:color="auto"/>
              <w:right w:val="single" w:sz="12" w:space="0" w:color="auto"/>
            </w:tcBorders>
            <w:vAlign w:val="center"/>
            <w:hideMark/>
          </w:tcPr>
          <w:p w:rsidR="00356FDC" w:rsidRDefault="00356FDC">
            <w:pPr>
              <w:pStyle w:val="Heading1"/>
              <w:jc w:val="center"/>
              <w:rPr>
                <w:rFonts w:cs="Arial"/>
                <w:b/>
                <w:bCs/>
              </w:rPr>
            </w:pPr>
            <w:r>
              <w:rPr>
                <w:rFonts w:cs="Arial"/>
                <w:b/>
                <w:bCs/>
              </w:rPr>
              <w:t>21/07/2017</w:t>
            </w:r>
            <w:r>
              <w:rPr>
                <w:rFonts w:cs="Arial"/>
                <w:b/>
                <w:bCs/>
              </w:rPr>
              <w:br/>
            </w:r>
          </w:p>
        </w:tc>
      </w:tr>
      <w:tr w:rsidR="00356FDC" w:rsidTr="00356FDC">
        <w:trPr>
          <w:cantSplit/>
          <w:trHeight w:val="360"/>
        </w:trPr>
        <w:tc>
          <w:tcPr>
            <w:tcW w:w="900" w:type="dxa"/>
            <w:gridSpan w:val="3"/>
            <w:vMerge/>
            <w:tcBorders>
              <w:top w:val="single" w:sz="12" w:space="0" w:color="auto"/>
              <w:left w:val="single" w:sz="12" w:space="0" w:color="auto"/>
              <w:bottom w:val="single" w:sz="2" w:space="0" w:color="auto"/>
              <w:right w:val="single" w:sz="4" w:space="0" w:color="auto"/>
            </w:tcBorders>
            <w:vAlign w:val="center"/>
            <w:hideMark/>
          </w:tcPr>
          <w:p w:rsidR="00356FDC" w:rsidRDefault="00356FDC">
            <w:pPr>
              <w:rPr>
                <w:rFonts w:ascii="Arial" w:hAnsi="Arial" w:cs="Arial"/>
                <w:b/>
                <w:sz w:val="40"/>
                <w:szCs w:val="20"/>
              </w:rPr>
            </w:pPr>
          </w:p>
        </w:tc>
        <w:tc>
          <w:tcPr>
            <w:tcW w:w="3392" w:type="dxa"/>
            <w:gridSpan w:val="6"/>
            <w:tcBorders>
              <w:top w:val="single" w:sz="4" w:space="0" w:color="auto"/>
              <w:left w:val="single" w:sz="4" w:space="0" w:color="auto"/>
              <w:bottom w:val="single" w:sz="2" w:space="0" w:color="auto"/>
              <w:right w:val="single" w:sz="2" w:space="0" w:color="FFFFFF"/>
            </w:tcBorders>
            <w:hideMark/>
          </w:tcPr>
          <w:p w:rsidR="00356FDC" w:rsidRDefault="00356FDC">
            <w:pPr>
              <w:rPr>
                <w:rFonts w:ascii="Arial" w:hAnsi="Arial" w:cs="Arial"/>
                <w:color w:val="FFFFFF"/>
                <w:highlight w:val="darkBlue"/>
              </w:rPr>
            </w:pPr>
            <w:r>
              <w:rPr>
                <w:rFonts w:ascii="Arial" w:hAnsi="Arial" w:cs="Arial"/>
              </w:rPr>
              <w:t>N/A / attached</w:t>
            </w:r>
          </w:p>
        </w:tc>
        <w:tc>
          <w:tcPr>
            <w:tcW w:w="1701" w:type="dxa"/>
            <w:gridSpan w:val="3"/>
            <w:tcBorders>
              <w:top w:val="single" w:sz="2" w:space="0" w:color="FFFFFF"/>
              <w:left w:val="single" w:sz="2" w:space="0" w:color="FFFFFF"/>
              <w:bottom w:val="single" w:sz="2" w:space="0" w:color="FFFFFF"/>
              <w:right w:val="single" w:sz="4" w:space="0" w:color="auto"/>
            </w:tcBorders>
            <w:shd w:val="clear" w:color="auto" w:fill="000000"/>
            <w:vAlign w:val="center"/>
            <w:hideMark/>
          </w:tcPr>
          <w:p w:rsidR="00356FDC" w:rsidRDefault="00356FDC">
            <w:pPr>
              <w:rPr>
                <w:rFonts w:ascii="Arial" w:hAnsi="Arial" w:cs="Arial"/>
                <w:b/>
                <w:color w:val="FFFFFF"/>
                <w:highlight w:val="darkBlue"/>
              </w:rPr>
            </w:pPr>
            <w:r>
              <w:rPr>
                <w:rFonts w:ascii="Arial" w:hAnsi="Arial" w:cs="Arial"/>
                <w:b/>
                <w:color w:val="FFFFFF"/>
                <w:highlight w:val="black"/>
              </w:rPr>
              <w:t>Consultation Expiry Date:</w:t>
            </w:r>
          </w:p>
        </w:tc>
        <w:tc>
          <w:tcPr>
            <w:tcW w:w="1984" w:type="dxa"/>
            <w:gridSpan w:val="2"/>
            <w:tcBorders>
              <w:top w:val="single" w:sz="4" w:space="0" w:color="auto"/>
              <w:left w:val="single" w:sz="4" w:space="0" w:color="auto"/>
              <w:bottom w:val="single" w:sz="2" w:space="0" w:color="FFFFFF"/>
              <w:right w:val="single" w:sz="12" w:space="0" w:color="auto"/>
            </w:tcBorders>
            <w:vAlign w:val="center"/>
          </w:tcPr>
          <w:p w:rsidR="00356FDC" w:rsidRDefault="00356FDC">
            <w:pPr>
              <w:jc w:val="center"/>
              <w:rPr>
                <w:rFonts w:ascii="Arial" w:hAnsi="Arial" w:cs="Arial"/>
              </w:rPr>
            </w:pPr>
          </w:p>
        </w:tc>
      </w:tr>
      <w:tr w:rsidR="00356FDC" w:rsidTr="00356FDC">
        <w:tc>
          <w:tcPr>
            <w:tcW w:w="5671" w:type="dxa"/>
            <w:gridSpan w:val="7"/>
            <w:tcBorders>
              <w:top w:val="single" w:sz="2" w:space="0" w:color="auto"/>
              <w:left w:val="single" w:sz="12" w:space="0" w:color="auto"/>
              <w:bottom w:val="single" w:sz="4" w:space="0" w:color="auto"/>
              <w:right w:val="single" w:sz="2" w:space="0" w:color="FFFFFF"/>
            </w:tcBorders>
            <w:shd w:val="clear" w:color="auto" w:fill="000000"/>
            <w:vAlign w:val="center"/>
            <w:hideMark/>
          </w:tcPr>
          <w:p w:rsidR="00356FDC" w:rsidRDefault="00356FDC">
            <w:pPr>
              <w:pStyle w:val="Heading4"/>
              <w:jc w:val="left"/>
              <w:rPr>
                <w:rFonts w:cs="Arial"/>
                <w:color w:val="FFFFFF"/>
                <w:sz w:val="24"/>
                <w:highlight w:val="black"/>
              </w:rPr>
            </w:pPr>
            <w:r>
              <w:rPr>
                <w:rFonts w:cs="Arial"/>
                <w:color w:val="FFFFFF"/>
                <w:sz w:val="24"/>
                <w:highlight w:val="black"/>
              </w:rPr>
              <w:t>Officer</w:t>
            </w:r>
          </w:p>
        </w:tc>
        <w:tc>
          <w:tcPr>
            <w:tcW w:w="5386" w:type="dxa"/>
            <w:gridSpan w:val="7"/>
            <w:tcBorders>
              <w:top w:val="single" w:sz="2" w:space="0" w:color="FFFFFF"/>
              <w:left w:val="single" w:sz="2" w:space="0" w:color="FFFFFF"/>
              <w:bottom w:val="single" w:sz="4" w:space="0" w:color="auto"/>
              <w:right w:val="single" w:sz="12" w:space="0" w:color="auto"/>
            </w:tcBorders>
            <w:shd w:val="clear" w:color="auto" w:fill="000000"/>
            <w:hideMark/>
          </w:tcPr>
          <w:p w:rsidR="00356FDC" w:rsidRDefault="00356FDC">
            <w:pPr>
              <w:pStyle w:val="Heading4"/>
              <w:jc w:val="left"/>
              <w:rPr>
                <w:rFonts w:cs="Arial"/>
                <w:color w:val="FFFFFF"/>
                <w:sz w:val="24"/>
                <w:highlight w:val="black"/>
              </w:rPr>
            </w:pPr>
            <w:r>
              <w:rPr>
                <w:rFonts w:cs="Arial"/>
                <w:color w:val="FFFFFF"/>
                <w:sz w:val="24"/>
                <w:highlight w:val="black"/>
              </w:rPr>
              <w:t>Application Number(s)</w:t>
            </w:r>
          </w:p>
        </w:tc>
      </w:tr>
      <w:tr w:rsidR="00356FDC" w:rsidTr="00356FDC">
        <w:trPr>
          <w:trHeight w:val="465"/>
        </w:trPr>
        <w:tc>
          <w:tcPr>
            <w:tcW w:w="5671" w:type="dxa"/>
            <w:gridSpan w:val="7"/>
            <w:tcBorders>
              <w:top w:val="single" w:sz="4" w:space="0" w:color="auto"/>
              <w:left w:val="single" w:sz="12" w:space="0" w:color="auto"/>
              <w:bottom w:val="single" w:sz="4" w:space="0" w:color="auto"/>
              <w:right w:val="single" w:sz="4" w:space="0" w:color="auto"/>
            </w:tcBorders>
            <w:vAlign w:val="center"/>
            <w:hideMark/>
          </w:tcPr>
          <w:p w:rsidR="00356FDC" w:rsidRDefault="00356FDC">
            <w:pPr>
              <w:rPr>
                <w:rFonts w:ascii="Arial" w:hAnsi="Arial" w:cs="Arial"/>
              </w:rPr>
            </w:pPr>
            <w:r>
              <w:rPr>
                <w:rFonts w:ascii="Arial" w:hAnsi="Arial" w:cs="Arial"/>
              </w:rPr>
              <w:t>Sofie Fieldsend</w:t>
            </w:r>
            <w:r>
              <w:rPr>
                <w:rFonts w:ascii="Arial" w:hAnsi="Arial" w:cs="Arial"/>
              </w:rPr>
              <w:br/>
            </w:r>
          </w:p>
        </w:tc>
        <w:tc>
          <w:tcPr>
            <w:tcW w:w="5386" w:type="dxa"/>
            <w:gridSpan w:val="7"/>
            <w:tcBorders>
              <w:top w:val="single" w:sz="4" w:space="0" w:color="auto"/>
              <w:left w:val="single" w:sz="4" w:space="0" w:color="auto"/>
              <w:bottom w:val="single" w:sz="4" w:space="0" w:color="auto"/>
              <w:right w:val="single" w:sz="12" w:space="0" w:color="auto"/>
            </w:tcBorders>
            <w:vAlign w:val="center"/>
            <w:hideMark/>
          </w:tcPr>
          <w:p w:rsidR="00356FDC" w:rsidRDefault="00356FDC">
            <w:pPr>
              <w:rPr>
                <w:rFonts w:ascii="Arial" w:hAnsi="Arial" w:cs="Arial"/>
              </w:rPr>
            </w:pPr>
            <w:r>
              <w:rPr>
                <w:rFonts w:ascii="Arial" w:hAnsi="Arial" w:cs="Arial"/>
              </w:rPr>
              <w:t>2017/2414/P</w:t>
            </w:r>
            <w:r>
              <w:rPr>
                <w:rFonts w:ascii="Arial" w:hAnsi="Arial" w:cs="Arial"/>
              </w:rPr>
              <w:br/>
            </w:r>
          </w:p>
        </w:tc>
      </w:tr>
      <w:tr w:rsidR="00356FDC" w:rsidTr="00356FDC">
        <w:tc>
          <w:tcPr>
            <w:tcW w:w="5671" w:type="dxa"/>
            <w:gridSpan w:val="7"/>
            <w:tcBorders>
              <w:top w:val="single" w:sz="4" w:space="0" w:color="auto"/>
              <w:left w:val="single" w:sz="12" w:space="0" w:color="auto"/>
              <w:bottom w:val="single" w:sz="4" w:space="0" w:color="auto"/>
              <w:right w:val="single" w:sz="2" w:space="0" w:color="FFFFFF"/>
            </w:tcBorders>
            <w:shd w:val="clear" w:color="auto" w:fill="000000"/>
            <w:hideMark/>
          </w:tcPr>
          <w:p w:rsidR="00356FDC" w:rsidRDefault="00356FDC">
            <w:pPr>
              <w:pStyle w:val="Heading4"/>
              <w:jc w:val="left"/>
              <w:rPr>
                <w:rFonts w:cs="Arial"/>
                <w:color w:val="FFFFFF"/>
              </w:rPr>
            </w:pPr>
            <w:r>
              <w:rPr>
                <w:rFonts w:cs="Arial"/>
                <w:color w:val="FFFFFF"/>
                <w:sz w:val="24"/>
                <w:highlight w:val="black"/>
              </w:rPr>
              <w:t>Application Address</w:t>
            </w:r>
          </w:p>
        </w:tc>
        <w:tc>
          <w:tcPr>
            <w:tcW w:w="5386" w:type="dxa"/>
            <w:gridSpan w:val="7"/>
            <w:tcBorders>
              <w:top w:val="single" w:sz="4" w:space="0" w:color="auto"/>
              <w:left w:val="single" w:sz="2" w:space="0" w:color="FFFFFF"/>
              <w:bottom w:val="single" w:sz="4" w:space="0" w:color="auto"/>
              <w:right w:val="single" w:sz="12" w:space="0" w:color="auto"/>
            </w:tcBorders>
            <w:shd w:val="clear" w:color="auto" w:fill="000000"/>
            <w:hideMark/>
          </w:tcPr>
          <w:p w:rsidR="00356FDC" w:rsidRDefault="00356FDC">
            <w:pPr>
              <w:pStyle w:val="Heading2"/>
              <w:rPr>
                <w:rFonts w:cs="Arial"/>
                <w:color w:val="FFFFFF"/>
              </w:rPr>
            </w:pPr>
            <w:r>
              <w:rPr>
                <w:rFonts w:cs="Arial"/>
                <w:color w:val="FFFFFF"/>
                <w:highlight w:val="black"/>
              </w:rPr>
              <w:t>Drawing Numbers</w:t>
            </w:r>
          </w:p>
        </w:tc>
      </w:tr>
      <w:tr w:rsidR="00356FDC" w:rsidTr="00356FDC">
        <w:trPr>
          <w:trHeight w:val="992"/>
        </w:trPr>
        <w:tc>
          <w:tcPr>
            <w:tcW w:w="5671" w:type="dxa"/>
            <w:gridSpan w:val="7"/>
            <w:tcBorders>
              <w:top w:val="single" w:sz="4" w:space="0" w:color="auto"/>
              <w:left w:val="single" w:sz="12" w:space="0" w:color="auto"/>
              <w:bottom w:val="single" w:sz="4" w:space="0" w:color="auto"/>
              <w:right w:val="single" w:sz="4" w:space="0" w:color="auto"/>
            </w:tcBorders>
            <w:vAlign w:val="center"/>
            <w:hideMark/>
          </w:tcPr>
          <w:p w:rsidR="00356FDC" w:rsidRDefault="00356FDC">
            <w:pPr>
              <w:rPr>
                <w:rFonts w:ascii="Arial" w:hAnsi="Arial" w:cs="Arial"/>
              </w:rPr>
            </w:pPr>
            <w:bookmarkStart w:id="0" w:name="_GoBack" w:colFirst="1" w:colLast="1"/>
            <w:r>
              <w:rPr>
                <w:rFonts w:ascii="Arial" w:hAnsi="Arial" w:cs="Arial"/>
              </w:rPr>
              <w:t>78 Camden Mews, London,  NW1 9BX</w:t>
            </w:r>
            <w:r>
              <w:rPr>
                <w:rFonts w:ascii="Arial" w:hAnsi="Arial" w:cs="Arial"/>
              </w:rPr>
              <w:br/>
            </w:r>
          </w:p>
        </w:tc>
        <w:tc>
          <w:tcPr>
            <w:tcW w:w="5386" w:type="dxa"/>
            <w:gridSpan w:val="7"/>
            <w:tcBorders>
              <w:top w:val="single" w:sz="4" w:space="0" w:color="auto"/>
              <w:left w:val="single" w:sz="4" w:space="0" w:color="auto"/>
              <w:bottom w:val="single" w:sz="4" w:space="0" w:color="auto"/>
              <w:right w:val="single" w:sz="12" w:space="0" w:color="auto"/>
            </w:tcBorders>
            <w:vAlign w:val="center"/>
          </w:tcPr>
          <w:p w:rsidR="00356FDC" w:rsidRDefault="004C2519" w:rsidP="004C2519">
            <w:pPr>
              <w:rPr>
                <w:rFonts w:ascii="Arial" w:hAnsi="Arial" w:cs="Arial"/>
              </w:rPr>
            </w:pPr>
            <w:r>
              <w:rPr>
                <w:rFonts w:ascii="Arial" w:hAnsi="Arial" w:cs="Arial"/>
              </w:rPr>
              <w:t xml:space="preserve">0322/10 </w:t>
            </w:r>
            <w:proofErr w:type="spellStart"/>
            <w:r>
              <w:rPr>
                <w:rFonts w:ascii="Arial" w:hAnsi="Arial" w:cs="Arial"/>
              </w:rPr>
              <w:t>rev.F</w:t>
            </w:r>
            <w:proofErr w:type="spellEnd"/>
            <w:r>
              <w:rPr>
                <w:rFonts w:ascii="Arial" w:hAnsi="Arial" w:cs="Arial"/>
              </w:rPr>
              <w:t xml:space="preserve">, </w:t>
            </w:r>
            <w:r>
              <w:rPr>
                <w:rFonts w:ascii="Arial" w:hAnsi="Arial" w:cs="Arial"/>
              </w:rPr>
              <w:t>0322/1</w:t>
            </w:r>
            <w:r>
              <w:rPr>
                <w:rFonts w:ascii="Arial" w:hAnsi="Arial" w:cs="Arial"/>
              </w:rPr>
              <w:t>1</w:t>
            </w:r>
            <w:r>
              <w:rPr>
                <w:rFonts w:ascii="Arial" w:hAnsi="Arial" w:cs="Arial"/>
              </w:rPr>
              <w:t xml:space="preserve"> </w:t>
            </w:r>
            <w:proofErr w:type="spellStart"/>
            <w:r>
              <w:rPr>
                <w:rFonts w:ascii="Arial" w:hAnsi="Arial" w:cs="Arial"/>
              </w:rPr>
              <w:t>rev.F</w:t>
            </w:r>
            <w:proofErr w:type="spellEnd"/>
            <w:r>
              <w:rPr>
                <w:rFonts w:ascii="Arial" w:hAnsi="Arial" w:cs="Arial"/>
              </w:rPr>
              <w:t>, 0322/1</w:t>
            </w:r>
            <w:r>
              <w:rPr>
                <w:rFonts w:ascii="Arial" w:hAnsi="Arial" w:cs="Arial"/>
              </w:rPr>
              <w:t>2</w:t>
            </w:r>
            <w:r>
              <w:rPr>
                <w:rFonts w:ascii="Arial" w:hAnsi="Arial" w:cs="Arial"/>
              </w:rPr>
              <w:t xml:space="preserve"> </w:t>
            </w:r>
            <w:proofErr w:type="spellStart"/>
            <w:r>
              <w:rPr>
                <w:rFonts w:ascii="Arial" w:hAnsi="Arial" w:cs="Arial"/>
              </w:rPr>
              <w:t>rev.F</w:t>
            </w:r>
            <w:proofErr w:type="spellEnd"/>
            <w:r>
              <w:rPr>
                <w:rFonts w:ascii="Arial" w:hAnsi="Arial" w:cs="Arial"/>
              </w:rPr>
              <w:t>, 0322/1</w:t>
            </w:r>
            <w:r>
              <w:rPr>
                <w:rFonts w:ascii="Arial" w:hAnsi="Arial" w:cs="Arial"/>
              </w:rPr>
              <w:t>3</w:t>
            </w:r>
            <w:r>
              <w:rPr>
                <w:rFonts w:ascii="Arial" w:hAnsi="Arial" w:cs="Arial"/>
              </w:rPr>
              <w:t xml:space="preserve"> </w:t>
            </w:r>
            <w:proofErr w:type="spellStart"/>
            <w:r>
              <w:rPr>
                <w:rFonts w:ascii="Arial" w:hAnsi="Arial" w:cs="Arial"/>
              </w:rPr>
              <w:t>rev.F</w:t>
            </w:r>
            <w:proofErr w:type="spellEnd"/>
            <w:r>
              <w:rPr>
                <w:rFonts w:ascii="Arial" w:hAnsi="Arial" w:cs="Arial"/>
              </w:rPr>
              <w:t>, 0322/1</w:t>
            </w:r>
            <w:r>
              <w:rPr>
                <w:rFonts w:ascii="Arial" w:hAnsi="Arial" w:cs="Arial"/>
              </w:rPr>
              <w:t>4</w:t>
            </w:r>
            <w:r>
              <w:rPr>
                <w:rFonts w:ascii="Arial" w:hAnsi="Arial" w:cs="Arial"/>
              </w:rPr>
              <w:t xml:space="preserve"> </w:t>
            </w:r>
            <w:proofErr w:type="spellStart"/>
            <w:r>
              <w:rPr>
                <w:rFonts w:ascii="Arial" w:hAnsi="Arial" w:cs="Arial"/>
              </w:rPr>
              <w:t>rev.F</w:t>
            </w:r>
            <w:proofErr w:type="spellEnd"/>
            <w:r>
              <w:rPr>
                <w:rFonts w:ascii="Arial" w:hAnsi="Arial" w:cs="Arial"/>
              </w:rPr>
              <w:t>, 0322/1</w:t>
            </w:r>
            <w:r>
              <w:rPr>
                <w:rFonts w:ascii="Arial" w:hAnsi="Arial" w:cs="Arial"/>
              </w:rPr>
              <w:t>5</w:t>
            </w:r>
            <w:r>
              <w:rPr>
                <w:rFonts w:ascii="Arial" w:hAnsi="Arial" w:cs="Arial"/>
              </w:rPr>
              <w:t xml:space="preserve"> </w:t>
            </w:r>
            <w:proofErr w:type="spellStart"/>
            <w:r>
              <w:rPr>
                <w:rFonts w:ascii="Arial" w:hAnsi="Arial" w:cs="Arial"/>
              </w:rPr>
              <w:t>rev.F</w:t>
            </w:r>
            <w:proofErr w:type="spellEnd"/>
            <w:r>
              <w:rPr>
                <w:rFonts w:ascii="Arial" w:hAnsi="Arial" w:cs="Arial"/>
              </w:rPr>
              <w:t>, 0322/1</w:t>
            </w:r>
            <w:r>
              <w:rPr>
                <w:rFonts w:ascii="Arial" w:hAnsi="Arial" w:cs="Arial"/>
              </w:rPr>
              <w:t>6</w:t>
            </w:r>
            <w:r>
              <w:rPr>
                <w:rFonts w:ascii="Arial" w:hAnsi="Arial" w:cs="Arial"/>
              </w:rPr>
              <w:t xml:space="preserve"> </w:t>
            </w:r>
            <w:proofErr w:type="spellStart"/>
            <w:r>
              <w:rPr>
                <w:rFonts w:ascii="Arial" w:hAnsi="Arial" w:cs="Arial"/>
              </w:rPr>
              <w:t>rev.F</w:t>
            </w:r>
            <w:proofErr w:type="spellEnd"/>
            <w:r>
              <w:rPr>
                <w:rFonts w:ascii="Arial" w:hAnsi="Arial" w:cs="Arial"/>
              </w:rPr>
              <w:t xml:space="preserve">, </w:t>
            </w:r>
            <w:r w:rsidR="00356FDC" w:rsidRPr="00356FDC">
              <w:rPr>
                <w:rFonts w:ascii="Arial" w:hAnsi="Arial" w:cs="Arial"/>
              </w:rPr>
              <w:t>0322/00</w:t>
            </w:r>
            <w:r>
              <w:rPr>
                <w:rFonts w:ascii="Arial" w:hAnsi="Arial" w:cs="Arial"/>
              </w:rPr>
              <w:t xml:space="preserve"> </w:t>
            </w:r>
            <w:proofErr w:type="spellStart"/>
            <w:r>
              <w:rPr>
                <w:rFonts w:ascii="Arial" w:hAnsi="Arial" w:cs="Arial"/>
              </w:rPr>
              <w:t>rev.A</w:t>
            </w:r>
            <w:proofErr w:type="spellEnd"/>
            <w:r w:rsidR="00356FDC" w:rsidRPr="00356FDC">
              <w:rPr>
                <w:rFonts w:ascii="Arial" w:hAnsi="Arial" w:cs="Arial"/>
              </w:rPr>
              <w:t>, PCA-2060-40 and PCA-2060-60.</w:t>
            </w:r>
          </w:p>
        </w:tc>
      </w:tr>
      <w:bookmarkEnd w:id="0"/>
      <w:tr w:rsidR="00356FDC" w:rsidTr="00356FDC">
        <w:trPr>
          <w:trHeight w:val="255"/>
        </w:trPr>
        <w:tc>
          <w:tcPr>
            <w:tcW w:w="1560" w:type="dxa"/>
            <w:tcBorders>
              <w:top w:val="single" w:sz="4" w:space="0" w:color="auto"/>
              <w:left w:val="single" w:sz="12" w:space="0" w:color="auto"/>
              <w:bottom w:val="single" w:sz="4" w:space="0" w:color="auto"/>
              <w:right w:val="single" w:sz="2" w:space="0" w:color="FFFFFF"/>
            </w:tcBorders>
            <w:shd w:val="clear" w:color="auto" w:fill="000000"/>
            <w:hideMark/>
          </w:tcPr>
          <w:p w:rsidR="00356FDC" w:rsidRDefault="00356FDC">
            <w:pPr>
              <w:pStyle w:val="Heading4"/>
              <w:jc w:val="left"/>
              <w:rPr>
                <w:rFonts w:cs="Arial"/>
                <w:color w:val="FFFFFF"/>
                <w:sz w:val="24"/>
                <w:highlight w:val="black"/>
              </w:rPr>
            </w:pPr>
            <w:smartTag w:uri="urn:schemas-microsoft-com:office:smarttags" w:element="place">
              <w:r>
                <w:rPr>
                  <w:rFonts w:cs="Arial"/>
                  <w:color w:val="FFFFFF"/>
                  <w:sz w:val="24"/>
                  <w:highlight w:val="black"/>
                </w:rPr>
                <w:t>PO</w:t>
              </w:r>
            </w:smartTag>
            <w:r>
              <w:rPr>
                <w:rFonts w:cs="Arial"/>
                <w:color w:val="FFFFFF"/>
                <w:sz w:val="24"/>
                <w:highlight w:val="black"/>
              </w:rPr>
              <w:t xml:space="preserve"> 3/4              </w:t>
            </w:r>
          </w:p>
        </w:tc>
        <w:tc>
          <w:tcPr>
            <w:tcW w:w="2693" w:type="dxa"/>
            <w:gridSpan w:val="3"/>
            <w:tcBorders>
              <w:top w:val="single" w:sz="4" w:space="0" w:color="auto"/>
              <w:left w:val="single" w:sz="2" w:space="0" w:color="FFFFFF"/>
              <w:bottom w:val="single" w:sz="4" w:space="0" w:color="auto"/>
              <w:right w:val="single" w:sz="2" w:space="0" w:color="FFFFFF"/>
            </w:tcBorders>
            <w:shd w:val="clear" w:color="auto" w:fill="000000"/>
            <w:hideMark/>
          </w:tcPr>
          <w:p w:rsidR="00356FDC" w:rsidRDefault="00356FDC">
            <w:pPr>
              <w:pStyle w:val="Heading4"/>
              <w:jc w:val="left"/>
              <w:rPr>
                <w:rFonts w:cs="Arial"/>
                <w:color w:val="FFFFFF"/>
                <w:sz w:val="24"/>
                <w:highlight w:val="black"/>
              </w:rPr>
            </w:pPr>
            <w:r>
              <w:rPr>
                <w:rFonts w:cs="Arial"/>
                <w:color w:val="FFFFFF"/>
                <w:sz w:val="24"/>
                <w:highlight w:val="black"/>
              </w:rPr>
              <w:t>Area Team Signature</w:t>
            </w:r>
          </w:p>
        </w:tc>
        <w:tc>
          <w:tcPr>
            <w:tcW w:w="1418" w:type="dxa"/>
            <w:gridSpan w:val="3"/>
            <w:tcBorders>
              <w:top w:val="single" w:sz="4" w:space="0" w:color="auto"/>
              <w:left w:val="single" w:sz="2" w:space="0" w:color="FFFFFF"/>
              <w:bottom w:val="single" w:sz="4" w:space="0" w:color="auto"/>
              <w:right w:val="single" w:sz="2" w:space="0" w:color="FFFFFF"/>
            </w:tcBorders>
            <w:shd w:val="clear" w:color="auto" w:fill="000000"/>
            <w:hideMark/>
          </w:tcPr>
          <w:p w:rsidR="00356FDC" w:rsidRDefault="00356FDC">
            <w:pPr>
              <w:pStyle w:val="Heading4"/>
              <w:jc w:val="left"/>
              <w:rPr>
                <w:rFonts w:cs="Arial"/>
                <w:color w:val="FFFFFF"/>
                <w:sz w:val="24"/>
                <w:highlight w:val="black"/>
              </w:rPr>
            </w:pPr>
            <w:r>
              <w:rPr>
                <w:rFonts w:cs="Arial"/>
                <w:color w:val="FFFFFF"/>
                <w:sz w:val="24"/>
                <w:highlight w:val="black"/>
              </w:rPr>
              <w:t>C&amp;UD</w:t>
            </w:r>
          </w:p>
        </w:tc>
        <w:tc>
          <w:tcPr>
            <w:tcW w:w="5386" w:type="dxa"/>
            <w:gridSpan w:val="7"/>
            <w:tcBorders>
              <w:top w:val="single" w:sz="4" w:space="0" w:color="auto"/>
              <w:left w:val="single" w:sz="2" w:space="0" w:color="FFFFFF"/>
              <w:bottom w:val="single" w:sz="4" w:space="0" w:color="auto"/>
              <w:right w:val="single" w:sz="12" w:space="0" w:color="auto"/>
            </w:tcBorders>
            <w:shd w:val="clear" w:color="auto" w:fill="000000"/>
            <w:hideMark/>
          </w:tcPr>
          <w:p w:rsidR="00356FDC" w:rsidRDefault="00356FDC">
            <w:pPr>
              <w:pStyle w:val="Heading4"/>
              <w:jc w:val="left"/>
              <w:rPr>
                <w:rFonts w:cs="Arial"/>
                <w:color w:val="FFFFFF"/>
                <w:sz w:val="24"/>
                <w:highlight w:val="black"/>
              </w:rPr>
            </w:pPr>
            <w:r>
              <w:rPr>
                <w:rFonts w:cs="Arial"/>
                <w:color w:val="FFFFFF"/>
                <w:sz w:val="24"/>
                <w:highlight w:val="black"/>
              </w:rPr>
              <w:t>Authorised Officer Signature</w:t>
            </w:r>
          </w:p>
        </w:tc>
      </w:tr>
      <w:tr w:rsidR="00356FDC" w:rsidTr="00356FDC">
        <w:trPr>
          <w:trHeight w:val="684"/>
        </w:trPr>
        <w:tc>
          <w:tcPr>
            <w:tcW w:w="1560" w:type="dxa"/>
            <w:tcBorders>
              <w:top w:val="single" w:sz="4" w:space="0" w:color="auto"/>
              <w:left w:val="single" w:sz="12" w:space="0" w:color="auto"/>
              <w:bottom w:val="single" w:sz="4" w:space="0" w:color="auto"/>
              <w:right w:val="single" w:sz="4" w:space="0" w:color="auto"/>
            </w:tcBorders>
          </w:tcPr>
          <w:p w:rsidR="00356FDC" w:rsidRDefault="00356FDC">
            <w:pPr>
              <w:rPr>
                <w:rFonts w:ascii="Arial" w:hAnsi="Arial" w:cs="Arial"/>
              </w:rPr>
            </w:pPr>
          </w:p>
        </w:tc>
        <w:tc>
          <w:tcPr>
            <w:tcW w:w="2693" w:type="dxa"/>
            <w:gridSpan w:val="3"/>
            <w:tcBorders>
              <w:top w:val="single" w:sz="4" w:space="0" w:color="auto"/>
              <w:left w:val="single" w:sz="4" w:space="0" w:color="auto"/>
              <w:bottom w:val="single" w:sz="4" w:space="0" w:color="auto"/>
              <w:right w:val="single" w:sz="4" w:space="0" w:color="auto"/>
            </w:tcBorders>
          </w:tcPr>
          <w:p w:rsidR="00356FDC" w:rsidRDefault="00356FDC">
            <w:pPr>
              <w:rPr>
                <w:rFonts w:ascii="Arial" w:hAnsi="Arial" w:cs="Arial"/>
              </w:rPr>
            </w:pPr>
          </w:p>
        </w:tc>
        <w:tc>
          <w:tcPr>
            <w:tcW w:w="1418" w:type="dxa"/>
            <w:gridSpan w:val="3"/>
            <w:tcBorders>
              <w:top w:val="single" w:sz="4" w:space="0" w:color="auto"/>
              <w:left w:val="single" w:sz="4" w:space="0" w:color="auto"/>
              <w:bottom w:val="single" w:sz="4" w:space="0" w:color="auto"/>
              <w:right w:val="single" w:sz="4" w:space="0" w:color="auto"/>
            </w:tcBorders>
          </w:tcPr>
          <w:p w:rsidR="00356FDC" w:rsidRDefault="00356FDC">
            <w:pPr>
              <w:rPr>
                <w:rFonts w:ascii="Arial" w:hAnsi="Arial" w:cs="Arial"/>
              </w:rPr>
            </w:pPr>
          </w:p>
        </w:tc>
        <w:tc>
          <w:tcPr>
            <w:tcW w:w="5386" w:type="dxa"/>
            <w:gridSpan w:val="7"/>
            <w:tcBorders>
              <w:top w:val="single" w:sz="4" w:space="0" w:color="auto"/>
              <w:left w:val="single" w:sz="4" w:space="0" w:color="auto"/>
              <w:bottom w:val="single" w:sz="4" w:space="0" w:color="auto"/>
              <w:right w:val="single" w:sz="12" w:space="0" w:color="auto"/>
            </w:tcBorders>
          </w:tcPr>
          <w:p w:rsidR="00356FDC" w:rsidRDefault="00356FDC">
            <w:pPr>
              <w:rPr>
                <w:rFonts w:ascii="Arial" w:hAnsi="Arial" w:cs="Arial"/>
              </w:rPr>
            </w:pPr>
          </w:p>
        </w:tc>
      </w:tr>
      <w:tr w:rsidR="00356FDC" w:rsidTr="00356FDC">
        <w:tc>
          <w:tcPr>
            <w:tcW w:w="11057" w:type="dxa"/>
            <w:gridSpan w:val="14"/>
            <w:tcBorders>
              <w:top w:val="single" w:sz="4" w:space="0" w:color="auto"/>
              <w:left w:val="single" w:sz="12" w:space="0" w:color="auto"/>
              <w:bottom w:val="single" w:sz="4" w:space="0" w:color="auto"/>
              <w:right w:val="single" w:sz="12" w:space="0" w:color="auto"/>
            </w:tcBorders>
            <w:shd w:val="clear" w:color="auto" w:fill="000000"/>
            <w:hideMark/>
          </w:tcPr>
          <w:p w:rsidR="00356FDC" w:rsidRDefault="00356FDC">
            <w:pPr>
              <w:pStyle w:val="Heading4"/>
              <w:jc w:val="left"/>
              <w:rPr>
                <w:rFonts w:cs="Arial"/>
                <w:color w:val="FFFFFF"/>
                <w:sz w:val="24"/>
                <w:highlight w:val="black"/>
              </w:rPr>
            </w:pPr>
            <w:r>
              <w:rPr>
                <w:rFonts w:cs="Arial"/>
                <w:color w:val="FFFFFF"/>
                <w:sz w:val="24"/>
                <w:highlight w:val="black"/>
              </w:rPr>
              <w:t>Proposal(s)</w:t>
            </w:r>
          </w:p>
        </w:tc>
      </w:tr>
      <w:tr w:rsidR="00356FDC" w:rsidTr="00356FDC">
        <w:trPr>
          <w:trHeight w:val="1370"/>
        </w:trPr>
        <w:tc>
          <w:tcPr>
            <w:tcW w:w="11057" w:type="dxa"/>
            <w:gridSpan w:val="14"/>
            <w:tcBorders>
              <w:top w:val="single" w:sz="4" w:space="0" w:color="auto"/>
              <w:left w:val="single" w:sz="12" w:space="0" w:color="auto"/>
              <w:bottom w:val="single" w:sz="12" w:space="0" w:color="auto"/>
              <w:right w:val="single" w:sz="12" w:space="0" w:color="auto"/>
            </w:tcBorders>
            <w:vAlign w:val="center"/>
            <w:hideMark/>
          </w:tcPr>
          <w:p w:rsidR="00356FDC" w:rsidRDefault="00356FDC">
            <w:pPr>
              <w:rPr>
                <w:rFonts w:ascii="Arial" w:hAnsi="Arial" w:cs="Arial"/>
              </w:rPr>
            </w:pPr>
            <w:r>
              <w:rPr>
                <w:rFonts w:ascii="Arial" w:hAnsi="Arial" w:cs="Arial"/>
              </w:rPr>
              <w:t xml:space="preserve">Erection of bin and cycle store to front garden. </w:t>
            </w:r>
            <w:r>
              <w:rPr>
                <w:rFonts w:ascii="Arial" w:hAnsi="Arial" w:cs="Arial"/>
              </w:rPr>
              <w:br/>
            </w:r>
          </w:p>
        </w:tc>
      </w:tr>
      <w:tr w:rsidR="00356FDC" w:rsidTr="00356FDC">
        <w:trPr>
          <w:trHeight w:val="778"/>
        </w:trPr>
        <w:tc>
          <w:tcPr>
            <w:tcW w:w="2694" w:type="dxa"/>
            <w:gridSpan w:val="2"/>
            <w:tcBorders>
              <w:top w:val="single" w:sz="12" w:space="0" w:color="auto"/>
              <w:left w:val="single" w:sz="12" w:space="0" w:color="auto"/>
              <w:bottom w:val="single" w:sz="4" w:space="0" w:color="auto"/>
              <w:right w:val="single" w:sz="12" w:space="0" w:color="auto"/>
            </w:tcBorders>
            <w:shd w:val="clear" w:color="auto" w:fill="000000"/>
            <w:vAlign w:val="center"/>
            <w:hideMark/>
          </w:tcPr>
          <w:p w:rsidR="00356FDC" w:rsidRDefault="00356FDC">
            <w:pPr>
              <w:pStyle w:val="Heading2"/>
              <w:rPr>
                <w:rFonts w:cs="Arial"/>
                <w:color w:val="000000"/>
                <w:highlight w:val="black"/>
              </w:rPr>
            </w:pPr>
            <w:r>
              <w:rPr>
                <w:rFonts w:cs="Arial"/>
                <w:color w:val="FFFFFF"/>
                <w:highlight w:val="black"/>
              </w:rPr>
              <w:t>Recommendation(s):</w:t>
            </w:r>
          </w:p>
        </w:tc>
        <w:tc>
          <w:tcPr>
            <w:tcW w:w="8363" w:type="dxa"/>
            <w:gridSpan w:val="12"/>
            <w:tcBorders>
              <w:top w:val="single" w:sz="12" w:space="0" w:color="auto"/>
              <w:left w:val="single" w:sz="12" w:space="0" w:color="auto"/>
              <w:bottom w:val="single" w:sz="4" w:space="0" w:color="auto"/>
              <w:right w:val="single" w:sz="12" w:space="0" w:color="auto"/>
            </w:tcBorders>
            <w:shd w:val="clear" w:color="auto" w:fill="B3B3B3"/>
            <w:vAlign w:val="center"/>
          </w:tcPr>
          <w:p w:rsidR="00356FDC" w:rsidRDefault="00356FDC">
            <w:pPr>
              <w:pStyle w:val="Heading2"/>
            </w:pPr>
            <w:r>
              <w:t>Refuse planning permission.</w:t>
            </w:r>
          </w:p>
        </w:tc>
      </w:tr>
      <w:tr w:rsidR="00356FDC" w:rsidTr="00356FDC">
        <w:trPr>
          <w:trHeight w:val="414"/>
        </w:trPr>
        <w:tc>
          <w:tcPr>
            <w:tcW w:w="2694" w:type="dxa"/>
            <w:gridSpan w:val="2"/>
            <w:tcBorders>
              <w:top w:val="single" w:sz="4" w:space="0" w:color="auto"/>
              <w:left w:val="single" w:sz="12" w:space="0" w:color="auto"/>
              <w:bottom w:val="single" w:sz="4" w:space="0" w:color="auto"/>
              <w:right w:val="single" w:sz="12" w:space="0" w:color="auto"/>
            </w:tcBorders>
            <w:vAlign w:val="center"/>
            <w:hideMark/>
          </w:tcPr>
          <w:p w:rsidR="00356FDC" w:rsidRDefault="00356FDC">
            <w:pPr>
              <w:rPr>
                <w:rFonts w:ascii="Arial" w:hAnsi="Arial" w:cs="Arial"/>
              </w:rPr>
            </w:pPr>
            <w:r>
              <w:rPr>
                <w:rFonts w:ascii="Arial" w:hAnsi="Arial" w:cs="Arial"/>
                <w:b/>
              </w:rPr>
              <w:t>Application Type:</w:t>
            </w:r>
          </w:p>
        </w:tc>
        <w:tc>
          <w:tcPr>
            <w:tcW w:w="8363" w:type="dxa"/>
            <w:gridSpan w:val="12"/>
            <w:tcBorders>
              <w:top w:val="single" w:sz="4" w:space="0" w:color="auto"/>
              <w:left w:val="single" w:sz="12" w:space="0" w:color="auto"/>
              <w:bottom w:val="single" w:sz="4" w:space="0" w:color="auto"/>
              <w:right w:val="single" w:sz="12" w:space="0" w:color="auto"/>
            </w:tcBorders>
          </w:tcPr>
          <w:p w:rsidR="00356FDC" w:rsidRDefault="00356FDC">
            <w:pPr>
              <w:pStyle w:val="Heading2"/>
            </w:pPr>
          </w:p>
          <w:p w:rsidR="00356FDC" w:rsidRDefault="00356FDC">
            <w:pPr>
              <w:pStyle w:val="Heading2"/>
            </w:pPr>
            <w:r>
              <w:t>Householder Application</w:t>
            </w:r>
            <w:r>
              <w:br/>
            </w:r>
          </w:p>
        </w:tc>
      </w:tr>
      <w:tr w:rsidR="00356FDC" w:rsidTr="00356FDC">
        <w:trPr>
          <w:cantSplit/>
          <w:trHeight w:val="641"/>
        </w:trPr>
        <w:tc>
          <w:tcPr>
            <w:tcW w:w="2694" w:type="dxa"/>
            <w:gridSpan w:val="2"/>
            <w:tcBorders>
              <w:top w:val="single" w:sz="4" w:space="0" w:color="auto"/>
              <w:left w:val="single" w:sz="12" w:space="0" w:color="auto"/>
              <w:bottom w:val="single" w:sz="4" w:space="0" w:color="auto"/>
              <w:right w:val="single" w:sz="12" w:space="0" w:color="auto"/>
            </w:tcBorders>
            <w:vAlign w:val="center"/>
            <w:hideMark/>
          </w:tcPr>
          <w:p w:rsidR="00356FDC" w:rsidRDefault="00356FDC">
            <w:pPr>
              <w:pStyle w:val="Heading2"/>
              <w:rPr>
                <w:rFonts w:cs="Arial"/>
                <w:sz w:val="20"/>
              </w:rPr>
            </w:pPr>
            <w:r>
              <w:rPr>
                <w:rFonts w:cs="Arial"/>
                <w:sz w:val="20"/>
              </w:rPr>
              <w:lastRenderedPageBreak/>
              <w:t>Conditions or Reasons for Refusal:</w:t>
            </w:r>
          </w:p>
        </w:tc>
        <w:tc>
          <w:tcPr>
            <w:tcW w:w="8363" w:type="dxa"/>
            <w:gridSpan w:val="12"/>
            <w:vMerge w:val="restart"/>
            <w:tcBorders>
              <w:top w:val="single" w:sz="4" w:space="0" w:color="auto"/>
              <w:left w:val="single" w:sz="12" w:space="0" w:color="auto"/>
              <w:bottom w:val="single" w:sz="4" w:space="0" w:color="auto"/>
              <w:right w:val="single" w:sz="12" w:space="0" w:color="auto"/>
            </w:tcBorders>
          </w:tcPr>
          <w:p w:rsidR="00356FDC" w:rsidRDefault="00356FDC">
            <w:pPr>
              <w:rPr>
                <w:rFonts w:ascii="Arial" w:hAnsi="Arial" w:cs="Arial"/>
                <w:sz w:val="20"/>
              </w:rPr>
            </w:pPr>
          </w:p>
          <w:p w:rsidR="00356FDC" w:rsidRDefault="00356FDC">
            <w:pPr>
              <w:rPr>
                <w:rFonts w:ascii="Arial" w:hAnsi="Arial" w:cs="Arial"/>
                <w:sz w:val="20"/>
              </w:rPr>
            </w:pPr>
          </w:p>
          <w:p w:rsidR="00356FDC" w:rsidRDefault="00356FDC">
            <w:pPr>
              <w:pStyle w:val="Heading3"/>
              <w:rPr>
                <w:rFonts w:ascii="Arial" w:hAnsi="Arial"/>
              </w:rPr>
            </w:pPr>
            <w:r>
              <w:rPr>
                <w:rFonts w:ascii="Arial" w:hAnsi="Arial"/>
              </w:rPr>
              <w:t>Refer to Draft Decision Notice</w:t>
            </w:r>
          </w:p>
        </w:tc>
      </w:tr>
      <w:tr w:rsidR="00356FDC" w:rsidTr="00356FDC">
        <w:trPr>
          <w:cantSplit/>
          <w:trHeight w:val="523"/>
        </w:trPr>
        <w:tc>
          <w:tcPr>
            <w:tcW w:w="2694" w:type="dxa"/>
            <w:gridSpan w:val="2"/>
            <w:tcBorders>
              <w:top w:val="single" w:sz="4" w:space="0" w:color="auto"/>
              <w:left w:val="single" w:sz="12" w:space="0" w:color="auto"/>
              <w:bottom w:val="single" w:sz="4" w:space="0" w:color="auto"/>
              <w:right w:val="single" w:sz="12" w:space="0" w:color="auto"/>
            </w:tcBorders>
            <w:vAlign w:val="center"/>
            <w:hideMark/>
          </w:tcPr>
          <w:p w:rsidR="00356FDC" w:rsidRDefault="00356FDC">
            <w:pPr>
              <w:pStyle w:val="Heading2"/>
              <w:rPr>
                <w:rFonts w:cs="Arial"/>
                <w:sz w:val="20"/>
              </w:rPr>
            </w:pPr>
            <w:proofErr w:type="spellStart"/>
            <w:r>
              <w:rPr>
                <w:rFonts w:cs="Arial"/>
                <w:sz w:val="20"/>
              </w:rPr>
              <w:t>Informatives</w:t>
            </w:r>
            <w:proofErr w:type="spellEnd"/>
            <w:r>
              <w:rPr>
                <w:rFonts w:cs="Arial"/>
                <w:sz w:val="20"/>
              </w:rPr>
              <w:t>:</w:t>
            </w:r>
          </w:p>
        </w:tc>
        <w:tc>
          <w:tcPr>
            <w:tcW w:w="15601" w:type="dxa"/>
            <w:gridSpan w:val="12"/>
            <w:vMerge/>
            <w:tcBorders>
              <w:top w:val="single" w:sz="4" w:space="0" w:color="auto"/>
              <w:left w:val="single" w:sz="12" w:space="0" w:color="auto"/>
              <w:bottom w:val="single" w:sz="4" w:space="0" w:color="auto"/>
              <w:right w:val="single" w:sz="12" w:space="0" w:color="auto"/>
            </w:tcBorders>
            <w:vAlign w:val="center"/>
            <w:hideMark/>
          </w:tcPr>
          <w:p w:rsidR="00356FDC" w:rsidRDefault="00356FDC">
            <w:pPr>
              <w:rPr>
                <w:rFonts w:ascii="Arial" w:hAnsi="Arial" w:cs="Arial"/>
                <w:b/>
                <w:bCs/>
                <w:sz w:val="20"/>
              </w:rPr>
            </w:pPr>
          </w:p>
        </w:tc>
      </w:tr>
      <w:tr w:rsidR="00356FDC" w:rsidTr="00356FDC">
        <w:trPr>
          <w:trHeight w:val="318"/>
        </w:trPr>
        <w:tc>
          <w:tcPr>
            <w:tcW w:w="11057" w:type="dxa"/>
            <w:gridSpan w:val="14"/>
            <w:tcBorders>
              <w:top w:val="single" w:sz="4" w:space="0" w:color="auto"/>
              <w:left w:val="single" w:sz="12" w:space="0" w:color="auto"/>
              <w:bottom w:val="single" w:sz="4" w:space="0" w:color="auto"/>
              <w:right w:val="single" w:sz="12" w:space="0" w:color="auto"/>
            </w:tcBorders>
            <w:shd w:val="clear" w:color="auto" w:fill="000000"/>
            <w:vAlign w:val="center"/>
            <w:hideMark/>
          </w:tcPr>
          <w:p w:rsidR="00356FDC" w:rsidRDefault="00356FDC">
            <w:pPr>
              <w:pStyle w:val="Heading2"/>
              <w:rPr>
                <w:rFonts w:cs="Arial"/>
                <w:color w:val="FFFFFF"/>
                <w:highlight w:val="black"/>
              </w:rPr>
            </w:pPr>
            <w:r>
              <w:rPr>
                <w:rFonts w:cs="Arial"/>
                <w:color w:val="FFFFFF"/>
                <w:highlight w:val="black"/>
              </w:rPr>
              <w:t>Consultations</w:t>
            </w:r>
          </w:p>
        </w:tc>
      </w:tr>
      <w:tr w:rsidR="00356FDC" w:rsidTr="00356FDC">
        <w:trPr>
          <w:trHeight w:val="421"/>
        </w:trPr>
        <w:tc>
          <w:tcPr>
            <w:tcW w:w="2694" w:type="dxa"/>
            <w:gridSpan w:val="2"/>
            <w:tcBorders>
              <w:top w:val="single" w:sz="4" w:space="0" w:color="auto"/>
              <w:left w:val="single" w:sz="12" w:space="0" w:color="auto"/>
              <w:bottom w:val="single" w:sz="4" w:space="0" w:color="auto"/>
              <w:right w:val="single" w:sz="12" w:space="0" w:color="auto"/>
            </w:tcBorders>
            <w:vAlign w:val="center"/>
            <w:hideMark/>
          </w:tcPr>
          <w:p w:rsidR="00356FDC" w:rsidRDefault="00356FDC">
            <w:pPr>
              <w:pStyle w:val="Heading2"/>
              <w:rPr>
                <w:rFonts w:cs="Arial"/>
                <w:color w:val="FFFFFF"/>
                <w:highlight w:val="darkBlue"/>
              </w:rPr>
            </w:pPr>
            <w:r>
              <w:rPr>
                <w:rFonts w:cs="Arial"/>
                <w:sz w:val="20"/>
              </w:rPr>
              <w:t>Adjoining Occupiers:</w:t>
            </w:r>
            <w:r>
              <w:rPr>
                <w:rFonts w:cs="Arial"/>
              </w:rPr>
              <w:t xml:space="preserve"> </w:t>
            </w:r>
          </w:p>
        </w:tc>
        <w:tc>
          <w:tcPr>
            <w:tcW w:w="1843" w:type="dxa"/>
            <w:gridSpan w:val="3"/>
            <w:tcBorders>
              <w:top w:val="single" w:sz="4" w:space="0" w:color="auto"/>
              <w:left w:val="single" w:sz="12" w:space="0" w:color="auto"/>
              <w:bottom w:val="single" w:sz="4" w:space="0" w:color="auto"/>
              <w:right w:val="single" w:sz="4" w:space="0" w:color="auto"/>
            </w:tcBorders>
            <w:vAlign w:val="center"/>
          </w:tcPr>
          <w:p w:rsidR="00356FDC" w:rsidRDefault="00356FDC">
            <w:pPr>
              <w:rPr>
                <w:rFonts w:ascii="Arial" w:hAnsi="Arial" w:cs="Arial"/>
              </w:rPr>
            </w:pPr>
            <w:r>
              <w:rPr>
                <w:rFonts w:ascii="Arial" w:hAnsi="Arial" w:cs="Arial"/>
              </w:rPr>
              <w:t>No. notified</w:t>
            </w:r>
          </w:p>
          <w:p w:rsidR="00356FDC" w:rsidRDefault="00356FDC">
            <w:pPr>
              <w:rPr>
                <w:rFonts w:ascii="Arial" w:hAnsi="Arial" w:cs="Arial"/>
                <w:color w:val="FFFFFF"/>
                <w:highlight w:val="darkBlue"/>
              </w:rPr>
            </w:pPr>
          </w:p>
        </w:tc>
        <w:tc>
          <w:tcPr>
            <w:tcW w:w="709" w:type="dxa"/>
            <w:tcBorders>
              <w:top w:val="single" w:sz="4" w:space="0" w:color="auto"/>
              <w:left w:val="single" w:sz="4" w:space="0" w:color="auto"/>
              <w:bottom w:val="single" w:sz="4" w:space="0" w:color="auto"/>
              <w:right w:val="single" w:sz="4" w:space="0" w:color="auto"/>
            </w:tcBorders>
            <w:vAlign w:val="center"/>
          </w:tcPr>
          <w:p w:rsidR="00356FDC" w:rsidRDefault="00356FDC">
            <w:pPr>
              <w:rPr>
                <w:rFonts w:ascii="Arial" w:hAnsi="Arial" w:cs="Arial"/>
                <w:b/>
                <w:bCs/>
              </w:rPr>
            </w:pPr>
            <w:r>
              <w:rPr>
                <w:rFonts w:ascii="Arial" w:hAnsi="Arial" w:cs="Arial"/>
                <w:b/>
                <w:bCs/>
              </w:rPr>
              <w:t>00</w:t>
            </w:r>
          </w:p>
          <w:p w:rsidR="00356FDC" w:rsidRDefault="00356FDC">
            <w:pPr>
              <w:rPr>
                <w:rFonts w:ascii="Arial" w:hAnsi="Arial" w:cs="Arial"/>
                <w:b/>
                <w:bCs/>
                <w:highlight w:val="darkBlue"/>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356FDC" w:rsidRDefault="00356FDC">
            <w:pPr>
              <w:rPr>
                <w:rFonts w:ascii="Arial" w:hAnsi="Arial" w:cs="Arial"/>
              </w:rPr>
            </w:pPr>
          </w:p>
          <w:p w:rsidR="00356FDC" w:rsidRDefault="00356FDC">
            <w:pPr>
              <w:rPr>
                <w:rFonts w:ascii="Arial" w:hAnsi="Arial" w:cs="Arial"/>
              </w:rPr>
            </w:pPr>
            <w:r>
              <w:rPr>
                <w:rFonts w:ascii="Arial" w:hAnsi="Arial" w:cs="Arial"/>
              </w:rPr>
              <w:t>No. of responses</w:t>
            </w:r>
          </w:p>
          <w:p w:rsidR="00356FDC" w:rsidRDefault="00356FDC">
            <w:pPr>
              <w:rPr>
                <w:rFonts w:ascii="Arial" w:hAnsi="Arial" w:cs="Arial"/>
              </w:rPr>
            </w:pPr>
          </w:p>
          <w:p w:rsidR="00356FDC" w:rsidRDefault="00356FDC">
            <w:pPr>
              <w:rPr>
                <w:rFonts w:ascii="Arial" w:hAnsi="Arial" w:cs="Arial"/>
                <w:color w:val="FFFFFF"/>
                <w:highlight w:val="darkBlue"/>
              </w:rPr>
            </w:pPr>
            <w:r>
              <w:rPr>
                <w:rFonts w:ascii="Arial" w:hAnsi="Arial" w:cs="Arial"/>
              </w:rPr>
              <w:t>No. electronic</w:t>
            </w:r>
          </w:p>
        </w:tc>
        <w:tc>
          <w:tcPr>
            <w:tcW w:w="708" w:type="dxa"/>
            <w:tcBorders>
              <w:top w:val="single" w:sz="4" w:space="0" w:color="auto"/>
              <w:left w:val="single" w:sz="4" w:space="0" w:color="auto"/>
              <w:bottom w:val="single" w:sz="4" w:space="0" w:color="auto"/>
              <w:right w:val="single" w:sz="4" w:space="0" w:color="auto"/>
            </w:tcBorders>
            <w:vAlign w:val="center"/>
          </w:tcPr>
          <w:p w:rsidR="00356FDC" w:rsidRDefault="00356FDC">
            <w:pPr>
              <w:rPr>
                <w:rFonts w:ascii="Arial" w:hAnsi="Arial" w:cs="Arial"/>
                <w:b/>
                <w:bCs/>
              </w:rPr>
            </w:pPr>
          </w:p>
          <w:p w:rsidR="00356FDC" w:rsidRDefault="00356FDC">
            <w:pPr>
              <w:rPr>
                <w:rFonts w:ascii="Arial" w:hAnsi="Arial" w:cs="Arial"/>
                <w:b/>
                <w:bCs/>
              </w:rPr>
            </w:pPr>
            <w:r>
              <w:rPr>
                <w:rFonts w:ascii="Arial" w:hAnsi="Arial" w:cs="Arial"/>
                <w:b/>
                <w:bCs/>
              </w:rPr>
              <w:t>00</w:t>
            </w:r>
          </w:p>
          <w:p w:rsidR="00356FDC" w:rsidRDefault="00356FDC">
            <w:pPr>
              <w:rPr>
                <w:rFonts w:ascii="Arial" w:hAnsi="Arial" w:cs="Arial"/>
                <w:b/>
                <w:bCs/>
              </w:rPr>
            </w:pPr>
          </w:p>
          <w:p w:rsidR="00356FDC" w:rsidRDefault="00356FDC">
            <w:pPr>
              <w:rPr>
                <w:rFonts w:ascii="Arial" w:hAnsi="Arial" w:cs="Arial"/>
                <w:b/>
                <w:bCs/>
                <w:color w:val="FFFFFF"/>
                <w:highlight w:val="darkBlue"/>
              </w:rPr>
            </w:pPr>
            <w:r>
              <w:rPr>
                <w:rFonts w:ascii="Arial" w:hAnsi="Arial" w:cs="Arial"/>
                <w:b/>
                <w:bCs/>
              </w:rPr>
              <w:t>00</w:t>
            </w: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356FDC" w:rsidRDefault="00356FDC">
            <w:pPr>
              <w:rPr>
                <w:rFonts w:ascii="Arial" w:hAnsi="Arial" w:cs="Arial"/>
              </w:rPr>
            </w:pPr>
            <w:r>
              <w:rPr>
                <w:rFonts w:ascii="Arial" w:hAnsi="Arial" w:cs="Arial"/>
              </w:rPr>
              <w:t>No. of objections</w:t>
            </w:r>
          </w:p>
          <w:p w:rsidR="00356FDC" w:rsidRDefault="00356FDC">
            <w:pPr>
              <w:rPr>
                <w:rFonts w:ascii="Arial" w:hAnsi="Arial" w:cs="Arial"/>
                <w:color w:val="FFFFFF"/>
                <w:highlight w:val="darkBlue"/>
              </w:rPr>
            </w:pPr>
          </w:p>
        </w:tc>
        <w:tc>
          <w:tcPr>
            <w:tcW w:w="737" w:type="dxa"/>
            <w:tcBorders>
              <w:top w:val="single" w:sz="4" w:space="0" w:color="auto"/>
              <w:left w:val="single" w:sz="4" w:space="0" w:color="auto"/>
              <w:bottom w:val="single" w:sz="4" w:space="0" w:color="auto"/>
              <w:right w:val="single" w:sz="12" w:space="0" w:color="auto"/>
            </w:tcBorders>
            <w:vAlign w:val="center"/>
          </w:tcPr>
          <w:p w:rsidR="00356FDC" w:rsidRDefault="00356FDC">
            <w:pPr>
              <w:rPr>
                <w:rFonts w:ascii="Arial" w:hAnsi="Arial" w:cs="Arial"/>
                <w:b/>
                <w:bCs/>
              </w:rPr>
            </w:pPr>
            <w:r>
              <w:rPr>
                <w:rFonts w:ascii="Arial" w:hAnsi="Arial" w:cs="Arial"/>
                <w:b/>
                <w:bCs/>
              </w:rPr>
              <w:t>00</w:t>
            </w:r>
          </w:p>
          <w:p w:rsidR="00356FDC" w:rsidRDefault="00356FDC">
            <w:pPr>
              <w:rPr>
                <w:rFonts w:ascii="Arial" w:hAnsi="Arial" w:cs="Arial"/>
                <w:color w:val="FFFFFF"/>
                <w:highlight w:val="darkBlue"/>
              </w:rPr>
            </w:pPr>
          </w:p>
        </w:tc>
      </w:tr>
      <w:tr w:rsidR="00356FDC" w:rsidTr="00356FDC">
        <w:trPr>
          <w:trHeight w:val="2062"/>
        </w:trPr>
        <w:tc>
          <w:tcPr>
            <w:tcW w:w="2694" w:type="dxa"/>
            <w:gridSpan w:val="2"/>
            <w:tcBorders>
              <w:top w:val="single" w:sz="4" w:space="0" w:color="auto"/>
              <w:left w:val="single" w:sz="12" w:space="0" w:color="auto"/>
              <w:bottom w:val="single" w:sz="4" w:space="0" w:color="auto"/>
              <w:right w:val="single" w:sz="12" w:space="0" w:color="auto"/>
            </w:tcBorders>
            <w:vAlign w:val="center"/>
          </w:tcPr>
          <w:p w:rsidR="00356FDC" w:rsidRDefault="00356FDC">
            <w:pPr>
              <w:pStyle w:val="Heading2"/>
              <w:rPr>
                <w:rFonts w:cs="Arial"/>
                <w:sz w:val="20"/>
              </w:rPr>
            </w:pPr>
            <w:r>
              <w:rPr>
                <w:rFonts w:cs="Arial"/>
                <w:sz w:val="20"/>
              </w:rPr>
              <w:t>Summary of consultation responses:</w:t>
            </w:r>
          </w:p>
          <w:p w:rsidR="00356FDC" w:rsidRDefault="00356FDC"/>
          <w:p w:rsidR="00356FDC" w:rsidRDefault="00356FDC"/>
        </w:tc>
        <w:tc>
          <w:tcPr>
            <w:tcW w:w="8363" w:type="dxa"/>
            <w:gridSpan w:val="12"/>
            <w:tcBorders>
              <w:top w:val="single" w:sz="4" w:space="0" w:color="auto"/>
              <w:left w:val="single" w:sz="12" w:space="0" w:color="auto"/>
              <w:bottom w:val="single" w:sz="4" w:space="0" w:color="auto"/>
              <w:right w:val="single" w:sz="12" w:space="0" w:color="auto"/>
            </w:tcBorders>
            <w:hideMark/>
          </w:tcPr>
          <w:p w:rsidR="00356FDC" w:rsidRDefault="00356FDC">
            <w:pPr>
              <w:rPr>
                <w:rFonts w:ascii="Arial" w:hAnsi="Arial" w:cs="Arial"/>
                <w:color w:val="FFFFFF"/>
                <w:highlight w:val="darkBlue"/>
              </w:rPr>
            </w:pPr>
            <w:r>
              <w:rPr>
                <w:rFonts w:ascii="Arial" w:hAnsi="Arial" w:cs="Arial"/>
              </w:rPr>
              <w:t xml:space="preserve">None received.      </w:t>
            </w:r>
          </w:p>
        </w:tc>
      </w:tr>
      <w:tr w:rsidR="00356FDC" w:rsidTr="00356FDC">
        <w:trPr>
          <w:trHeight w:val="2152"/>
        </w:trPr>
        <w:tc>
          <w:tcPr>
            <w:tcW w:w="2694" w:type="dxa"/>
            <w:gridSpan w:val="2"/>
            <w:tcBorders>
              <w:top w:val="single" w:sz="4" w:space="0" w:color="auto"/>
              <w:left w:val="single" w:sz="12" w:space="0" w:color="auto"/>
              <w:bottom w:val="single" w:sz="12" w:space="0" w:color="auto"/>
              <w:right w:val="single" w:sz="12" w:space="0" w:color="auto"/>
            </w:tcBorders>
            <w:vAlign w:val="center"/>
            <w:hideMark/>
          </w:tcPr>
          <w:p w:rsidR="00356FDC" w:rsidRDefault="00356FDC">
            <w:pPr>
              <w:pStyle w:val="Heading2"/>
              <w:rPr>
                <w:rFonts w:cs="Arial"/>
                <w:sz w:val="20"/>
              </w:rPr>
            </w:pPr>
            <w:r>
              <w:rPr>
                <w:rFonts w:cs="Arial"/>
                <w:sz w:val="20"/>
              </w:rPr>
              <w:t>CAAC/Local groups* comments:</w:t>
            </w:r>
          </w:p>
          <w:p w:rsidR="00356FDC" w:rsidRDefault="00356FDC">
            <w:pPr>
              <w:pStyle w:val="Heading2"/>
              <w:rPr>
                <w:rFonts w:cs="Arial"/>
                <w:b w:val="0"/>
                <w:bCs/>
                <w:sz w:val="16"/>
              </w:rPr>
            </w:pPr>
            <w:r>
              <w:rPr>
                <w:rFonts w:cs="Arial"/>
                <w:b w:val="0"/>
                <w:bCs/>
                <w:sz w:val="16"/>
              </w:rPr>
              <w:t>*Please Specify</w:t>
            </w:r>
          </w:p>
        </w:tc>
        <w:tc>
          <w:tcPr>
            <w:tcW w:w="8363" w:type="dxa"/>
            <w:gridSpan w:val="12"/>
            <w:tcBorders>
              <w:top w:val="single" w:sz="4" w:space="0" w:color="auto"/>
              <w:left w:val="single" w:sz="12" w:space="0" w:color="auto"/>
              <w:bottom w:val="single" w:sz="12" w:space="0" w:color="auto"/>
              <w:right w:val="single" w:sz="12" w:space="0" w:color="auto"/>
            </w:tcBorders>
            <w:hideMark/>
          </w:tcPr>
          <w:p w:rsidR="00356FDC" w:rsidRDefault="00356FDC">
            <w:pPr>
              <w:rPr>
                <w:rFonts w:ascii="Arial" w:hAnsi="Arial" w:cs="Arial"/>
                <w:color w:val="FFFFFF"/>
                <w:highlight w:val="darkBlue"/>
              </w:rPr>
            </w:pPr>
            <w:r>
              <w:rPr>
                <w:rFonts w:ascii="Arial" w:hAnsi="Arial" w:cs="Arial"/>
              </w:rPr>
              <w:t>None received.</w:t>
            </w:r>
          </w:p>
        </w:tc>
      </w:tr>
    </w:tbl>
    <w:p w:rsidR="00356FDC" w:rsidRDefault="00356FDC" w:rsidP="00356FDC">
      <w:pPr>
        <w:rPr>
          <w:rFonts w:ascii="Arial" w:hAnsi="Arial" w:cs="Arial"/>
          <w:b/>
          <w:sz w:val="16"/>
        </w:rPr>
      </w:pPr>
      <w:r>
        <w:rPr>
          <w:rFonts w:ascii="Arial" w:hAnsi="Arial" w:cs="Arial"/>
          <w:b/>
          <w:sz w:val="16"/>
        </w:rPr>
        <w:tab/>
      </w:r>
      <w:r>
        <w:rPr>
          <w:rFonts w:ascii="Arial" w:hAnsi="Arial" w:cs="Arial"/>
          <w:b/>
          <w:sz w:val="16"/>
        </w:rPr>
        <w:tab/>
      </w:r>
    </w:p>
    <w:p w:rsidR="00356FDC" w:rsidRDefault="00356FDC" w:rsidP="00356FDC">
      <w:pPr>
        <w:rPr>
          <w:rFonts w:ascii="Arial" w:hAnsi="Arial" w:cs="Arial"/>
          <w:b/>
          <w:sz w:val="16"/>
        </w:rPr>
      </w:pPr>
      <w:r>
        <w:rPr>
          <w:rFonts w:ascii="Arial" w:hAnsi="Arial" w:cs="Arial"/>
          <w:b/>
          <w:sz w:val="16"/>
        </w:rPr>
        <w:br w:type="page"/>
      </w:r>
    </w:p>
    <w:tbl>
      <w:tblPr>
        <w:tblW w:w="0"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7"/>
      </w:tblGrid>
      <w:tr w:rsidR="00356FDC" w:rsidTr="00356FDC">
        <w:trPr>
          <w:trHeight w:val="340"/>
        </w:trPr>
        <w:tc>
          <w:tcPr>
            <w:tcW w:w="11057" w:type="dxa"/>
            <w:tcBorders>
              <w:top w:val="single" w:sz="4" w:space="0" w:color="auto"/>
              <w:left w:val="single" w:sz="12" w:space="0" w:color="auto"/>
              <w:bottom w:val="single" w:sz="12" w:space="0" w:color="auto"/>
              <w:right w:val="single" w:sz="12" w:space="0" w:color="auto"/>
            </w:tcBorders>
            <w:shd w:val="clear" w:color="auto" w:fill="000000"/>
            <w:vAlign w:val="center"/>
            <w:hideMark/>
          </w:tcPr>
          <w:p w:rsidR="00356FDC" w:rsidRDefault="00356FDC">
            <w:pPr>
              <w:pStyle w:val="Heading2"/>
              <w:rPr>
                <w:rFonts w:cs="Arial"/>
                <w:highlight w:val="black"/>
              </w:rPr>
            </w:pPr>
            <w:r>
              <w:rPr>
                <w:rFonts w:cs="Arial"/>
                <w:highlight w:val="black"/>
              </w:rPr>
              <w:lastRenderedPageBreak/>
              <w:br w:type="page"/>
            </w:r>
            <w:r>
              <w:rPr>
                <w:rFonts w:cs="Arial"/>
                <w:color w:val="FFFFFF"/>
                <w:highlight w:val="black"/>
              </w:rPr>
              <w:t>Site Description</w:t>
            </w:r>
            <w:r>
              <w:rPr>
                <w:rFonts w:cs="Arial"/>
                <w:highlight w:val="black"/>
              </w:rPr>
              <w:t xml:space="preserve"> </w:t>
            </w:r>
          </w:p>
        </w:tc>
      </w:tr>
      <w:tr w:rsidR="00356FDC" w:rsidTr="00356FDC">
        <w:trPr>
          <w:trHeight w:val="1193"/>
        </w:trPr>
        <w:tc>
          <w:tcPr>
            <w:tcW w:w="11057" w:type="dxa"/>
            <w:tcBorders>
              <w:top w:val="single" w:sz="12" w:space="0" w:color="auto"/>
              <w:left w:val="single" w:sz="12" w:space="0" w:color="auto"/>
              <w:bottom w:val="single" w:sz="4" w:space="0" w:color="auto"/>
              <w:right w:val="single" w:sz="12" w:space="0" w:color="auto"/>
            </w:tcBorders>
          </w:tcPr>
          <w:p w:rsidR="00356FDC" w:rsidRDefault="00356FDC">
            <w:pPr>
              <w:rPr>
                <w:rFonts w:ascii="Arial" w:hAnsi="Arial" w:cs="Arial"/>
                <w:sz w:val="22"/>
                <w:szCs w:val="22"/>
              </w:rPr>
            </w:pPr>
            <w:r>
              <w:rPr>
                <w:rFonts w:ascii="Arial" w:hAnsi="Arial" w:cs="Arial"/>
              </w:rPr>
              <w:t xml:space="preserve">The application site is a 2 storey mid terrace </w:t>
            </w:r>
            <w:proofErr w:type="spellStart"/>
            <w:r>
              <w:rPr>
                <w:rFonts w:ascii="Arial" w:hAnsi="Arial" w:cs="Arial"/>
              </w:rPr>
              <w:t>dwellinghouse</w:t>
            </w:r>
            <w:proofErr w:type="spellEnd"/>
            <w:r>
              <w:rPr>
                <w:rFonts w:ascii="Arial" w:hAnsi="Arial" w:cs="Arial"/>
              </w:rPr>
              <w:t xml:space="preserve"> on the south west side of Camden Mews and lies east of </w:t>
            </w:r>
            <w:proofErr w:type="spellStart"/>
            <w:r>
              <w:rPr>
                <w:rFonts w:ascii="Arial" w:hAnsi="Arial" w:cs="Arial"/>
              </w:rPr>
              <w:t>Cantelowes</w:t>
            </w:r>
            <w:proofErr w:type="spellEnd"/>
            <w:r>
              <w:rPr>
                <w:rFonts w:ascii="Arial" w:hAnsi="Arial" w:cs="Arial"/>
              </w:rPr>
              <w:t xml:space="preserve"> Road and west of Camden Park Road. The building is within the Camden Square Conservation Area. The building is not listed.  </w:t>
            </w:r>
          </w:p>
          <w:p w:rsidR="00356FDC" w:rsidRDefault="00356FDC">
            <w:pPr>
              <w:rPr>
                <w:rFonts w:ascii="Arial" w:hAnsi="Arial" w:cs="Arial"/>
              </w:rPr>
            </w:pPr>
          </w:p>
        </w:tc>
      </w:tr>
      <w:tr w:rsidR="00356FDC" w:rsidTr="00356FDC">
        <w:trPr>
          <w:trHeight w:val="273"/>
        </w:trPr>
        <w:tc>
          <w:tcPr>
            <w:tcW w:w="11057" w:type="dxa"/>
            <w:tcBorders>
              <w:top w:val="single" w:sz="4" w:space="0" w:color="auto"/>
              <w:left w:val="single" w:sz="12" w:space="0" w:color="auto"/>
              <w:bottom w:val="single" w:sz="4" w:space="0" w:color="auto"/>
              <w:right w:val="single" w:sz="12" w:space="0" w:color="auto"/>
            </w:tcBorders>
            <w:shd w:val="clear" w:color="auto" w:fill="000000"/>
            <w:vAlign w:val="center"/>
            <w:hideMark/>
          </w:tcPr>
          <w:p w:rsidR="00356FDC" w:rsidRDefault="00356FDC">
            <w:pPr>
              <w:pStyle w:val="Heading2"/>
              <w:rPr>
                <w:rFonts w:cs="Arial"/>
                <w:b w:val="0"/>
              </w:rPr>
            </w:pPr>
            <w:r>
              <w:rPr>
                <w:rFonts w:cs="Arial"/>
                <w:color w:val="FFFFFF"/>
                <w:highlight w:val="black"/>
              </w:rPr>
              <w:t>Relevant History</w:t>
            </w:r>
          </w:p>
        </w:tc>
      </w:tr>
      <w:tr w:rsidR="00356FDC" w:rsidTr="00356FDC">
        <w:trPr>
          <w:trHeight w:val="1007"/>
        </w:trPr>
        <w:tc>
          <w:tcPr>
            <w:tcW w:w="11057" w:type="dxa"/>
            <w:tcBorders>
              <w:top w:val="single" w:sz="4" w:space="0" w:color="auto"/>
              <w:left w:val="single" w:sz="12" w:space="0" w:color="auto"/>
              <w:bottom w:val="single" w:sz="4" w:space="0" w:color="auto"/>
              <w:right w:val="single" w:sz="12" w:space="0" w:color="auto"/>
            </w:tcBorders>
          </w:tcPr>
          <w:p w:rsidR="00356FDC" w:rsidRDefault="00356FDC">
            <w:pPr>
              <w:rPr>
                <w:rFonts w:ascii="Arial" w:hAnsi="Arial" w:cs="Arial"/>
              </w:rPr>
            </w:pPr>
            <w:r>
              <w:rPr>
                <w:rFonts w:ascii="Arial" w:hAnsi="Arial" w:cs="Arial"/>
              </w:rPr>
              <w:t>2012/2867/P - Erection of second floor roof extension including dormer window at rear, installation of window as replacement of garage door at front ground floor level to dwelling house. -  Granted 26/07/2012</w:t>
            </w:r>
          </w:p>
          <w:p w:rsidR="00356FDC" w:rsidRDefault="00356FDC">
            <w:pPr>
              <w:rPr>
                <w:rFonts w:ascii="Arial" w:hAnsi="Arial" w:cs="Arial"/>
              </w:rPr>
            </w:pPr>
          </w:p>
        </w:tc>
      </w:tr>
      <w:tr w:rsidR="00356FDC" w:rsidTr="00356FDC">
        <w:trPr>
          <w:trHeight w:val="300"/>
        </w:trPr>
        <w:tc>
          <w:tcPr>
            <w:tcW w:w="11057" w:type="dxa"/>
            <w:tcBorders>
              <w:top w:val="single" w:sz="4" w:space="0" w:color="auto"/>
              <w:left w:val="single" w:sz="12" w:space="0" w:color="auto"/>
              <w:bottom w:val="single" w:sz="4" w:space="0" w:color="auto"/>
              <w:right w:val="single" w:sz="12" w:space="0" w:color="auto"/>
            </w:tcBorders>
            <w:shd w:val="clear" w:color="auto" w:fill="000000"/>
            <w:vAlign w:val="center"/>
            <w:hideMark/>
          </w:tcPr>
          <w:p w:rsidR="00356FDC" w:rsidRDefault="00356FDC">
            <w:pPr>
              <w:pStyle w:val="Heading2"/>
              <w:rPr>
                <w:rFonts w:cs="Arial"/>
              </w:rPr>
            </w:pPr>
            <w:r>
              <w:rPr>
                <w:rFonts w:cs="Arial"/>
                <w:color w:val="FFFFFF"/>
                <w:highlight w:val="black"/>
              </w:rPr>
              <w:t>Relevant policies</w:t>
            </w:r>
          </w:p>
        </w:tc>
      </w:tr>
      <w:tr w:rsidR="00356FDC" w:rsidTr="00356FDC">
        <w:trPr>
          <w:trHeight w:val="1950"/>
        </w:trPr>
        <w:tc>
          <w:tcPr>
            <w:tcW w:w="11057" w:type="dxa"/>
            <w:tcBorders>
              <w:top w:val="single" w:sz="4" w:space="0" w:color="auto"/>
              <w:left w:val="single" w:sz="12" w:space="0" w:color="auto"/>
              <w:bottom w:val="single" w:sz="4" w:space="0" w:color="auto"/>
              <w:right w:val="single" w:sz="12" w:space="0" w:color="auto"/>
            </w:tcBorders>
          </w:tcPr>
          <w:p w:rsidR="00356FDC" w:rsidRDefault="00356FDC">
            <w:pPr>
              <w:rPr>
                <w:rFonts w:ascii="Arial" w:hAnsi="Arial" w:cs="Arial"/>
                <w:b/>
              </w:rPr>
            </w:pPr>
          </w:p>
          <w:p w:rsidR="00356FDC" w:rsidRDefault="00356FDC">
            <w:pPr>
              <w:rPr>
                <w:rFonts w:ascii="Arial" w:hAnsi="Arial" w:cs="Arial"/>
                <w:b/>
              </w:rPr>
            </w:pPr>
            <w:r>
              <w:rPr>
                <w:rFonts w:ascii="Arial" w:hAnsi="Arial" w:cs="Arial"/>
                <w:b/>
              </w:rPr>
              <w:t xml:space="preserve">National Planning Policy Framework (2012)  </w:t>
            </w:r>
          </w:p>
          <w:p w:rsidR="00356FDC" w:rsidRDefault="00356FDC">
            <w:pPr>
              <w:rPr>
                <w:rFonts w:ascii="Arial" w:hAnsi="Arial" w:cs="Arial"/>
                <w:b/>
              </w:rPr>
            </w:pPr>
            <w:r>
              <w:rPr>
                <w:rFonts w:ascii="Arial" w:hAnsi="Arial" w:cs="Arial"/>
                <w:b/>
              </w:rPr>
              <w:t xml:space="preserve"> </w:t>
            </w:r>
          </w:p>
          <w:p w:rsidR="00356FDC" w:rsidRDefault="00356FDC">
            <w:pPr>
              <w:rPr>
                <w:rFonts w:ascii="Arial" w:hAnsi="Arial" w:cs="Arial"/>
                <w:b/>
              </w:rPr>
            </w:pPr>
            <w:r>
              <w:rPr>
                <w:rFonts w:ascii="Arial" w:hAnsi="Arial" w:cs="Arial"/>
                <w:b/>
              </w:rPr>
              <w:t xml:space="preserve">London Plan (2016)  </w:t>
            </w:r>
          </w:p>
          <w:p w:rsidR="00356FDC" w:rsidRDefault="00356FDC">
            <w:pPr>
              <w:rPr>
                <w:rFonts w:ascii="Arial" w:hAnsi="Arial" w:cs="Arial"/>
                <w:b/>
              </w:rPr>
            </w:pPr>
          </w:p>
          <w:p w:rsidR="00356FDC" w:rsidRDefault="00356FDC">
            <w:pPr>
              <w:rPr>
                <w:rFonts w:ascii="Arial" w:hAnsi="Arial" w:cs="Arial"/>
                <w:b/>
              </w:rPr>
            </w:pPr>
            <w:r>
              <w:rPr>
                <w:rFonts w:ascii="Arial" w:hAnsi="Arial" w:cs="Arial"/>
                <w:b/>
              </w:rPr>
              <w:t>Camden’s Local Plan (2017)</w:t>
            </w:r>
          </w:p>
          <w:p w:rsidR="00356FDC" w:rsidRDefault="00356FDC">
            <w:pPr>
              <w:rPr>
                <w:rFonts w:ascii="Arial" w:hAnsi="Arial" w:cs="Arial"/>
                <w:b/>
              </w:rPr>
            </w:pPr>
            <w:r>
              <w:rPr>
                <w:rFonts w:ascii="Arial" w:hAnsi="Arial" w:cs="Arial"/>
                <w:b/>
              </w:rPr>
              <w:t xml:space="preserve">Policy A1 – Managing the impact of development  </w:t>
            </w:r>
          </w:p>
          <w:p w:rsidR="00356FDC" w:rsidRDefault="00356FDC">
            <w:pPr>
              <w:rPr>
                <w:rFonts w:ascii="Arial" w:hAnsi="Arial" w:cs="Arial"/>
                <w:b/>
              </w:rPr>
            </w:pPr>
            <w:r>
              <w:rPr>
                <w:rFonts w:ascii="Arial" w:hAnsi="Arial" w:cs="Arial"/>
                <w:b/>
              </w:rPr>
              <w:t xml:space="preserve">Policy D1 – Design  </w:t>
            </w:r>
          </w:p>
          <w:p w:rsidR="00356FDC" w:rsidRDefault="00356FDC">
            <w:pPr>
              <w:rPr>
                <w:rFonts w:ascii="Arial" w:hAnsi="Arial" w:cs="Arial"/>
                <w:b/>
              </w:rPr>
            </w:pPr>
            <w:r>
              <w:rPr>
                <w:rFonts w:ascii="Arial" w:hAnsi="Arial" w:cs="Arial"/>
                <w:b/>
              </w:rPr>
              <w:t xml:space="preserve">Policy D2 - Heritage  </w:t>
            </w:r>
          </w:p>
          <w:p w:rsidR="00356FDC" w:rsidRDefault="00356FDC">
            <w:pPr>
              <w:rPr>
                <w:rFonts w:ascii="Arial" w:hAnsi="Arial" w:cs="Arial"/>
                <w:b/>
              </w:rPr>
            </w:pPr>
            <w:r>
              <w:rPr>
                <w:rFonts w:ascii="Arial" w:hAnsi="Arial" w:cs="Arial"/>
                <w:b/>
              </w:rPr>
              <w:t>Policy T1 – Prioritising walking, cycling and public transport</w:t>
            </w:r>
          </w:p>
          <w:p w:rsidR="00356FDC" w:rsidRDefault="00356FDC">
            <w:pPr>
              <w:rPr>
                <w:rFonts w:ascii="Arial" w:hAnsi="Arial" w:cs="Arial"/>
                <w:b/>
              </w:rPr>
            </w:pPr>
            <w:r>
              <w:rPr>
                <w:rFonts w:ascii="Arial" w:hAnsi="Arial" w:cs="Arial"/>
                <w:b/>
              </w:rPr>
              <w:br/>
              <w:t xml:space="preserve">Camden Square Conservation Area Character Appraisal and Management Strategy </w:t>
            </w:r>
          </w:p>
          <w:p w:rsidR="00356FDC" w:rsidRDefault="00356FDC">
            <w:pPr>
              <w:rPr>
                <w:rFonts w:ascii="Arial" w:hAnsi="Arial" w:cs="Arial"/>
                <w:b/>
              </w:rPr>
            </w:pPr>
            <w:r>
              <w:rPr>
                <w:rFonts w:ascii="Arial" w:hAnsi="Arial" w:cs="Arial"/>
                <w:b/>
              </w:rPr>
              <w:t xml:space="preserve"> </w:t>
            </w:r>
          </w:p>
          <w:p w:rsidR="00356FDC" w:rsidRDefault="00356FDC">
            <w:pPr>
              <w:rPr>
                <w:rFonts w:ascii="Arial" w:hAnsi="Arial" w:cs="Arial"/>
                <w:b/>
              </w:rPr>
            </w:pPr>
            <w:r>
              <w:rPr>
                <w:rFonts w:ascii="Arial" w:hAnsi="Arial" w:cs="Arial"/>
                <w:b/>
              </w:rPr>
              <w:t xml:space="preserve">Supplementary Guidance  </w:t>
            </w:r>
          </w:p>
          <w:p w:rsidR="00356FDC" w:rsidRDefault="00356FDC">
            <w:pPr>
              <w:rPr>
                <w:rFonts w:ascii="Arial" w:hAnsi="Arial" w:cs="Arial"/>
                <w:b/>
              </w:rPr>
            </w:pPr>
            <w:r>
              <w:rPr>
                <w:rFonts w:ascii="Arial" w:hAnsi="Arial" w:cs="Arial"/>
                <w:b/>
              </w:rPr>
              <w:t xml:space="preserve">CPG 1 – Design </w:t>
            </w:r>
          </w:p>
          <w:p w:rsidR="00356FDC" w:rsidRDefault="00356FDC">
            <w:pPr>
              <w:rPr>
                <w:rFonts w:ascii="Arial" w:hAnsi="Arial" w:cs="Arial"/>
                <w:b/>
              </w:rPr>
            </w:pPr>
            <w:r>
              <w:rPr>
                <w:rFonts w:ascii="Arial" w:hAnsi="Arial" w:cs="Arial"/>
                <w:b/>
              </w:rPr>
              <w:t xml:space="preserve">CPG 6 – Amenity </w:t>
            </w:r>
          </w:p>
          <w:p w:rsidR="00356FDC" w:rsidRDefault="00356FDC">
            <w:pPr>
              <w:rPr>
                <w:b/>
              </w:rPr>
            </w:pPr>
            <w:r>
              <w:rPr>
                <w:rFonts w:ascii="Arial" w:hAnsi="Arial" w:cs="Arial"/>
                <w:b/>
              </w:rPr>
              <w:t xml:space="preserve"> </w:t>
            </w:r>
          </w:p>
        </w:tc>
      </w:tr>
      <w:tr w:rsidR="00356FDC" w:rsidTr="00356FDC">
        <w:trPr>
          <w:trHeight w:val="360"/>
        </w:trPr>
        <w:tc>
          <w:tcPr>
            <w:tcW w:w="11057" w:type="dxa"/>
            <w:tcBorders>
              <w:top w:val="single" w:sz="4" w:space="0" w:color="auto"/>
              <w:left w:val="single" w:sz="12" w:space="0" w:color="auto"/>
              <w:bottom w:val="single" w:sz="4" w:space="0" w:color="auto"/>
              <w:right w:val="single" w:sz="12" w:space="0" w:color="auto"/>
            </w:tcBorders>
            <w:shd w:val="clear" w:color="auto" w:fill="000000"/>
            <w:vAlign w:val="center"/>
            <w:hideMark/>
          </w:tcPr>
          <w:p w:rsidR="00356FDC" w:rsidRDefault="00356FDC">
            <w:pPr>
              <w:pStyle w:val="Heading2"/>
              <w:rPr>
                <w:rFonts w:cs="Arial"/>
                <w:highlight w:val="black"/>
              </w:rPr>
            </w:pPr>
            <w:r>
              <w:rPr>
                <w:rFonts w:cs="Arial"/>
                <w:color w:val="FFFFFF"/>
                <w:highlight w:val="black"/>
              </w:rPr>
              <w:lastRenderedPageBreak/>
              <w:t>Assessment</w:t>
            </w:r>
          </w:p>
        </w:tc>
      </w:tr>
      <w:tr w:rsidR="00356FDC" w:rsidTr="00356FDC">
        <w:trPr>
          <w:trHeight w:val="7919"/>
        </w:trPr>
        <w:tc>
          <w:tcPr>
            <w:tcW w:w="11057" w:type="dxa"/>
            <w:tcBorders>
              <w:top w:val="single" w:sz="4" w:space="0" w:color="auto"/>
              <w:left w:val="single" w:sz="12" w:space="0" w:color="auto"/>
              <w:bottom w:val="single" w:sz="12" w:space="0" w:color="auto"/>
              <w:right w:val="single" w:sz="12" w:space="0" w:color="auto"/>
            </w:tcBorders>
          </w:tcPr>
          <w:p w:rsidR="00356FDC" w:rsidRDefault="00356FDC">
            <w:pPr>
              <w:spacing w:after="240"/>
              <w:rPr>
                <w:rFonts w:ascii="Arial" w:hAnsi="Arial" w:cs="Arial"/>
                <w:color w:val="000000" w:themeColor="text1"/>
              </w:rPr>
            </w:pPr>
          </w:p>
          <w:p w:rsidR="00356FDC" w:rsidRDefault="00356FDC">
            <w:pPr>
              <w:spacing w:after="240"/>
              <w:rPr>
                <w:rFonts w:ascii="Arial" w:hAnsi="Arial" w:cs="Arial"/>
                <w:color w:val="000000" w:themeColor="text1"/>
              </w:rPr>
            </w:pPr>
            <w:r>
              <w:rPr>
                <w:rFonts w:ascii="Arial" w:hAnsi="Arial" w:cs="Arial"/>
                <w:color w:val="000000" w:themeColor="text1"/>
              </w:rPr>
              <w:t xml:space="preserve">1. </w:t>
            </w:r>
            <w:r>
              <w:rPr>
                <w:rFonts w:ascii="Arial" w:hAnsi="Arial" w:cs="Arial"/>
                <w:b/>
                <w:color w:val="000000" w:themeColor="text1"/>
              </w:rPr>
              <w:t xml:space="preserve">Proposal </w:t>
            </w:r>
          </w:p>
          <w:p w:rsidR="00356FDC" w:rsidRDefault="00356FDC">
            <w:pPr>
              <w:spacing w:after="240"/>
              <w:rPr>
                <w:rFonts w:ascii="Arial" w:hAnsi="Arial" w:cs="Arial"/>
                <w:color w:val="000000" w:themeColor="text1"/>
              </w:rPr>
            </w:pPr>
            <w:r>
              <w:rPr>
                <w:rFonts w:ascii="Arial" w:hAnsi="Arial" w:cs="Arial"/>
                <w:color w:val="000000" w:themeColor="text1"/>
              </w:rPr>
              <w:t>1.1 The applicant seeks planning permission for the Installation of 1x bin and 1x cycle store to</w:t>
            </w:r>
            <w:r w:rsidR="00116547">
              <w:rPr>
                <w:rFonts w:ascii="Arial" w:hAnsi="Arial" w:cs="Arial"/>
                <w:color w:val="000000" w:themeColor="text1"/>
              </w:rPr>
              <w:t xml:space="preserve"> the</w:t>
            </w:r>
            <w:r>
              <w:rPr>
                <w:rFonts w:ascii="Arial" w:hAnsi="Arial" w:cs="Arial"/>
                <w:color w:val="000000" w:themeColor="text1"/>
              </w:rPr>
              <w:t xml:space="preserve"> front</w:t>
            </w:r>
            <w:r w:rsidR="00116547">
              <w:rPr>
                <w:rFonts w:ascii="Arial" w:hAnsi="Arial" w:cs="Arial"/>
                <w:color w:val="000000" w:themeColor="text1"/>
              </w:rPr>
              <w:t xml:space="preserve"> of the dwelling which will be located on the public footpath</w:t>
            </w:r>
            <w:r>
              <w:rPr>
                <w:rFonts w:ascii="Arial" w:hAnsi="Arial" w:cs="Arial"/>
                <w:color w:val="000000" w:themeColor="text1"/>
              </w:rPr>
              <w:t>.</w:t>
            </w:r>
          </w:p>
          <w:p w:rsidR="00356FDC" w:rsidRDefault="00356FDC">
            <w:pPr>
              <w:spacing w:after="240"/>
              <w:rPr>
                <w:rFonts w:ascii="Arial" w:hAnsi="Arial" w:cs="Arial"/>
                <w:color w:val="000000" w:themeColor="text1"/>
              </w:rPr>
            </w:pPr>
          </w:p>
          <w:p w:rsidR="00356FDC" w:rsidRDefault="00356FDC">
            <w:pPr>
              <w:spacing w:after="240"/>
              <w:rPr>
                <w:rFonts w:ascii="Arial" w:hAnsi="Arial" w:cs="Arial"/>
                <w:color w:val="000000" w:themeColor="text1"/>
              </w:rPr>
            </w:pPr>
            <w:r>
              <w:rPr>
                <w:rFonts w:ascii="Arial" w:hAnsi="Arial" w:cs="Arial"/>
                <w:color w:val="000000" w:themeColor="text1"/>
              </w:rPr>
              <w:t>1.2 The bin store will measure 0.54m in depth, 2.415m wide and stand at 1.24m high. The bike store will measure 0.9m in depth, 2.415m wide and stand at 1.24m high. Both stores will be constructed of western red ced</w:t>
            </w:r>
            <w:r w:rsidR="00116547">
              <w:rPr>
                <w:rFonts w:ascii="Arial" w:hAnsi="Arial" w:cs="Arial"/>
                <w:color w:val="000000" w:themeColor="text1"/>
              </w:rPr>
              <w:t xml:space="preserve">ar slats with aluminium edging. </w:t>
            </w:r>
          </w:p>
          <w:p w:rsidR="00356FDC" w:rsidRDefault="00356FDC">
            <w:pPr>
              <w:spacing w:after="240"/>
              <w:rPr>
                <w:rFonts w:ascii="Arial" w:hAnsi="Arial" w:cs="Arial"/>
                <w:color w:val="000000" w:themeColor="text1"/>
              </w:rPr>
            </w:pPr>
          </w:p>
          <w:p w:rsidR="00356FDC" w:rsidRDefault="00356FDC">
            <w:pPr>
              <w:spacing w:after="240"/>
              <w:rPr>
                <w:rFonts w:ascii="Arial" w:hAnsi="Arial" w:cs="Arial"/>
                <w:color w:val="000000" w:themeColor="text1"/>
              </w:rPr>
            </w:pPr>
          </w:p>
          <w:p w:rsidR="00356FDC" w:rsidRDefault="00356FDC" w:rsidP="00D5732F">
            <w:pPr>
              <w:numPr>
                <w:ilvl w:val="0"/>
                <w:numId w:val="1"/>
              </w:numPr>
              <w:spacing w:after="240"/>
              <w:rPr>
                <w:rFonts w:ascii="Arial" w:hAnsi="Arial" w:cs="Arial"/>
                <w:b/>
                <w:color w:val="000000" w:themeColor="text1"/>
              </w:rPr>
            </w:pPr>
            <w:r>
              <w:rPr>
                <w:rFonts w:ascii="Arial" w:hAnsi="Arial" w:cs="Arial"/>
                <w:b/>
                <w:color w:val="000000" w:themeColor="text1"/>
              </w:rPr>
              <w:t>Assessment</w:t>
            </w:r>
          </w:p>
          <w:p w:rsidR="00356FDC" w:rsidRDefault="00356FDC">
            <w:pPr>
              <w:spacing w:after="240"/>
              <w:rPr>
                <w:rFonts w:ascii="Arial" w:hAnsi="Arial" w:cs="Arial"/>
                <w:b/>
                <w:color w:val="000000" w:themeColor="text1"/>
              </w:rPr>
            </w:pPr>
          </w:p>
          <w:p w:rsidR="00356FDC" w:rsidRDefault="00356FDC" w:rsidP="00D5732F">
            <w:pPr>
              <w:numPr>
                <w:ilvl w:val="1"/>
                <w:numId w:val="1"/>
              </w:numPr>
              <w:spacing w:after="240"/>
              <w:rPr>
                <w:rFonts w:ascii="Arial" w:hAnsi="Arial" w:cs="Arial"/>
                <w:b/>
                <w:color w:val="000000" w:themeColor="text1"/>
              </w:rPr>
            </w:pPr>
            <w:r>
              <w:rPr>
                <w:rFonts w:ascii="Arial" w:hAnsi="Arial" w:cs="Arial"/>
                <w:color w:val="000000" w:themeColor="text1"/>
              </w:rPr>
              <w:t xml:space="preserve"> The material considerations for this application are summarised as follows: </w:t>
            </w:r>
          </w:p>
          <w:p w:rsidR="00356FDC" w:rsidRDefault="00356FDC" w:rsidP="00D5732F">
            <w:pPr>
              <w:numPr>
                <w:ilvl w:val="0"/>
                <w:numId w:val="2"/>
              </w:numPr>
              <w:spacing w:after="240"/>
              <w:rPr>
                <w:rFonts w:ascii="Arial" w:hAnsi="Arial" w:cs="Arial"/>
                <w:color w:val="000000" w:themeColor="text1"/>
              </w:rPr>
            </w:pPr>
            <w:r>
              <w:rPr>
                <w:rFonts w:ascii="Arial" w:hAnsi="Arial" w:cs="Arial"/>
                <w:color w:val="000000" w:themeColor="text1"/>
              </w:rPr>
              <w:t xml:space="preserve">Design and conservation; and </w:t>
            </w:r>
          </w:p>
          <w:p w:rsidR="00356FDC" w:rsidRDefault="00356FDC" w:rsidP="00D5732F">
            <w:pPr>
              <w:numPr>
                <w:ilvl w:val="0"/>
                <w:numId w:val="2"/>
              </w:numPr>
              <w:spacing w:after="240"/>
              <w:rPr>
                <w:rFonts w:ascii="Arial" w:hAnsi="Arial" w:cs="Arial"/>
                <w:color w:val="000000" w:themeColor="text1"/>
              </w:rPr>
            </w:pPr>
            <w:r>
              <w:rPr>
                <w:rFonts w:ascii="Arial" w:hAnsi="Arial" w:cs="Arial"/>
                <w:color w:val="000000" w:themeColor="text1"/>
              </w:rPr>
              <w:t>Amenity of neighbouring residential occupants</w:t>
            </w:r>
          </w:p>
          <w:p w:rsidR="00356FDC" w:rsidRDefault="00356FDC">
            <w:pPr>
              <w:spacing w:after="240"/>
              <w:rPr>
                <w:rFonts w:ascii="Arial" w:hAnsi="Arial" w:cs="Arial"/>
                <w:color w:val="000000" w:themeColor="text1"/>
              </w:rPr>
            </w:pPr>
          </w:p>
          <w:p w:rsidR="00356FDC" w:rsidRDefault="00356FDC">
            <w:pPr>
              <w:spacing w:after="240"/>
              <w:rPr>
                <w:rFonts w:ascii="Arial" w:hAnsi="Arial" w:cs="Arial"/>
                <w:color w:val="000000" w:themeColor="text1"/>
              </w:rPr>
            </w:pPr>
          </w:p>
          <w:p w:rsidR="00356FDC" w:rsidRDefault="00356FDC">
            <w:pPr>
              <w:spacing w:after="240"/>
              <w:rPr>
                <w:rFonts w:ascii="Arial" w:hAnsi="Arial" w:cs="Arial"/>
                <w:color w:val="000000" w:themeColor="text1"/>
              </w:rPr>
            </w:pPr>
            <w:r>
              <w:rPr>
                <w:rFonts w:ascii="Arial" w:hAnsi="Arial" w:cs="Arial"/>
                <w:color w:val="000000" w:themeColor="text1"/>
              </w:rPr>
              <w:t xml:space="preserve">3. </w:t>
            </w:r>
            <w:r>
              <w:rPr>
                <w:rFonts w:ascii="Arial" w:hAnsi="Arial" w:cs="Arial"/>
                <w:b/>
                <w:color w:val="000000" w:themeColor="text1"/>
              </w:rPr>
              <w:t>Design &amp; Heritage</w:t>
            </w:r>
            <w:r>
              <w:rPr>
                <w:rFonts w:ascii="Arial" w:hAnsi="Arial" w:cs="Arial"/>
                <w:color w:val="000000" w:themeColor="text1"/>
              </w:rPr>
              <w:t xml:space="preserve"> </w:t>
            </w:r>
          </w:p>
          <w:p w:rsidR="00356FDC" w:rsidRDefault="00356FDC">
            <w:pPr>
              <w:spacing w:after="240"/>
              <w:rPr>
                <w:rFonts w:ascii="Arial" w:hAnsi="Arial" w:cs="Arial"/>
                <w:color w:val="000000" w:themeColor="text1"/>
              </w:rPr>
            </w:pPr>
          </w:p>
          <w:p w:rsidR="00356FDC" w:rsidRDefault="00356FDC">
            <w:pPr>
              <w:spacing w:after="240"/>
              <w:rPr>
                <w:rFonts w:ascii="Arial" w:hAnsi="Arial" w:cs="Arial"/>
                <w:color w:val="000000" w:themeColor="text1"/>
              </w:rPr>
            </w:pPr>
            <w:r>
              <w:rPr>
                <w:rFonts w:ascii="Arial" w:hAnsi="Arial" w:cs="Arial"/>
                <w:color w:val="000000" w:themeColor="text1"/>
              </w:rPr>
              <w:t xml:space="preserve">3.1 Policy D1 of Camden’s Local Plan outlines that the Council will require all developments to be of the highest standard of design and will expect developments to consider character, setting, context and the form and scale of neighbouring buildings and the character and proportion of the existing building. In addition it should integrate well with the surrounding streets and contribute positively to the street frontage.D2 states that Council will only permit development within conservation areas that preserves and enhances the character and appearance of the area. Camden Planning Guidance (CPG1) states that “design should positively enhance the character of existing buildings on site and other building immediately adjacent and in the surrounding area”. </w:t>
            </w:r>
          </w:p>
          <w:p w:rsidR="00356FDC" w:rsidRDefault="00356FDC">
            <w:pPr>
              <w:spacing w:after="240"/>
              <w:rPr>
                <w:rFonts w:ascii="Arial" w:hAnsi="Arial" w:cs="Arial"/>
                <w:color w:val="000000" w:themeColor="text1"/>
              </w:rPr>
            </w:pPr>
          </w:p>
          <w:p w:rsidR="00356FDC" w:rsidRDefault="00356FDC">
            <w:pPr>
              <w:spacing w:after="240"/>
              <w:rPr>
                <w:rFonts w:ascii="Arial" w:hAnsi="Arial" w:cs="Arial"/>
                <w:color w:val="000000" w:themeColor="text1"/>
              </w:rPr>
            </w:pPr>
            <w:r>
              <w:rPr>
                <w:rFonts w:ascii="Arial" w:hAnsi="Arial" w:cs="Arial"/>
                <w:color w:val="000000" w:themeColor="text1"/>
              </w:rPr>
              <w:t xml:space="preserve">3.2 The design of front gardens has a large impact on the character and attractiveness of an area and in particular the street scene. CPG1 states that “development in gardens should not detract from the open character and garden amenity of the neighbouring gardens and wider surrounding area”. </w:t>
            </w:r>
          </w:p>
          <w:p w:rsidR="00356FDC" w:rsidRDefault="00356FDC">
            <w:pPr>
              <w:spacing w:after="240"/>
              <w:rPr>
                <w:rFonts w:ascii="Arial" w:hAnsi="Arial" w:cs="Arial"/>
                <w:color w:val="000000" w:themeColor="text1"/>
              </w:rPr>
            </w:pPr>
          </w:p>
          <w:p w:rsidR="00356FDC" w:rsidRDefault="00356FDC">
            <w:pPr>
              <w:spacing w:after="240"/>
              <w:rPr>
                <w:rFonts w:ascii="Arial" w:hAnsi="Arial" w:cs="Arial"/>
                <w:color w:val="000000" w:themeColor="text1"/>
              </w:rPr>
            </w:pPr>
            <w:r>
              <w:rPr>
                <w:rFonts w:ascii="Arial" w:hAnsi="Arial" w:cs="Arial"/>
                <w:color w:val="000000" w:themeColor="text1"/>
              </w:rPr>
              <w:t>3.3 Camden Square Conservation Area Character Appraisal and Management Strategy (CSCACAMS) states that “Where refuse bin stores are considered necessary, these should be located within rear garden spaces if at all possible. If location within the front garden area is the only possible solution, great care should be taken to ensure that the store is located sensitively. This would include concealment by existing boundary walls and planting, the use of sensitive materials and siting away from the main frontage of the building.”</w:t>
            </w:r>
          </w:p>
          <w:p w:rsidR="00356FDC" w:rsidRDefault="00356FDC">
            <w:pPr>
              <w:spacing w:after="240"/>
              <w:rPr>
                <w:rFonts w:ascii="Arial" w:hAnsi="Arial" w:cs="Arial"/>
                <w:color w:val="000000" w:themeColor="text1"/>
              </w:rPr>
            </w:pPr>
          </w:p>
          <w:p w:rsidR="00356FDC" w:rsidRDefault="00356FDC">
            <w:pPr>
              <w:spacing w:after="240"/>
              <w:rPr>
                <w:rFonts w:ascii="Arial" w:hAnsi="Arial" w:cs="Arial"/>
                <w:color w:val="000000" w:themeColor="text1"/>
              </w:rPr>
            </w:pPr>
            <w:r>
              <w:rPr>
                <w:rFonts w:ascii="Arial" w:hAnsi="Arial" w:cs="Arial"/>
                <w:color w:val="000000" w:themeColor="text1"/>
              </w:rPr>
              <w:t>3.4 The proposed height and depth of the proposed stores is considered to be excessive and the proposed bin store would cover the existing gas meter as it would be positioned in front of it. There are no other examples of bin and bike stores of this size, scale and siting along the front elevations of properties along Camden Mews. It is considered that the excessive height, depth and overall bulk of the proposal would be out of keeping with the open character of front gardens in the area and at odds with the prevailing streetscape and character overall. The proposal is also contrary to the CSCACAMS which encourages the siting of bin stores away from the main frontage of the building.</w:t>
            </w:r>
          </w:p>
          <w:p w:rsidR="00356FDC" w:rsidRDefault="00356FDC">
            <w:pPr>
              <w:spacing w:after="240"/>
              <w:rPr>
                <w:rFonts w:ascii="Arial" w:hAnsi="Arial" w:cs="Arial"/>
                <w:color w:val="000000" w:themeColor="text1"/>
              </w:rPr>
            </w:pPr>
          </w:p>
          <w:p w:rsidR="00356FDC" w:rsidRDefault="00356FDC">
            <w:pPr>
              <w:spacing w:after="240"/>
              <w:rPr>
                <w:rFonts w:ascii="Arial" w:hAnsi="Arial" w:cs="Arial"/>
                <w:color w:val="000000" w:themeColor="text1"/>
              </w:rPr>
            </w:pPr>
            <w:r>
              <w:rPr>
                <w:rFonts w:ascii="Arial" w:hAnsi="Arial" w:cs="Arial"/>
                <w:color w:val="000000" w:themeColor="text1"/>
              </w:rPr>
              <w:t xml:space="preserve">3.5 CPG1 states that “materials should form an integral part of the design process and should relate to the character and appearance of the area, particularly in conservation areas”.  The proposed materials, western red cedar slats with aluminium edging, are considered to be unsympathetic to the site and surroundings and the proposal does not aim to minimise the visual impact on the </w:t>
            </w:r>
            <w:proofErr w:type="spellStart"/>
            <w:r>
              <w:rPr>
                <w:rFonts w:ascii="Arial" w:hAnsi="Arial" w:cs="Arial"/>
                <w:color w:val="000000" w:themeColor="text1"/>
              </w:rPr>
              <w:t>streetscene</w:t>
            </w:r>
            <w:proofErr w:type="spellEnd"/>
            <w:r>
              <w:rPr>
                <w:rFonts w:ascii="Arial" w:hAnsi="Arial" w:cs="Arial"/>
                <w:color w:val="000000" w:themeColor="text1"/>
              </w:rPr>
              <w:t xml:space="preserve">, and the proposal is therefore contrary to CPG1.  </w:t>
            </w:r>
          </w:p>
          <w:p w:rsidR="00C84AFE" w:rsidRDefault="00C84AFE">
            <w:pPr>
              <w:spacing w:after="240"/>
              <w:rPr>
                <w:rFonts w:ascii="Arial" w:hAnsi="Arial" w:cs="Arial"/>
                <w:color w:val="000000" w:themeColor="text1"/>
              </w:rPr>
            </w:pPr>
          </w:p>
          <w:p w:rsidR="00C84AFE" w:rsidRDefault="00356FDC">
            <w:pPr>
              <w:spacing w:after="240"/>
              <w:rPr>
                <w:rFonts w:ascii="Arial" w:hAnsi="Arial" w:cs="Arial"/>
                <w:color w:val="000000" w:themeColor="text1"/>
              </w:rPr>
            </w:pPr>
            <w:r>
              <w:rPr>
                <w:rFonts w:ascii="Arial" w:hAnsi="Arial" w:cs="Arial"/>
                <w:color w:val="000000" w:themeColor="text1"/>
              </w:rPr>
              <w:t>3.6</w:t>
            </w:r>
            <w:r w:rsidR="00451EFE">
              <w:rPr>
                <w:rFonts w:ascii="Arial" w:hAnsi="Arial" w:cs="Arial"/>
                <w:color w:val="000000" w:themeColor="text1"/>
              </w:rPr>
              <w:t xml:space="preserve"> During a site visit it is noted that</w:t>
            </w:r>
            <w:r>
              <w:rPr>
                <w:rFonts w:ascii="Arial" w:hAnsi="Arial" w:cs="Arial"/>
                <w:color w:val="000000" w:themeColor="text1"/>
              </w:rPr>
              <w:t xml:space="preserve"> </w:t>
            </w:r>
            <w:r w:rsidR="00C84AFE">
              <w:rPr>
                <w:rFonts w:ascii="Arial" w:hAnsi="Arial" w:cs="Arial"/>
                <w:color w:val="000000" w:themeColor="text1"/>
              </w:rPr>
              <w:t xml:space="preserve">No.84 Camden Mews </w:t>
            </w:r>
            <w:r w:rsidR="00451EFE">
              <w:rPr>
                <w:rFonts w:ascii="Arial" w:hAnsi="Arial" w:cs="Arial"/>
                <w:color w:val="000000" w:themeColor="text1"/>
              </w:rPr>
              <w:t xml:space="preserve">has built a timber bike store to the front elevation, which was granted planning permission in 2010 </w:t>
            </w:r>
            <w:r w:rsidR="00451EFE">
              <w:rPr>
                <w:rFonts w:ascii="Arial" w:hAnsi="Arial" w:cs="Arial"/>
                <w:color w:val="000000" w:themeColor="text1"/>
              </w:rPr>
              <w:t xml:space="preserve">(ref. </w:t>
            </w:r>
            <w:r w:rsidR="00451EFE" w:rsidRPr="00C84AFE">
              <w:rPr>
                <w:rFonts w:ascii="Arial" w:hAnsi="Arial" w:cs="Arial"/>
                <w:color w:val="000000" w:themeColor="text1"/>
              </w:rPr>
              <w:t>2010/4473/P</w:t>
            </w:r>
            <w:r w:rsidR="00451EFE">
              <w:rPr>
                <w:rFonts w:ascii="Arial" w:hAnsi="Arial" w:cs="Arial"/>
                <w:color w:val="000000" w:themeColor="text1"/>
              </w:rPr>
              <w:t>)</w:t>
            </w:r>
            <w:r w:rsidR="00451EFE">
              <w:rPr>
                <w:rFonts w:ascii="Arial" w:hAnsi="Arial" w:cs="Arial"/>
                <w:color w:val="000000" w:themeColor="text1"/>
              </w:rPr>
              <w:t xml:space="preserve">. However, this was erected within the front curtilage of their site and </w:t>
            </w:r>
            <w:r w:rsidR="00451EFE">
              <w:rPr>
                <w:rFonts w:ascii="Arial" w:hAnsi="Arial" w:cs="Arial"/>
                <w:color w:val="000000" w:themeColor="text1"/>
              </w:rPr>
              <w:t>n</w:t>
            </w:r>
            <w:r w:rsidR="00451EFE">
              <w:rPr>
                <w:rFonts w:ascii="Arial" w:hAnsi="Arial" w:cs="Arial"/>
                <w:color w:val="000000" w:themeColor="text1"/>
              </w:rPr>
              <w:t>ot built on the public footpath, therefore it cannot be considered as a precedent for this application. In addition, the timber materials of this store respect the character of No.84 as it matches the existing timber features found on the host property.</w:t>
            </w:r>
          </w:p>
          <w:p w:rsidR="00451EFE" w:rsidRDefault="00451EFE">
            <w:pPr>
              <w:spacing w:after="240"/>
              <w:rPr>
                <w:rFonts w:ascii="Arial" w:hAnsi="Arial" w:cs="Arial"/>
                <w:color w:val="000000" w:themeColor="text1"/>
              </w:rPr>
            </w:pPr>
          </w:p>
          <w:p w:rsidR="00356FDC" w:rsidRDefault="00C84AFE">
            <w:pPr>
              <w:spacing w:after="240"/>
              <w:rPr>
                <w:rFonts w:ascii="Arial" w:hAnsi="Arial" w:cs="Arial"/>
                <w:color w:val="000000" w:themeColor="text1"/>
              </w:rPr>
            </w:pPr>
            <w:r>
              <w:rPr>
                <w:rFonts w:ascii="Arial" w:hAnsi="Arial" w:cs="Arial"/>
                <w:color w:val="000000" w:themeColor="text1"/>
              </w:rPr>
              <w:t xml:space="preserve">3.7 </w:t>
            </w:r>
            <w:r w:rsidR="00356FDC">
              <w:rPr>
                <w:rFonts w:ascii="Arial" w:hAnsi="Arial" w:cs="Arial"/>
                <w:color w:val="000000" w:themeColor="text1"/>
              </w:rPr>
              <w:t xml:space="preserve">Overall the proposal is not considered to be sufficiently subordinate to the host dwelling and would fail to respect the prevailing pattern of development in the locality. It is considered that the structure would appear as visually dominant and incongruous addition to the front elevation of the host building and thereby fails to preserve and enhance the character and appearance of the </w:t>
            </w:r>
            <w:proofErr w:type="spellStart"/>
            <w:r w:rsidR="00356FDC">
              <w:rPr>
                <w:rFonts w:ascii="Arial" w:hAnsi="Arial" w:cs="Arial"/>
                <w:color w:val="000000" w:themeColor="text1"/>
              </w:rPr>
              <w:t>streetscene</w:t>
            </w:r>
            <w:proofErr w:type="spellEnd"/>
            <w:r w:rsidR="00356FDC">
              <w:rPr>
                <w:rFonts w:ascii="Arial" w:hAnsi="Arial" w:cs="Arial"/>
                <w:color w:val="000000" w:themeColor="text1"/>
              </w:rPr>
              <w:t xml:space="preserve"> and conservation area, contrary to policies D1, D2, CPG1, and Camden Square Conservation Area Character Appraisal and Management Strategy.</w:t>
            </w:r>
          </w:p>
          <w:p w:rsidR="00356FDC" w:rsidRDefault="00356FDC">
            <w:pPr>
              <w:spacing w:after="240"/>
              <w:rPr>
                <w:rFonts w:ascii="Arial" w:hAnsi="Arial" w:cs="Arial"/>
                <w:color w:val="000000" w:themeColor="text1"/>
              </w:rPr>
            </w:pPr>
          </w:p>
          <w:p w:rsidR="00356FDC" w:rsidRDefault="00356FDC">
            <w:pPr>
              <w:spacing w:after="240"/>
              <w:rPr>
                <w:rFonts w:ascii="Arial" w:hAnsi="Arial" w:cs="Arial"/>
                <w:b/>
                <w:color w:val="000000" w:themeColor="text1"/>
              </w:rPr>
            </w:pPr>
            <w:r>
              <w:rPr>
                <w:rFonts w:ascii="Arial" w:hAnsi="Arial" w:cs="Arial"/>
                <w:b/>
                <w:color w:val="000000" w:themeColor="text1"/>
              </w:rPr>
              <w:t>4. Amenity &amp; Highways</w:t>
            </w:r>
          </w:p>
          <w:p w:rsidR="00356FDC" w:rsidRDefault="00356FDC">
            <w:pPr>
              <w:spacing w:after="240"/>
              <w:rPr>
                <w:rFonts w:ascii="Arial" w:hAnsi="Arial" w:cs="Arial"/>
                <w:color w:val="000000" w:themeColor="text1"/>
              </w:rPr>
            </w:pPr>
          </w:p>
          <w:p w:rsidR="00356FDC" w:rsidRDefault="00356FDC">
            <w:pPr>
              <w:spacing w:after="240"/>
              <w:rPr>
                <w:rFonts w:ascii="Arial" w:hAnsi="Arial" w:cs="Arial"/>
                <w:color w:val="000000" w:themeColor="text1"/>
              </w:rPr>
            </w:pPr>
            <w:r>
              <w:rPr>
                <w:rFonts w:ascii="Arial" w:hAnsi="Arial" w:cs="Arial"/>
                <w:color w:val="000000" w:themeColor="text1"/>
              </w:rPr>
              <w:t xml:space="preserve">4.1 Policy A1 seeks to protect the quality of life of occupiers and neighbours. Policy T1 of the Camden Local Plan advises the Council’s aim is to promote sustainable transport choices and prioritise </w:t>
            </w:r>
            <w:r>
              <w:rPr>
                <w:rFonts w:ascii="Arial" w:hAnsi="Arial" w:cs="Arial"/>
                <w:color w:val="000000" w:themeColor="text1"/>
              </w:rPr>
              <w:lastRenderedPageBreak/>
              <w:t xml:space="preserve">pedestrian and cyclist needs and ensuring sustainable transport will be the primary means of travel. To encourage walking, the Council will seek among other things to improve the pedestrian environment. </w:t>
            </w:r>
          </w:p>
          <w:p w:rsidR="00356FDC" w:rsidRDefault="00356FDC">
            <w:pPr>
              <w:spacing w:after="240"/>
              <w:rPr>
                <w:rFonts w:ascii="Arial" w:hAnsi="Arial" w:cs="Arial"/>
                <w:color w:val="000000" w:themeColor="text1"/>
              </w:rPr>
            </w:pPr>
          </w:p>
          <w:p w:rsidR="00356FDC" w:rsidRDefault="00356FDC">
            <w:pPr>
              <w:spacing w:after="240"/>
              <w:rPr>
                <w:rFonts w:ascii="Arial" w:hAnsi="Arial" w:cs="Arial"/>
                <w:color w:val="000000" w:themeColor="text1"/>
              </w:rPr>
            </w:pPr>
            <w:r>
              <w:rPr>
                <w:rFonts w:ascii="Arial" w:hAnsi="Arial" w:cs="Arial"/>
                <w:color w:val="000000" w:themeColor="text1"/>
              </w:rPr>
              <w:t xml:space="preserve">4.2The proposed bike and bin store would cover part of the public footpath in front of the property and the doors will open out onto the road, a depth of 0.8m of the footpath will remain between the proposal and the road and a depth of 0.2m would be accessible when the doors are open. It is considered that access to the stores would be restricted when a car is parked in front of either store.  It is noted that the applicant has not served notice on the highways department on their intention to build on the public footpath. Therefore this proposal would result in a narrower pavement and impede pedestrian movement which is considered to cause detrimental harm to pedestrian safety and amenity, contrary to policies A1 and T1 of Camden’s Local Plan.   </w:t>
            </w:r>
          </w:p>
          <w:p w:rsidR="00356FDC" w:rsidRDefault="00356FDC">
            <w:pPr>
              <w:spacing w:after="240"/>
              <w:rPr>
                <w:rFonts w:ascii="Arial" w:hAnsi="Arial" w:cs="Arial"/>
                <w:color w:val="000000" w:themeColor="text1"/>
              </w:rPr>
            </w:pPr>
          </w:p>
          <w:p w:rsidR="00356FDC" w:rsidRDefault="00356FDC">
            <w:pPr>
              <w:spacing w:after="240"/>
              <w:rPr>
                <w:rFonts w:ascii="Arial" w:hAnsi="Arial" w:cs="Arial"/>
                <w:color w:val="000000" w:themeColor="text1"/>
              </w:rPr>
            </w:pPr>
            <w:r>
              <w:rPr>
                <w:rFonts w:ascii="Arial" w:hAnsi="Arial" w:cs="Arial"/>
                <w:color w:val="000000" w:themeColor="text1"/>
              </w:rPr>
              <w:t>4.3 The proposal would not result in a reduction of sunlight, daylight, outlook or privacy to the neighbouring property given its siting and height.</w:t>
            </w:r>
          </w:p>
          <w:p w:rsidR="00356FDC" w:rsidRDefault="00356FDC">
            <w:pPr>
              <w:spacing w:after="240"/>
              <w:rPr>
                <w:rFonts w:ascii="Arial" w:hAnsi="Arial" w:cs="Arial"/>
                <w:color w:val="000000" w:themeColor="text1"/>
              </w:rPr>
            </w:pPr>
          </w:p>
          <w:p w:rsidR="00356FDC" w:rsidRDefault="00356FDC">
            <w:pPr>
              <w:spacing w:after="240"/>
              <w:rPr>
                <w:rFonts w:ascii="Arial" w:hAnsi="Arial" w:cs="Arial"/>
                <w:b/>
                <w:color w:val="000000" w:themeColor="text1"/>
              </w:rPr>
            </w:pPr>
            <w:r>
              <w:rPr>
                <w:rFonts w:ascii="Arial" w:hAnsi="Arial" w:cs="Arial"/>
                <w:b/>
                <w:color w:val="000000" w:themeColor="text1"/>
              </w:rPr>
              <w:t xml:space="preserve">5. Recommendation </w:t>
            </w:r>
          </w:p>
          <w:p w:rsidR="00356FDC" w:rsidRDefault="00356FDC">
            <w:pPr>
              <w:spacing w:after="240"/>
              <w:rPr>
                <w:rFonts w:ascii="Arial" w:hAnsi="Arial" w:cs="Arial"/>
                <w:color w:val="000000" w:themeColor="text1"/>
              </w:rPr>
            </w:pPr>
            <w:r>
              <w:rPr>
                <w:rFonts w:ascii="Arial" w:hAnsi="Arial" w:cs="Arial"/>
                <w:color w:val="000000" w:themeColor="text1"/>
              </w:rPr>
              <w:t>5.1 Refuse planning permission.</w:t>
            </w:r>
          </w:p>
          <w:p w:rsidR="00356FDC" w:rsidRDefault="00356FDC">
            <w:pPr>
              <w:spacing w:after="240"/>
              <w:rPr>
                <w:rFonts w:ascii="Arial" w:hAnsi="Arial" w:cs="Arial"/>
                <w:color w:val="FFFFFF"/>
                <w:highlight w:val="darkBlue"/>
              </w:rPr>
            </w:pPr>
          </w:p>
        </w:tc>
      </w:tr>
    </w:tbl>
    <w:p w:rsidR="00356FDC" w:rsidRDefault="00356FDC" w:rsidP="00356FDC"/>
    <w:p w:rsidR="00D5732F" w:rsidRDefault="00D5732F"/>
    <w:sectPr w:rsidR="00D573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86858"/>
    <w:multiLevelType w:val="hybridMultilevel"/>
    <w:tmpl w:val="931401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608F0BB8"/>
    <w:multiLevelType w:val="multilevel"/>
    <w:tmpl w:val="AA447548"/>
    <w:lvl w:ilvl="0">
      <w:start w:val="2"/>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440" w:hanging="108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800" w:hanging="144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2160" w:hanging="1800"/>
      </w:pPr>
      <w:rPr>
        <w:b w:val="0"/>
      </w:rPr>
    </w:lvl>
    <w:lvl w:ilvl="8">
      <w:start w:val="1"/>
      <w:numFmt w:val="decimal"/>
      <w:isLgl/>
      <w:lvlText w:val="%1.%2.%3.%4.%5.%6.%7.%8.%9"/>
      <w:lvlJc w:val="left"/>
      <w:pPr>
        <w:ind w:left="2160" w:hanging="1800"/>
      </w:pPr>
      <w:rPr>
        <w:b w:val="0"/>
      </w:r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FDC"/>
    <w:rsid w:val="00116547"/>
    <w:rsid w:val="00356FDC"/>
    <w:rsid w:val="00451EFE"/>
    <w:rsid w:val="004C2519"/>
    <w:rsid w:val="00621569"/>
    <w:rsid w:val="00B8097C"/>
    <w:rsid w:val="00C84AFE"/>
    <w:rsid w:val="00D5732F"/>
    <w:rsid w:val="00FD1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22E4E11D"/>
  <w15:chartTrackingRefBased/>
  <w15:docId w15:val="{59289042-FDFE-45F5-ADA7-5321CA933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FD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56FDC"/>
    <w:pPr>
      <w:keepNext/>
      <w:outlineLvl w:val="0"/>
    </w:pPr>
    <w:rPr>
      <w:rFonts w:ascii="Arial" w:hAnsi="Arial"/>
      <w:szCs w:val="20"/>
    </w:rPr>
  </w:style>
  <w:style w:type="paragraph" w:styleId="Heading2">
    <w:name w:val="heading 2"/>
    <w:basedOn w:val="Normal"/>
    <w:next w:val="Normal"/>
    <w:link w:val="Heading2Char"/>
    <w:semiHidden/>
    <w:unhideWhenUsed/>
    <w:qFormat/>
    <w:rsid w:val="00356FDC"/>
    <w:pPr>
      <w:keepNext/>
      <w:outlineLvl w:val="1"/>
    </w:pPr>
    <w:rPr>
      <w:rFonts w:ascii="Arial" w:hAnsi="Arial"/>
      <w:b/>
      <w:szCs w:val="20"/>
    </w:rPr>
  </w:style>
  <w:style w:type="paragraph" w:styleId="Heading3">
    <w:name w:val="heading 3"/>
    <w:basedOn w:val="Normal"/>
    <w:next w:val="Normal"/>
    <w:link w:val="Heading3Char"/>
    <w:semiHidden/>
    <w:unhideWhenUsed/>
    <w:qFormat/>
    <w:rsid w:val="00356FDC"/>
    <w:pPr>
      <w:keepNext/>
      <w:outlineLvl w:val="2"/>
    </w:pPr>
    <w:rPr>
      <w:rFonts w:ascii="Comic Sans MS" w:hAnsi="Comic Sans MS" w:cs="Arial"/>
      <w:b/>
      <w:bCs/>
      <w:sz w:val="20"/>
    </w:rPr>
  </w:style>
  <w:style w:type="paragraph" w:styleId="Heading4">
    <w:name w:val="heading 4"/>
    <w:basedOn w:val="Normal"/>
    <w:next w:val="Normal"/>
    <w:link w:val="Heading4Char"/>
    <w:semiHidden/>
    <w:unhideWhenUsed/>
    <w:qFormat/>
    <w:rsid w:val="00356FDC"/>
    <w:pPr>
      <w:keepNext/>
      <w:jc w:val="center"/>
      <w:outlineLvl w:val="3"/>
    </w:pPr>
    <w:rPr>
      <w:rFonts w:ascii="Arial" w:hAnsi="Arial"/>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6FDC"/>
    <w:rPr>
      <w:rFonts w:ascii="Arial" w:eastAsia="Times New Roman" w:hAnsi="Arial" w:cs="Times New Roman"/>
      <w:sz w:val="24"/>
      <w:szCs w:val="20"/>
    </w:rPr>
  </w:style>
  <w:style w:type="character" w:customStyle="1" w:styleId="Heading2Char">
    <w:name w:val="Heading 2 Char"/>
    <w:basedOn w:val="DefaultParagraphFont"/>
    <w:link w:val="Heading2"/>
    <w:semiHidden/>
    <w:rsid w:val="00356FDC"/>
    <w:rPr>
      <w:rFonts w:ascii="Arial" w:eastAsia="Times New Roman" w:hAnsi="Arial" w:cs="Times New Roman"/>
      <w:b/>
      <w:sz w:val="24"/>
      <w:szCs w:val="20"/>
    </w:rPr>
  </w:style>
  <w:style w:type="character" w:customStyle="1" w:styleId="Heading3Char">
    <w:name w:val="Heading 3 Char"/>
    <w:basedOn w:val="DefaultParagraphFont"/>
    <w:link w:val="Heading3"/>
    <w:semiHidden/>
    <w:rsid w:val="00356FDC"/>
    <w:rPr>
      <w:rFonts w:ascii="Comic Sans MS" w:eastAsia="Times New Roman" w:hAnsi="Comic Sans MS" w:cs="Arial"/>
      <w:b/>
      <w:bCs/>
      <w:sz w:val="20"/>
      <w:szCs w:val="24"/>
    </w:rPr>
  </w:style>
  <w:style w:type="character" w:customStyle="1" w:styleId="Heading4Char">
    <w:name w:val="Heading 4 Char"/>
    <w:basedOn w:val="DefaultParagraphFont"/>
    <w:link w:val="Heading4"/>
    <w:semiHidden/>
    <w:rsid w:val="00356FDC"/>
    <w:rPr>
      <w:rFonts w:ascii="Arial" w:eastAsia="Times New Roman" w:hAnsi="Arial"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67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Fieldsend, Sofie</dc:creator>
  <cp:keywords/>
  <dc:description/>
  <cp:lastModifiedBy>Fieldsend, Sofie</cp:lastModifiedBy>
  <cp:revision>3</cp:revision>
  <dcterms:created xsi:type="dcterms:W3CDTF">2017-09-05T11:17:00Z</dcterms:created>
  <dcterms:modified xsi:type="dcterms:W3CDTF">2017-09-05T11:32:00Z</dcterms:modified>
</cp:coreProperties>
</file>