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B6" w:rsidRPr="003D3C2F" w:rsidRDefault="00247DB6" w:rsidP="003D3C2F">
      <w:pPr>
        <w:jc w:val="right"/>
        <w:rPr>
          <w:color w:val="auto"/>
          <w:sz w:val="44"/>
          <w:szCs w:val="44"/>
        </w:rPr>
      </w:pPr>
      <w:bookmarkStart w:id="0" w:name="OLE_LINK1"/>
      <w:bookmarkStart w:id="1" w:name="OLE_LINK2"/>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3D3C2F" w:rsidP="003D3C2F">
      <w:pPr>
        <w:jc w:val="right"/>
        <w:rPr>
          <w:color w:val="auto"/>
          <w:sz w:val="44"/>
          <w:szCs w:val="44"/>
        </w:rPr>
      </w:pPr>
      <w:r w:rsidRPr="003D3C2F">
        <w:rPr>
          <w:color w:val="auto"/>
          <w:sz w:val="44"/>
          <w:szCs w:val="44"/>
        </w:rPr>
        <w:t>Design and Access Statement</w:t>
      </w:r>
    </w:p>
    <w:p w:rsidR="00A21A55" w:rsidRDefault="00A21A55" w:rsidP="003D3C2F">
      <w:pPr>
        <w:jc w:val="right"/>
        <w:rPr>
          <w:color w:val="auto"/>
          <w:sz w:val="44"/>
          <w:szCs w:val="44"/>
        </w:rPr>
      </w:pPr>
    </w:p>
    <w:p w:rsidR="003D3C2F" w:rsidRPr="003D3C2F" w:rsidRDefault="003D3C2F" w:rsidP="003D3C2F">
      <w:pPr>
        <w:jc w:val="right"/>
        <w:rPr>
          <w:color w:val="auto"/>
          <w:sz w:val="44"/>
          <w:szCs w:val="44"/>
        </w:rPr>
      </w:pPr>
    </w:p>
    <w:p w:rsidR="00247DB6" w:rsidRPr="003D3C2F" w:rsidRDefault="00247DB6" w:rsidP="003D3C2F">
      <w:pPr>
        <w:jc w:val="right"/>
        <w:rPr>
          <w:color w:val="auto"/>
          <w:sz w:val="44"/>
          <w:szCs w:val="44"/>
        </w:rPr>
      </w:pPr>
    </w:p>
    <w:p w:rsidR="00247DB6" w:rsidRPr="003D3C2F" w:rsidRDefault="00247DB6" w:rsidP="003D3C2F">
      <w:pPr>
        <w:jc w:val="right"/>
        <w:rPr>
          <w:color w:val="auto"/>
        </w:rPr>
      </w:pPr>
    </w:p>
    <w:p w:rsidR="00A21A55" w:rsidRPr="003D3C2F" w:rsidRDefault="003D3C2F" w:rsidP="003D3C2F">
      <w:pPr>
        <w:jc w:val="right"/>
        <w:rPr>
          <w:color w:val="auto"/>
          <w:sz w:val="24"/>
          <w:szCs w:val="24"/>
        </w:rPr>
      </w:pPr>
      <w:r w:rsidRPr="003D3C2F">
        <w:rPr>
          <w:color w:val="auto"/>
          <w:sz w:val="24"/>
          <w:szCs w:val="24"/>
        </w:rPr>
        <w:t>180 Arlington Road, Camden</w:t>
      </w:r>
    </w:p>
    <w:bookmarkEnd w:id="0"/>
    <w:bookmarkEnd w:id="1"/>
    <w:p w:rsidR="00247DB6" w:rsidRPr="003D3C2F" w:rsidRDefault="00247DB6" w:rsidP="003D3C2F">
      <w:pPr>
        <w:jc w:val="right"/>
        <w:rPr>
          <w:color w:val="auto"/>
          <w:sz w:val="24"/>
          <w:szCs w:val="24"/>
        </w:rPr>
      </w:pPr>
    </w:p>
    <w:p w:rsidR="00247DB6" w:rsidRPr="003D3C2F" w:rsidRDefault="00247DB6" w:rsidP="003D3C2F">
      <w:pPr>
        <w:jc w:val="right"/>
        <w:rPr>
          <w:color w:val="auto"/>
          <w:sz w:val="24"/>
          <w:szCs w:val="24"/>
        </w:rPr>
      </w:pPr>
    </w:p>
    <w:p w:rsidR="00247DB6" w:rsidRPr="003D3C2F" w:rsidRDefault="00247DB6" w:rsidP="003D3C2F">
      <w:pPr>
        <w:jc w:val="right"/>
        <w:rPr>
          <w:color w:val="auto"/>
          <w:sz w:val="24"/>
          <w:szCs w:val="24"/>
        </w:rPr>
      </w:pPr>
    </w:p>
    <w:p w:rsidR="003D3C2F" w:rsidRPr="003D3C2F" w:rsidRDefault="003D3C2F" w:rsidP="003D3C2F">
      <w:pPr>
        <w:jc w:val="right"/>
        <w:rPr>
          <w:color w:val="auto"/>
          <w:sz w:val="24"/>
          <w:szCs w:val="24"/>
        </w:rPr>
      </w:pPr>
    </w:p>
    <w:p w:rsidR="00247DB6" w:rsidRPr="003D3C2F" w:rsidRDefault="003D3C2F" w:rsidP="003D3C2F">
      <w:pPr>
        <w:jc w:val="right"/>
        <w:rPr>
          <w:color w:val="auto"/>
          <w:sz w:val="24"/>
          <w:szCs w:val="24"/>
        </w:rPr>
      </w:pPr>
      <w:r w:rsidRPr="003D3C2F">
        <w:rPr>
          <w:color w:val="auto"/>
          <w:sz w:val="24"/>
          <w:szCs w:val="24"/>
        </w:rPr>
        <w:t>April 2017</w:t>
      </w:r>
    </w:p>
    <w:p w:rsidR="00247DB6" w:rsidRPr="003D3C2F" w:rsidRDefault="00247DB6" w:rsidP="003D3C2F">
      <w:pPr>
        <w:jc w:val="right"/>
        <w:rPr>
          <w:color w:val="auto"/>
          <w:sz w:val="24"/>
          <w:szCs w:val="24"/>
        </w:rPr>
      </w:pPr>
    </w:p>
    <w:p w:rsidR="00247DB6" w:rsidRPr="003D3C2F" w:rsidRDefault="00247DB6" w:rsidP="003D3C2F">
      <w:pPr>
        <w:jc w:val="right"/>
        <w:rPr>
          <w:color w:val="auto"/>
          <w:sz w:val="24"/>
          <w:szCs w:val="24"/>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pPr>
    </w:p>
    <w:p w:rsidR="00247DB6" w:rsidRPr="003D3C2F" w:rsidRDefault="00247DB6" w:rsidP="003D3C2F">
      <w:pPr>
        <w:jc w:val="right"/>
        <w:rPr>
          <w:color w:val="auto"/>
        </w:rPr>
        <w:sectPr w:rsidR="00247DB6" w:rsidRPr="003D3C2F">
          <w:headerReference w:type="default" r:id="rId8"/>
          <w:footerReference w:type="default" r:id="rId9"/>
          <w:pgSz w:w="11907" w:h="16840" w:code="9"/>
          <w:pgMar w:top="1418" w:right="1247" w:bottom="1418" w:left="1247" w:header="709" w:footer="709" w:gutter="0"/>
          <w:pgNumType w:start="1"/>
          <w:cols w:space="708"/>
          <w:docGrid w:linePitch="360"/>
        </w:sectPr>
      </w:pPr>
    </w:p>
    <w:p w:rsidR="00247DB6" w:rsidRPr="003D3C2F" w:rsidRDefault="00247DB6" w:rsidP="003D3C2F">
      <w:pPr>
        <w:jc w:val="center"/>
        <w:rPr>
          <w:color w:val="auto"/>
        </w:rPr>
      </w:pPr>
    </w:p>
    <w:p w:rsidR="00247DB6" w:rsidRPr="003D3C2F" w:rsidRDefault="00247DB6" w:rsidP="003D3C2F">
      <w:pPr>
        <w:jc w:val="center"/>
        <w:rPr>
          <w:color w:val="auto"/>
        </w:rPr>
      </w:pPr>
    </w:p>
    <w:p w:rsidR="00247DB6" w:rsidRPr="003D3C2F" w:rsidRDefault="00247DB6" w:rsidP="003D3C2F">
      <w:pPr>
        <w:jc w:val="center"/>
        <w:rPr>
          <w:color w:val="auto"/>
        </w:rPr>
      </w:pPr>
    </w:p>
    <w:p w:rsidR="00247DB6" w:rsidRPr="003D3C2F" w:rsidRDefault="00247DB6" w:rsidP="003D3C2F">
      <w:pPr>
        <w:jc w:val="center"/>
        <w:rPr>
          <w:color w:val="auto"/>
        </w:rPr>
      </w:pPr>
    </w:p>
    <w:p w:rsidR="00247DB6" w:rsidRPr="003D3C2F" w:rsidRDefault="00247DB6" w:rsidP="003D3C2F">
      <w:pPr>
        <w:jc w:val="center"/>
        <w:rPr>
          <w:color w:val="auto"/>
        </w:rPr>
      </w:pPr>
    </w:p>
    <w:p w:rsidR="00247DB6" w:rsidRPr="003D3C2F" w:rsidRDefault="00247DB6" w:rsidP="003D3C2F">
      <w:pPr>
        <w:jc w:val="center"/>
        <w:rPr>
          <w:color w:val="auto"/>
        </w:rPr>
      </w:pPr>
    </w:p>
    <w:p w:rsidR="00A21A55" w:rsidRPr="003D3C2F" w:rsidRDefault="00A21A55" w:rsidP="003D3C2F">
      <w:pPr>
        <w:jc w:val="center"/>
        <w:rPr>
          <w:color w:val="auto"/>
        </w:rPr>
      </w:pPr>
    </w:p>
    <w:p w:rsidR="00A21A55" w:rsidRPr="003D3C2F" w:rsidRDefault="00A21A55" w:rsidP="003D3C2F">
      <w:pPr>
        <w:jc w:val="center"/>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Cs/>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Cs/>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Cs/>
          <w:color w:val="auto"/>
        </w:rPr>
      </w:pPr>
    </w:p>
    <w:p w:rsidR="00247DB6" w:rsidRPr="003D3C2F" w:rsidRDefault="003D3C2F" w:rsidP="003D3C2F">
      <w:pPr>
        <w:jc w:val="center"/>
        <w:rPr>
          <w:b/>
          <w:color w:val="auto"/>
        </w:rPr>
      </w:pPr>
      <w:r w:rsidRPr="003D3C2F">
        <w:rPr>
          <w:b/>
          <w:color w:val="auto"/>
        </w:rPr>
        <w:t>Design and Access Statement</w:t>
      </w:r>
    </w:p>
    <w:p w:rsidR="00247DB6" w:rsidRPr="003D3C2F" w:rsidRDefault="00247DB6" w:rsidP="003D3C2F">
      <w:pPr>
        <w:jc w:val="center"/>
        <w:rPr>
          <w:b/>
          <w:color w:val="auto"/>
        </w:rPr>
      </w:pPr>
    </w:p>
    <w:p w:rsidR="00247DB6" w:rsidRPr="003D3C2F" w:rsidRDefault="003D3C2F" w:rsidP="003D3C2F">
      <w:pPr>
        <w:jc w:val="center"/>
        <w:rPr>
          <w:b/>
          <w:color w:val="auto"/>
        </w:rPr>
      </w:pPr>
      <w:r w:rsidRPr="003D3C2F">
        <w:rPr>
          <w:b/>
          <w:color w:val="auto"/>
        </w:rPr>
        <w:t>180 Arlington Road, Camden</w:t>
      </w: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
          <w:bCs/>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
          <w:bCs/>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jc w:val="center"/>
        <w:rPr>
          <w:b/>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890BFB" w:rsidRPr="003D3C2F" w:rsidRDefault="00890BFB" w:rsidP="003D3C2F">
      <w:pPr>
        <w:ind w:left="737" w:hanging="737"/>
        <w:rPr>
          <w:color w:val="auto"/>
        </w:rPr>
      </w:pPr>
    </w:p>
    <w:tbl>
      <w:tblPr>
        <w:tblW w:w="5892"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730"/>
        <w:gridCol w:w="2036"/>
        <w:gridCol w:w="2126"/>
      </w:tblGrid>
      <w:tr w:rsidR="004447CE" w:rsidRPr="003D3C2F" w:rsidTr="004447CE">
        <w:trPr>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Project Ref:</w:t>
            </w:r>
          </w:p>
        </w:tc>
        <w:tc>
          <w:tcPr>
            <w:tcW w:w="2036" w:type="dxa"/>
            <w:shd w:val="clear" w:color="auto" w:fill="auto"/>
          </w:tcPr>
          <w:p w:rsidR="004447CE" w:rsidRPr="003D3C2F" w:rsidRDefault="004447CE" w:rsidP="004447CE">
            <w:pPr>
              <w:autoSpaceDE w:val="0"/>
              <w:autoSpaceDN w:val="0"/>
              <w:adjustRightInd w:val="0"/>
              <w:spacing w:before="60" w:after="60"/>
              <w:jc w:val="left"/>
              <w:rPr>
                <w:color w:val="auto"/>
                <w:sz w:val="18"/>
              </w:rPr>
            </w:pPr>
            <w:r w:rsidRPr="003D3C2F">
              <w:rPr>
                <w:color w:val="auto"/>
                <w:sz w:val="18"/>
              </w:rPr>
              <w:t>27479/A5/P1/PD/SO</w:t>
            </w:r>
          </w:p>
        </w:tc>
        <w:tc>
          <w:tcPr>
            <w:tcW w:w="2126" w:type="dxa"/>
            <w:shd w:val="clear" w:color="auto" w:fill="auto"/>
          </w:tcPr>
          <w:p w:rsidR="004447CE" w:rsidRPr="00BA6DCA" w:rsidRDefault="004447CE" w:rsidP="004447CE">
            <w:r w:rsidRPr="004447CE">
              <w:rPr>
                <w:color w:val="auto"/>
                <w:sz w:val="18"/>
              </w:rPr>
              <w:t>27479/A5/P1/PD/SO</w:t>
            </w:r>
          </w:p>
        </w:tc>
      </w:tr>
      <w:tr w:rsidR="004447CE" w:rsidRPr="003D3C2F" w:rsidTr="004447CE">
        <w:trPr>
          <w:trHeight w:val="226"/>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Status:</w:t>
            </w:r>
          </w:p>
        </w:tc>
        <w:tc>
          <w:tcPr>
            <w:tcW w:w="2036" w:type="dxa"/>
            <w:shd w:val="clear" w:color="auto" w:fill="auto"/>
          </w:tcPr>
          <w:p w:rsidR="004447CE" w:rsidRPr="003D3C2F" w:rsidRDefault="004447CE" w:rsidP="004447CE">
            <w:pPr>
              <w:autoSpaceDE w:val="0"/>
              <w:autoSpaceDN w:val="0"/>
              <w:adjustRightInd w:val="0"/>
              <w:spacing w:before="60" w:after="60"/>
              <w:ind w:left="737" w:hanging="737"/>
              <w:jc w:val="left"/>
              <w:rPr>
                <w:color w:val="auto"/>
                <w:sz w:val="18"/>
              </w:rPr>
            </w:pPr>
            <w:r w:rsidRPr="003D3C2F">
              <w:rPr>
                <w:color w:val="auto"/>
                <w:sz w:val="18"/>
              </w:rPr>
              <w:t>Draft</w:t>
            </w:r>
          </w:p>
        </w:tc>
        <w:tc>
          <w:tcPr>
            <w:tcW w:w="2126" w:type="dxa"/>
            <w:shd w:val="clear" w:color="auto" w:fill="auto"/>
          </w:tcPr>
          <w:p w:rsidR="004447CE" w:rsidRPr="00BA6DCA" w:rsidRDefault="004447CE" w:rsidP="004447CE">
            <w:r>
              <w:t>Final</w:t>
            </w:r>
          </w:p>
        </w:tc>
      </w:tr>
      <w:tr w:rsidR="004447CE" w:rsidRPr="003D3C2F" w:rsidTr="004447CE">
        <w:trPr>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Issue/Rev:</w:t>
            </w:r>
          </w:p>
        </w:tc>
        <w:tc>
          <w:tcPr>
            <w:tcW w:w="2036" w:type="dxa"/>
            <w:shd w:val="clear" w:color="auto" w:fill="auto"/>
          </w:tcPr>
          <w:p w:rsidR="004447CE" w:rsidRPr="003D3C2F" w:rsidRDefault="004447CE" w:rsidP="004447CE">
            <w:pPr>
              <w:autoSpaceDE w:val="0"/>
              <w:autoSpaceDN w:val="0"/>
              <w:adjustRightInd w:val="0"/>
              <w:spacing w:before="60" w:after="60"/>
              <w:ind w:left="737" w:hanging="737"/>
              <w:jc w:val="left"/>
              <w:rPr>
                <w:color w:val="auto"/>
                <w:sz w:val="18"/>
              </w:rPr>
            </w:pPr>
            <w:r w:rsidRPr="003D3C2F">
              <w:rPr>
                <w:color w:val="auto"/>
                <w:sz w:val="18"/>
              </w:rPr>
              <w:t>01</w:t>
            </w:r>
          </w:p>
        </w:tc>
        <w:tc>
          <w:tcPr>
            <w:tcW w:w="2126" w:type="dxa"/>
            <w:shd w:val="clear" w:color="auto" w:fill="auto"/>
          </w:tcPr>
          <w:p w:rsidR="004447CE" w:rsidRPr="00BA6DCA" w:rsidRDefault="004447CE" w:rsidP="004447CE">
            <w:r w:rsidRPr="00BA6DCA">
              <w:t>01</w:t>
            </w:r>
          </w:p>
        </w:tc>
      </w:tr>
      <w:tr w:rsidR="004447CE" w:rsidRPr="003D3C2F" w:rsidTr="004447CE">
        <w:trPr>
          <w:jc w:val="center"/>
        </w:trPr>
        <w:tc>
          <w:tcPr>
            <w:tcW w:w="1730" w:type="dxa"/>
            <w:tcBorders>
              <w:bottom w:val="single" w:sz="4" w:space="0" w:color="333333"/>
            </w:tcBorders>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Date:</w:t>
            </w:r>
          </w:p>
        </w:tc>
        <w:tc>
          <w:tcPr>
            <w:tcW w:w="2036" w:type="dxa"/>
            <w:shd w:val="clear" w:color="auto" w:fill="auto"/>
          </w:tcPr>
          <w:p w:rsidR="004447CE" w:rsidRPr="003D3C2F" w:rsidRDefault="004447CE" w:rsidP="004447CE">
            <w:pPr>
              <w:autoSpaceDE w:val="0"/>
              <w:autoSpaceDN w:val="0"/>
              <w:adjustRightInd w:val="0"/>
              <w:spacing w:before="60" w:after="60"/>
              <w:ind w:left="737" w:hanging="737"/>
              <w:jc w:val="left"/>
              <w:rPr>
                <w:color w:val="auto"/>
                <w:sz w:val="18"/>
              </w:rPr>
            </w:pPr>
            <w:r w:rsidRPr="003D3C2F">
              <w:rPr>
                <w:color w:val="auto"/>
                <w:sz w:val="18"/>
              </w:rPr>
              <w:t>April 2017</w:t>
            </w:r>
          </w:p>
        </w:tc>
        <w:tc>
          <w:tcPr>
            <w:tcW w:w="2126" w:type="dxa"/>
            <w:shd w:val="clear" w:color="auto" w:fill="auto"/>
          </w:tcPr>
          <w:p w:rsidR="004447CE" w:rsidRPr="00BA6DCA" w:rsidRDefault="004447CE" w:rsidP="004447CE">
            <w:r w:rsidRPr="00BA6DCA">
              <w:t>April 2017</w:t>
            </w:r>
          </w:p>
        </w:tc>
      </w:tr>
      <w:tr w:rsidR="004447CE" w:rsidRPr="003D3C2F" w:rsidTr="004447CE">
        <w:trPr>
          <w:trHeight w:val="193"/>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Prepared by:</w:t>
            </w:r>
          </w:p>
        </w:tc>
        <w:tc>
          <w:tcPr>
            <w:tcW w:w="2036" w:type="dxa"/>
          </w:tcPr>
          <w:p w:rsidR="004447CE" w:rsidRPr="003D3C2F" w:rsidRDefault="004447CE" w:rsidP="004447CE">
            <w:pPr>
              <w:autoSpaceDE w:val="0"/>
              <w:autoSpaceDN w:val="0"/>
              <w:adjustRightInd w:val="0"/>
              <w:spacing w:before="60" w:after="60"/>
              <w:ind w:left="737" w:hanging="737"/>
              <w:jc w:val="left"/>
              <w:rPr>
                <w:color w:val="auto"/>
                <w:sz w:val="18"/>
              </w:rPr>
            </w:pPr>
            <w:r w:rsidRPr="003D3C2F">
              <w:rPr>
                <w:color w:val="auto"/>
                <w:sz w:val="18"/>
              </w:rPr>
              <w:t>Paul Derry</w:t>
            </w:r>
          </w:p>
        </w:tc>
        <w:tc>
          <w:tcPr>
            <w:tcW w:w="2126" w:type="dxa"/>
          </w:tcPr>
          <w:p w:rsidR="004447CE" w:rsidRPr="00BA6DCA" w:rsidRDefault="004447CE" w:rsidP="004447CE">
            <w:r w:rsidRPr="00BA6DCA">
              <w:t>Paul Derry</w:t>
            </w:r>
          </w:p>
        </w:tc>
      </w:tr>
      <w:tr w:rsidR="004447CE" w:rsidRPr="003D3C2F" w:rsidTr="004447CE">
        <w:trPr>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Checked by:</w:t>
            </w:r>
          </w:p>
        </w:tc>
        <w:tc>
          <w:tcPr>
            <w:tcW w:w="2036" w:type="dxa"/>
          </w:tcPr>
          <w:p w:rsidR="004447CE" w:rsidRPr="003D3C2F" w:rsidRDefault="004447CE" w:rsidP="004447CE">
            <w:pPr>
              <w:autoSpaceDE w:val="0"/>
              <w:autoSpaceDN w:val="0"/>
              <w:adjustRightInd w:val="0"/>
              <w:spacing w:before="60" w:after="60"/>
              <w:jc w:val="left"/>
              <w:rPr>
                <w:color w:val="auto"/>
                <w:sz w:val="18"/>
              </w:rPr>
            </w:pPr>
            <w:r>
              <w:rPr>
                <w:color w:val="auto"/>
                <w:sz w:val="18"/>
              </w:rPr>
              <w:t>Nichola Traverse-Healy</w:t>
            </w:r>
          </w:p>
        </w:tc>
        <w:tc>
          <w:tcPr>
            <w:tcW w:w="2126" w:type="dxa"/>
          </w:tcPr>
          <w:p w:rsidR="004447CE" w:rsidRPr="00BA6DCA" w:rsidRDefault="004447CE" w:rsidP="004447CE">
            <w:r w:rsidRPr="00BA6DCA">
              <w:t>Nichola Traverse-Healy</w:t>
            </w:r>
          </w:p>
        </w:tc>
      </w:tr>
      <w:tr w:rsidR="004447CE" w:rsidRPr="003D3C2F" w:rsidTr="004447CE">
        <w:trPr>
          <w:jc w:val="center"/>
        </w:trPr>
        <w:tc>
          <w:tcPr>
            <w:tcW w:w="1730" w:type="dxa"/>
            <w:shd w:val="clear" w:color="auto" w:fill="BFBFBF" w:themeFill="background1" w:themeFillShade="BF"/>
          </w:tcPr>
          <w:p w:rsidR="004447CE" w:rsidRPr="003D3C2F" w:rsidRDefault="004447CE" w:rsidP="004447CE">
            <w:pPr>
              <w:autoSpaceDE w:val="0"/>
              <w:autoSpaceDN w:val="0"/>
              <w:adjustRightInd w:val="0"/>
              <w:spacing w:before="60" w:after="60"/>
              <w:jc w:val="left"/>
              <w:rPr>
                <w:b/>
                <w:color w:val="auto"/>
                <w:sz w:val="18"/>
              </w:rPr>
            </w:pPr>
            <w:r w:rsidRPr="003D3C2F">
              <w:rPr>
                <w:b/>
                <w:color w:val="auto"/>
                <w:sz w:val="18"/>
              </w:rPr>
              <w:t>Authorised by:</w:t>
            </w:r>
          </w:p>
        </w:tc>
        <w:tc>
          <w:tcPr>
            <w:tcW w:w="2036" w:type="dxa"/>
          </w:tcPr>
          <w:p w:rsidR="004447CE" w:rsidRPr="003D3C2F" w:rsidRDefault="004447CE" w:rsidP="004447CE">
            <w:pPr>
              <w:autoSpaceDE w:val="0"/>
              <w:autoSpaceDN w:val="0"/>
              <w:adjustRightInd w:val="0"/>
              <w:spacing w:before="60" w:after="60"/>
              <w:jc w:val="left"/>
              <w:rPr>
                <w:color w:val="auto"/>
                <w:sz w:val="18"/>
              </w:rPr>
            </w:pPr>
            <w:r>
              <w:rPr>
                <w:color w:val="auto"/>
                <w:sz w:val="18"/>
              </w:rPr>
              <w:t>Gareth Wilson</w:t>
            </w:r>
          </w:p>
        </w:tc>
        <w:tc>
          <w:tcPr>
            <w:tcW w:w="2126" w:type="dxa"/>
          </w:tcPr>
          <w:p w:rsidR="004447CE" w:rsidRDefault="004447CE" w:rsidP="004447CE">
            <w:r w:rsidRPr="00BA6DCA">
              <w:t>Gareth Wilson</w:t>
            </w:r>
          </w:p>
        </w:tc>
      </w:tr>
    </w:tbl>
    <w:p w:rsidR="00890BFB" w:rsidRPr="003D3C2F" w:rsidRDefault="00890BFB" w:rsidP="003D3C2F">
      <w:pPr>
        <w:ind w:left="737" w:hanging="737"/>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rPr>
          <w:color w:val="auto"/>
        </w:rPr>
      </w:pPr>
      <w:r w:rsidRPr="003D3C2F">
        <w:rPr>
          <w:color w:val="auto"/>
        </w:rPr>
        <w:t>Barton Willmore</w:t>
      </w:r>
    </w:p>
    <w:p w:rsidR="00247DB6" w:rsidRPr="003D3C2F" w:rsidRDefault="004878A2" w:rsidP="003D3C2F">
      <w:pPr>
        <w:rPr>
          <w:color w:val="auto"/>
        </w:rPr>
      </w:pPr>
      <w:r w:rsidRPr="003D3C2F">
        <w:rPr>
          <w:color w:val="auto"/>
        </w:rPr>
        <w:t>St Andrews House</w:t>
      </w:r>
    </w:p>
    <w:p w:rsidR="00247DB6" w:rsidRPr="003D3C2F" w:rsidRDefault="004878A2" w:rsidP="003D3C2F">
      <w:pPr>
        <w:rPr>
          <w:color w:val="auto"/>
        </w:rPr>
      </w:pPr>
      <w:r w:rsidRPr="003D3C2F">
        <w:rPr>
          <w:color w:val="auto"/>
        </w:rPr>
        <w:t>St Andrews Road</w:t>
      </w:r>
    </w:p>
    <w:p w:rsidR="00247DB6" w:rsidRPr="003D3C2F" w:rsidRDefault="00247DB6" w:rsidP="003D3C2F">
      <w:pPr>
        <w:rPr>
          <w:color w:val="auto"/>
        </w:rPr>
      </w:pPr>
      <w:r w:rsidRPr="003D3C2F">
        <w:rPr>
          <w:color w:val="auto"/>
        </w:rPr>
        <w:t>Cambridge</w:t>
      </w:r>
    </w:p>
    <w:p w:rsidR="00247DB6" w:rsidRPr="003D3C2F" w:rsidRDefault="00247DB6" w:rsidP="003D3C2F">
      <w:pPr>
        <w:rPr>
          <w:color w:val="auto"/>
        </w:rPr>
      </w:pPr>
      <w:r w:rsidRPr="003D3C2F">
        <w:rPr>
          <w:color w:val="auto"/>
        </w:rPr>
        <w:t>CB4 1WB</w:t>
      </w:r>
    </w:p>
    <w:p w:rsidR="00247DB6" w:rsidRPr="003D3C2F" w:rsidRDefault="00247DB6" w:rsidP="003D3C2F">
      <w:pPr>
        <w:rPr>
          <w:color w:val="auto"/>
        </w:rPr>
      </w:pPr>
    </w:p>
    <w:p w:rsidR="00247DB6" w:rsidRPr="003D3C2F" w:rsidRDefault="009C3551" w:rsidP="003D3C2F">
      <w:pPr>
        <w:rPr>
          <w:color w:val="auto"/>
        </w:rPr>
      </w:pPr>
      <w:r w:rsidRPr="003D3C2F">
        <w:rPr>
          <w:color w:val="auto"/>
        </w:rPr>
        <w:t>Tel:</w:t>
      </w:r>
      <w:r w:rsidRPr="003D3C2F">
        <w:rPr>
          <w:color w:val="auto"/>
        </w:rPr>
        <w:tab/>
        <w:t>01223 345 555</w:t>
      </w:r>
      <w:r w:rsidRPr="003D3C2F">
        <w:rPr>
          <w:color w:val="auto"/>
        </w:rPr>
        <w:tab/>
      </w:r>
      <w:r w:rsidRPr="003D3C2F">
        <w:rPr>
          <w:color w:val="auto"/>
        </w:rPr>
        <w:tab/>
      </w:r>
      <w:r w:rsidRPr="003D3C2F">
        <w:rPr>
          <w:color w:val="auto"/>
        </w:rPr>
        <w:tab/>
      </w:r>
      <w:r w:rsidRPr="003D3C2F">
        <w:rPr>
          <w:color w:val="auto"/>
        </w:rPr>
        <w:tab/>
      </w:r>
      <w:r w:rsidRPr="003D3C2F">
        <w:rPr>
          <w:color w:val="auto"/>
        </w:rPr>
        <w:tab/>
        <w:t>Ref:</w:t>
      </w:r>
      <w:r w:rsidRPr="003D3C2F">
        <w:rPr>
          <w:color w:val="auto"/>
        </w:rPr>
        <w:tab/>
      </w:r>
      <w:r w:rsidRPr="003D3C2F">
        <w:rPr>
          <w:color w:val="auto"/>
        </w:rPr>
        <w:tab/>
      </w:r>
      <w:r w:rsidR="003D3C2F" w:rsidRPr="003D3C2F">
        <w:rPr>
          <w:color w:val="auto"/>
        </w:rPr>
        <w:t>27479</w:t>
      </w:r>
      <w:r w:rsidRPr="003D3C2F">
        <w:rPr>
          <w:color w:val="auto"/>
        </w:rPr>
        <w:t>/A5/</w:t>
      </w:r>
      <w:r w:rsidR="003D3C2F" w:rsidRPr="003D3C2F">
        <w:rPr>
          <w:color w:val="auto"/>
        </w:rPr>
        <w:t>P1</w:t>
      </w:r>
      <w:r w:rsidRPr="003D3C2F">
        <w:rPr>
          <w:color w:val="auto"/>
        </w:rPr>
        <w:t>/</w:t>
      </w:r>
      <w:r w:rsidR="003D3C2F" w:rsidRPr="003D3C2F">
        <w:rPr>
          <w:color w:val="auto"/>
        </w:rPr>
        <w:t>PD</w:t>
      </w:r>
      <w:r w:rsidR="00587198" w:rsidRPr="003D3C2F">
        <w:rPr>
          <w:color w:val="auto"/>
        </w:rPr>
        <w:t>/SO</w:t>
      </w:r>
    </w:p>
    <w:p w:rsidR="00247DB6" w:rsidRPr="003D3C2F" w:rsidRDefault="00EA311B" w:rsidP="003D3C2F">
      <w:pPr>
        <w:rPr>
          <w:color w:val="auto"/>
        </w:rPr>
      </w:pPr>
      <w:r w:rsidRPr="003D3C2F">
        <w:rPr>
          <w:color w:val="auto"/>
        </w:rPr>
        <w:tab/>
      </w:r>
      <w:r w:rsidRPr="003D3C2F">
        <w:rPr>
          <w:color w:val="auto"/>
        </w:rPr>
        <w:tab/>
      </w:r>
      <w:r w:rsidRPr="003D3C2F">
        <w:rPr>
          <w:color w:val="auto"/>
        </w:rPr>
        <w:tab/>
      </w:r>
      <w:r w:rsidR="00CA05D9" w:rsidRPr="003D3C2F">
        <w:rPr>
          <w:color w:val="auto"/>
        </w:rPr>
        <w:tab/>
      </w:r>
      <w:r w:rsidR="00CA05D9" w:rsidRPr="003D3C2F">
        <w:rPr>
          <w:color w:val="auto"/>
        </w:rPr>
        <w:tab/>
      </w:r>
      <w:r w:rsidR="00CA05D9" w:rsidRPr="003D3C2F">
        <w:rPr>
          <w:color w:val="auto"/>
        </w:rPr>
        <w:tab/>
      </w:r>
      <w:r w:rsidR="00CA05D9" w:rsidRPr="003D3C2F">
        <w:rPr>
          <w:color w:val="auto"/>
        </w:rPr>
        <w:tab/>
      </w:r>
      <w:r w:rsidR="00CA05D9" w:rsidRPr="003D3C2F">
        <w:rPr>
          <w:color w:val="auto"/>
        </w:rPr>
        <w:tab/>
        <w:t>File Ref</w:t>
      </w:r>
      <w:r w:rsidR="00247DB6" w:rsidRPr="003D3C2F">
        <w:rPr>
          <w:color w:val="auto"/>
        </w:rPr>
        <w:t>:</w:t>
      </w:r>
      <w:r w:rsidR="009C3551" w:rsidRPr="003D3C2F">
        <w:rPr>
          <w:color w:val="auto"/>
        </w:rPr>
        <w:tab/>
      </w:r>
      <w:r w:rsidR="003D3C2F" w:rsidRPr="003D3C2F">
        <w:rPr>
          <w:color w:val="auto"/>
        </w:rPr>
        <w:t>27479</w:t>
      </w:r>
      <w:r w:rsidR="009C3551" w:rsidRPr="003D3C2F">
        <w:rPr>
          <w:color w:val="auto"/>
        </w:rPr>
        <w:t>.</w:t>
      </w:r>
      <w:r w:rsidR="003D3C2F" w:rsidRPr="003D3C2F">
        <w:rPr>
          <w:color w:val="auto"/>
        </w:rPr>
        <w:t>P1</w:t>
      </w:r>
      <w:r w:rsidR="009C3551" w:rsidRPr="003D3C2F">
        <w:rPr>
          <w:color w:val="auto"/>
        </w:rPr>
        <w:t>.</w:t>
      </w:r>
      <w:r w:rsidR="003D3C2F" w:rsidRPr="003D3C2F">
        <w:rPr>
          <w:color w:val="auto"/>
        </w:rPr>
        <w:t>DAS</w:t>
      </w:r>
      <w:r w:rsidR="009C3551" w:rsidRPr="003D3C2F">
        <w:rPr>
          <w:color w:val="auto"/>
        </w:rPr>
        <w:t>.</w:t>
      </w:r>
      <w:r w:rsidR="003D3C2F" w:rsidRPr="003D3C2F">
        <w:rPr>
          <w:color w:val="auto"/>
        </w:rPr>
        <w:t>PD</w:t>
      </w:r>
    </w:p>
    <w:p w:rsidR="00247DB6" w:rsidRPr="003D3C2F" w:rsidRDefault="009C3551" w:rsidP="003D3C2F">
      <w:pPr>
        <w:rPr>
          <w:color w:val="auto"/>
        </w:rPr>
      </w:pPr>
      <w:r w:rsidRPr="003D3C2F">
        <w:rPr>
          <w:color w:val="auto"/>
        </w:rPr>
        <w:tab/>
      </w:r>
      <w:r w:rsidRPr="003D3C2F">
        <w:rPr>
          <w:color w:val="auto"/>
        </w:rPr>
        <w:tab/>
      </w:r>
      <w:r w:rsidRPr="003D3C2F">
        <w:rPr>
          <w:color w:val="auto"/>
        </w:rPr>
        <w:tab/>
      </w:r>
      <w:r w:rsidRPr="003D3C2F">
        <w:rPr>
          <w:color w:val="auto"/>
        </w:rPr>
        <w:tab/>
      </w:r>
      <w:r w:rsidRPr="003D3C2F">
        <w:rPr>
          <w:color w:val="auto"/>
        </w:rPr>
        <w:tab/>
      </w:r>
      <w:r w:rsidRPr="003D3C2F">
        <w:rPr>
          <w:color w:val="auto"/>
        </w:rPr>
        <w:tab/>
      </w:r>
      <w:r w:rsidRPr="003D3C2F">
        <w:rPr>
          <w:color w:val="auto"/>
        </w:rPr>
        <w:tab/>
      </w:r>
      <w:r w:rsidRPr="003D3C2F">
        <w:rPr>
          <w:color w:val="auto"/>
        </w:rPr>
        <w:tab/>
        <w:t>Date:</w:t>
      </w:r>
      <w:r w:rsidRPr="003D3C2F">
        <w:rPr>
          <w:color w:val="auto"/>
        </w:rPr>
        <w:tab/>
      </w:r>
      <w:r w:rsidRPr="003D3C2F">
        <w:rPr>
          <w:color w:val="auto"/>
        </w:rPr>
        <w:tab/>
      </w:r>
      <w:r w:rsidR="003D3C2F" w:rsidRPr="003D3C2F">
        <w:rPr>
          <w:color w:val="auto"/>
        </w:rPr>
        <w:t>April</w:t>
      </w:r>
      <w:r w:rsidR="00B32313" w:rsidRPr="003D3C2F">
        <w:rPr>
          <w:color w:val="auto"/>
        </w:rPr>
        <w:t xml:space="preserve"> 201</w:t>
      </w:r>
      <w:r w:rsidR="007B6C65" w:rsidRPr="003D3C2F">
        <w:rPr>
          <w:color w:val="auto"/>
        </w:rPr>
        <w:t>7</w:t>
      </w: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color w:val="auto"/>
        </w:rPr>
      </w:pPr>
    </w:p>
    <w:p w:rsidR="00247DB6" w:rsidRPr="003D3C2F" w:rsidRDefault="00247DB6" w:rsidP="003D3C2F">
      <w:pPr>
        <w:rPr>
          <w:b/>
          <w:color w:val="auto"/>
        </w:rPr>
      </w:pPr>
      <w:r w:rsidRPr="003D3C2F">
        <w:rPr>
          <w:b/>
          <w:color w:val="auto"/>
        </w:rPr>
        <w:t>COPYRIGHT</w:t>
      </w:r>
    </w:p>
    <w:p w:rsidR="00247DB6" w:rsidRPr="003D3C2F" w:rsidRDefault="00247DB6" w:rsidP="003D3C2F">
      <w:pPr>
        <w:rPr>
          <w:b/>
          <w:color w:val="auto"/>
        </w:rPr>
      </w:pPr>
    </w:p>
    <w:p w:rsidR="00247DB6" w:rsidRPr="003D3C2F" w:rsidRDefault="00247DB6" w:rsidP="003D3C2F">
      <w:pPr>
        <w:rPr>
          <w:b/>
          <w:color w:val="auto"/>
        </w:rPr>
      </w:pPr>
      <w:r w:rsidRPr="003D3C2F">
        <w:rPr>
          <w:b/>
          <w:color w:val="auto"/>
        </w:rPr>
        <w:t>The contents of this document must not be copied or reproduced in whole or in part without the written consent of Barton Willmore Planning LLP.</w:t>
      </w:r>
    </w:p>
    <w:p w:rsidR="00247DB6" w:rsidRPr="003D3C2F" w:rsidRDefault="00247DB6" w:rsidP="003D3C2F">
      <w:pPr>
        <w:rPr>
          <w:b/>
          <w:color w:val="auto"/>
        </w:r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rPr>
          <w:b/>
          <w:color w:val="auto"/>
        </w:rPr>
      </w:pPr>
      <w:r w:rsidRPr="003D3C2F">
        <w:rPr>
          <w:b/>
          <w:color w:val="auto"/>
        </w:rPr>
        <w:t>All Barton Willmore stationery is produced using recycled or FSC paper and vegetable oil based inks.</w:t>
      </w:r>
    </w:p>
    <w:p w:rsidR="001D7C16" w:rsidRDefault="001D7C16" w:rsidP="003D3C2F">
      <w:pPr>
        <w:tabs>
          <w:tab w:val="left" w:pos="720"/>
          <w:tab w:val="left" w:pos="1440"/>
          <w:tab w:val="left" w:pos="2160"/>
          <w:tab w:val="left" w:pos="2880"/>
          <w:tab w:val="left" w:pos="3600"/>
          <w:tab w:val="left" w:pos="4320"/>
          <w:tab w:val="left" w:pos="5040"/>
          <w:tab w:val="left" w:pos="5760"/>
        </w:tabs>
        <w:spacing w:line="360" w:lineRule="auto"/>
        <w:rPr>
          <w:color w:val="auto"/>
        </w:rPr>
        <w:sectPr w:rsidR="001D7C16">
          <w:headerReference w:type="default" r:id="rId10"/>
          <w:footerReference w:type="default" r:id="rId11"/>
          <w:pgSz w:w="11907" w:h="16840" w:code="9"/>
          <w:pgMar w:top="1418" w:right="1247" w:bottom="1418" w:left="1247" w:header="709" w:footer="709" w:gutter="0"/>
          <w:pgNumType w:start="1"/>
          <w:cols w:space="708"/>
          <w:docGrid w:linePitch="360"/>
        </w:sectPr>
      </w:pPr>
    </w:p>
    <w:p w:rsidR="00247DB6" w:rsidRPr="003D3C2F" w:rsidRDefault="00247DB6" w:rsidP="003D3C2F">
      <w:pPr>
        <w:tabs>
          <w:tab w:val="left" w:pos="720"/>
          <w:tab w:val="left" w:pos="1440"/>
          <w:tab w:val="left" w:pos="2160"/>
          <w:tab w:val="left" w:pos="2880"/>
          <w:tab w:val="left" w:pos="3600"/>
          <w:tab w:val="left" w:pos="4320"/>
          <w:tab w:val="left" w:pos="5040"/>
          <w:tab w:val="left" w:pos="5760"/>
        </w:tabs>
        <w:spacing w:line="360" w:lineRule="auto"/>
        <w:rPr>
          <w:color w:val="auto"/>
        </w:rPr>
        <w:sectPr w:rsidR="00247DB6" w:rsidRPr="003D3C2F" w:rsidSect="001D7C16">
          <w:type w:val="continuous"/>
          <w:pgSz w:w="11907" w:h="16840" w:code="9"/>
          <w:pgMar w:top="1418" w:right="1247" w:bottom="1418" w:left="1247" w:header="709" w:footer="709" w:gutter="0"/>
          <w:pgNumType w:start="1"/>
          <w:cols w:space="708"/>
          <w:docGrid w:linePitch="360"/>
        </w:sectPr>
      </w:pPr>
    </w:p>
    <w:p w:rsidR="003D3C2F" w:rsidRPr="003D3C2F" w:rsidRDefault="003D3C2F" w:rsidP="003D3C2F">
      <w:pPr>
        <w:pStyle w:val="ListParagraph"/>
        <w:numPr>
          <w:ilvl w:val="0"/>
          <w:numId w:val="11"/>
        </w:numPr>
        <w:spacing w:line="360" w:lineRule="auto"/>
        <w:ind w:left="709" w:hanging="709"/>
      </w:pPr>
      <w:r w:rsidRPr="003D3C2F">
        <w:lastRenderedPageBreak/>
        <w:t>This Design and Access Statement supports a planning application by Rank Group Gaming Division Limited for proposed external alterations to the existing building at 180 Arlington Road, Camden.</w:t>
      </w:r>
    </w:p>
    <w:p w:rsidR="003D3C2F" w:rsidRPr="003D3C2F" w:rsidRDefault="003D3C2F" w:rsidP="003D3C2F">
      <w:pPr>
        <w:spacing w:line="360" w:lineRule="auto"/>
      </w:pPr>
    </w:p>
    <w:p w:rsidR="003D3C2F" w:rsidRPr="003D3C2F" w:rsidRDefault="003D3C2F" w:rsidP="003D3C2F">
      <w:pPr>
        <w:spacing w:line="360" w:lineRule="auto"/>
        <w:ind w:left="1417" w:hanging="709"/>
        <w:rPr>
          <w:b/>
        </w:rPr>
      </w:pPr>
      <w:r w:rsidRPr="003D3C2F">
        <w:rPr>
          <w:b/>
        </w:rPr>
        <w:t xml:space="preserve">The Site </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application site is located at the junction between Arlington Road to the west and Inverness Street to the north. Inverness Street has restricted vehicular access at this point, with the market held at its eastern end. The building has a mixed dark brick exterior, with various flat roof sections. It had numerous openings, although the majority have either been filled or used as advertisement space. The Arlington Road elevation also has a steep roof hung with red tiles.</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main entrance to the building is to the southern side of the Arlington Road elevation, and consists of a glazed area set above the blue entrance doors. The doors are slightly recessed from the edge of the footpath.</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site is located is located within the Camden Town Conservation Area, and within the designated Town Centre area.</w:t>
      </w:r>
    </w:p>
    <w:p w:rsidR="003D3C2F" w:rsidRPr="003D3C2F" w:rsidRDefault="003D3C2F" w:rsidP="003D3C2F">
      <w:pPr>
        <w:spacing w:line="360" w:lineRule="auto"/>
      </w:pPr>
    </w:p>
    <w:p w:rsidR="003D3C2F" w:rsidRPr="003D3C2F" w:rsidRDefault="003D3C2F" w:rsidP="003D3C2F">
      <w:pPr>
        <w:spacing w:line="360" w:lineRule="auto"/>
        <w:ind w:left="1417" w:hanging="709"/>
        <w:rPr>
          <w:b/>
        </w:rPr>
      </w:pPr>
      <w:r w:rsidRPr="003D3C2F">
        <w:rPr>
          <w:b/>
        </w:rPr>
        <w:t>Proposed Alterations</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This application consists of a number of alterations to the exterior of the building, and these are listed below:</w:t>
      </w:r>
    </w:p>
    <w:p w:rsidR="003D3C2F" w:rsidRPr="003D3C2F" w:rsidRDefault="003D3C2F" w:rsidP="003D3C2F">
      <w:pPr>
        <w:spacing w:line="360" w:lineRule="auto"/>
      </w:pPr>
    </w:p>
    <w:p w:rsidR="003D3C2F" w:rsidRPr="003D3C2F" w:rsidRDefault="003D3C2F" w:rsidP="001D7C16">
      <w:pPr>
        <w:pStyle w:val="ListParagraph"/>
        <w:numPr>
          <w:ilvl w:val="0"/>
          <w:numId w:val="10"/>
        </w:numPr>
        <w:spacing w:line="360" w:lineRule="auto"/>
        <w:ind w:left="1417" w:hanging="709"/>
      </w:pPr>
      <w:r w:rsidRPr="003D3C2F">
        <w:t>Upgrade to existing entrance along Arlington Road, including new entrance feature, removal of existing advertising, and new entrance doors and glazed screening.</w:t>
      </w:r>
    </w:p>
    <w:p w:rsidR="003D3C2F" w:rsidRPr="003D3C2F" w:rsidRDefault="003D3C2F" w:rsidP="001D7C16">
      <w:pPr>
        <w:pStyle w:val="ListParagraph"/>
        <w:numPr>
          <w:ilvl w:val="0"/>
          <w:numId w:val="10"/>
        </w:numPr>
        <w:spacing w:line="360" w:lineRule="auto"/>
        <w:ind w:left="1417" w:hanging="709"/>
      </w:pPr>
      <w:r w:rsidRPr="003D3C2F">
        <w:t>Recladding of existing fascia and removal of second storey fascia along Arlington Road, and new fascia along Inverness Street.</w:t>
      </w:r>
    </w:p>
    <w:p w:rsidR="003D3C2F" w:rsidRDefault="003D3C2F" w:rsidP="001D7C16">
      <w:pPr>
        <w:pStyle w:val="ListParagraph"/>
        <w:numPr>
          <w:ilvl w:val="0"/>
          <w:numId w:val="10"/>
        </w:numPr>
        <w:spacing w:line="360" w:lineRule="auto"/>
        <w:ind w:left="1417" w:hanging="709"/>
      </w:pPr>
      <w:r w:rsidRPr="003D3C2F">
        <w:t>New entrance into building from Inverness Street, including new doors and glazed screens, matching entrance feature.</w:t>
      </w:r>
    </w:p>
    <w:p w:rsidR="004447CE" w:rsidRPr="003D3C2F" w:rsidRDefault="004447CE" w:rsidP="001D7C16">
      <w:pPr>
        <w:pStyle w:val="ListParagraph"/>
        <w:numPr>
          <w:ilvl w:val="0"/>
          <w:numId w:val="10"/>
        </w:numPr>
        <w:spacing w:line="360" w:lineRule="auto"/>
        <w:ind w:left="1417" w:hanging="709"/>
      </w:pPr>
      <w:r>
        <w:t>Addition of plant equipment to roof.</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building will remain in D2 use, with bingo remaining the primary activity.</w:t>
      </w:r>
    </w:p>
    <w:p w:rsidR="003D3C2F" w:rsidRDefault="003D3C2F" w:rsidP="003D3C2F">
      <w:pPr>
        <w:spacing w:line="360" w:lineRule="auto"/>
      </w:pPr>
    </w:p>
    <w:p w:rsidR="004447CE" w:rsidRDefault="004447CE" w:rsidP="003D3C2F">
      <w:pPr>
        <w:spacing w:line="360" w:lineRule="auto"/>
      </w:pPr>
    </w:p>
    <w:p w:rsidR="004447CE" w:rsidRPr="003D3C2F" w:rsidRDefault="004447CE" w:rsidP="003D3C2F">
      <w:pPr>
        <w:spacing w:line="360" w:lineRule="auto"/>
      </w:pPr>
    </w:p>
    <w:p w:rsidR="003D3C2F" w:rsidRPr="003D3C2F" w:rsidRDefault="003D3C2F" w:rsidP="003D3C2F">
      <w:pPr>
        <w:spacing w:line="360" w:lineRule="auto"/>
        <w:ind w:left="1417" w:hanging="709"/>
        <w:rPr>
          <w:b/>
        </w:rPr>
      </w:pPr>
      <w:r w:rsidRPr="003D3C2F">
        <w:rPr>
          <w:b/>
        </w:rPr>
        <w:lastRenderedPageBreak/>
        <w:t>Planning History</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planning history for the site includes the planning applications listed below.</w:t>
      </w:r>
    </w:p>
    <w:p w:rsidR="003D3C2F" w:rsidRPr="003D3C2F" w:rsidRDefault="003D3C2F" w:rsidP="001D7C16">
      <w:pPr>
        <w:pStyle w:val="ListParagraph"/>
        <w:numPr>
          <w:ilvl w:val="0"/>
          <w:numId w:val="9"/>
        </w:numPr>
        <w:spacing w:line="360" w:lineRule="auto"/>
        <w:ind w:left="1417" w:hanging="709"/>
      </w:pPr>
      <w:r w:rsidRPr="003D3C2F">
        <w:t>2007/1797/P – Retention of a metal canopy at the rear of the building, to be used as a smoking shelter for bingo hall – Approved</w:t>
      </w:r>
    </w:p>
    <w:p w:rsidR="003D3C2F" w:rsidRPr="003D3C2F" w:rsidRDefault="003D3C2F" w:rsidP="001D7C16">
      <w:pPr>
        <w:pStyle w:val="ListParagraph"/>
        <w:numPr>
          <w:ilvl w:val="0"/>
          <w:numId w:val="9"/>
        </w:numPr>
        <w:spacing w:line="360" w:lineRule="auto"/>
        <w:ind w:left="1417" w:hanging="709"/>
      </w:pPr>
      <w:r w:rsidRPr="003D3C2F">
        <w:t>PE96/06093/R1 – Alterations to the front elevation to form ramped access, new entrance canopy with illuminated fascia above, blocking up of existing openings, new security shutters to the front recessed entrance and formation of new fire exit – Approved</w:t>
      </w:r>
    </w:p>
    <w:p w:rsidR="003D3C2F" w:rsidRPr="003D3C2F" w:rsidRDefault="003D3C2F" w:rsidP="001D7C16">
      <w:pPr>
        <w:pStyle w:val="ListParagraph"/>
        <w:numPr>
          <w:ilvl w:val="0"/>
          <w:numId w:val="9"/>
        </w:numPr>
        <w:spacing w:line="360" w:lineRule="auto"/>
        <w:ind w:left="1417" w:hanging="709"/>
        <w:rPr>
          <w:color w:val="000000"/>
        </w:rPr>
      </w:pPr>
      <w:r w:rsidRPr="003D3C2F">
        <w:t xml:space="preserve">AE96/06109/R1 - </w:t>
      </w:r>
      <w:r w:rsidRPr="003D3C2F">
        <w:rPr>
          <w:color w:val="000000"/>
        </w:rPr>
        <w:t>The display of a new illuminated fascia sign, two new projecting box signs and new fascia strip with illuminated detailing – Approved</w:t>
      </w:r>
    </w:p>
    <w:p w:rsidR="003D3C2F" w:rsidRPr="003D3C2F" w:rsidRDefault="003D3C2F" w:rsidP="001D7C16">
      <w:pPr>
        <w:pStyle w:val="ListParagraph"/>
        <w:numPr>
          <w:ilvl w:val="0"/>
          <w:numId w:val="9"/>
        </w:numPr>
        <w:spacing w:line="360" w:lineRule="auto"/>
        <w:ind w:left="1417" w:hanging="709"/>
        <w:rPr>
          <w:color w:val="000000"/>
        </w:rPr>
      </w:pPr>
      <w:r w:rsidRPr="003D3C2F">
        <w:rPr>
          <w:color w:val="000000"/>
        </w:rPr>
        <w:t>PE96/06093 - Alterations to form ramped access and new entrance canopy with feature metal gable framework above, and block up existing fire exit and reposition, and fascia signage panel – Withdrawn</w:t>
      </w:r>
    </w:p>
    <w:p w:rsidR="003D3C2F" w:rsidRPr="003D3C2F" w:rsidRDefault="003D3C2F" w:rsidP="001D7C16">
      <w:pPr>
        <w:pStyle w:val="ListParagraph"/>
        <w:numPr>
          <w:ilvl w:val="0"/>
          <w:numId w:val="9"/>
        </w:numPr>
        <w:spacing w:line="360" w:lineRule="auto"/>
        <w:ind w:left="1417" w:hanging="709"/>
        <w:rPr>
          <w:color w:val="000000"/>
        </w:rPr>
      </w:pPr>
      <w:r w:rsidRPr="003D3C2F">
        <w:rPr>
          <w:color w:val="000000"/>
        </w:rPr>
        <w:t>AE98/06109 - Display of an internally illuminated fascia sign and projecting sign – Withdrawn</w:t>
      </w:r>
    </w:p>
    <w:p w:rsidR="003D3C2F" w:rsidRPr="003D3C2F" w:rsidRDefault="003D3C2F" w:rsidP="001D7C16">
      <w:pPr>
        <w:pStyle w:val="ListParagraph"/>
        <w:numPr>
          <w:ilvl w:val="0"/>
          <w:numId w:val="9"/>
        </w:numPr>
        <w:spacing w:line="360" w:lineRule="auto"/>
        <w:ind w:left="1417" w:hanging="709"/>
      </w:pPr>
      <w:r w:rsidRPr="003D3C2F">
        <w:rPr>
          <w:color w:val="000000"/>
        </w:rPr>
        <w:t>AD183 - Retention of three non-illuminated 4 sheet poster units faced with clear acrylic panels, measuring 1.03m (3'4 1/2") wide by 1.55m (5'1") high, erected 0.76m (2'6") above ground level – Approved</w:t>
      </w:r>
    </w:p>
    <w:p w:rsidR="003D3C2F" w:rsidRPr="003D3C2F" w:rsidRDefault="003D3C2F" w:rsidP="003D3C2F">
      <w:pPr>
        <w:spacing w:line="360" w:lineRule="auto"/>
      </w:pPr>
    </w:p>
    <w:p w:rsidR="003D3C2F" w:rsidRPr="003D3C2F" w:rsidRDefault="003D3C2F" w:rsidP="00A37184">
      <w:pPr>
        <w:spacing w:line="360" w:lineRule="auto"/>
        <w:ind w:left="1417" w:hanging="709"/>
        <w:rPr>
          <w:b/>
        </w:rPr>
      </w:pPr>
      <w:r w:rsidRPr="003D3C2F">
        <w:rPr>
          <w:b/>
        </w:rPr>
        <w:t>Planning Policy</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At present, the Local Plan consists of the Camden Core Strategy 2010-2025 and Camden Development Policies 2010-2025. Policies considered relevant to the determination of this application are noted below.</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 xml:space="preserve">Core Strategy Policy CS14 </w:t>
      </w:r>
      <w:r w:rsidRPr="003D3C2F">
        <w:rPr>
          <w:i/>
        </w:rPr>
        <w:t>Promoting high quality places and conserving our heritage</w:t>
      </w:r>
      <w:r w:rsidRPr="003D3C2F">
        <w:t xml:space="preserve"> states the Council will ensure Camden’s places are attractive, safe and easy to use by, amongst others, requiring development of the highest standard of design that respects local context and character, preserving and enhancing Camden’s rich and diverse heritage assets and their settings, and seeking the highest standards of access in all buildings and places and requiring schemes to be designed to be inclusive and accessible.</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 xml:space="preserve">Core Strategy Policy CS17 </w:t>
      </w:r>
      <w:r w:rsidRPr="003D3C2F">
        <w:rPr>
          <w:i/>
        </w:rPr>
        <w:t>Making Camden a Safer Place</w:t>
      </w:r>
      <w:r w:rsidRPr="003D3C2F">
        <w:t xml:space="preserve"> seeks to promote safer streets and public areas.</w:t>
      </w:r>
    </w:p>
    <w:p w:rsidR="003D3C2F" w:rsidRPr="003D3C2F" w:rsidRDefault="003D3C2F" w:rsidP="003D3C2F">
      <w:pPr>
        <w:spacing w:line="360" w:lineRule="auto"/>
      </w:pPr>
    </w:p>
    <w:p w:rsidR="003D3C2F" w:rsidRDefault="003D3C2F" w:rsidP="003D3C2F">
      <w:pPr>
        <w:pStyle w:val="ListParagraph"/>
        <w:numPr>
          <w:ilvl w:val="0"/>
          <w:numId w:val="11"/>
        </w:numPr>
        <w:spacing w:line="360" w:lineRule="auto"/>
        <w:ind w:left="709" w:hanging="709"/>
      </w:pPr>
      <w:r w:rsidRPr="003D3C2F">
        <w:lastRenderedPageBreak/>
        <w:t xml:space="preserve">Development Policies DP24 </w:t>
      </w:r>
      <w:r w:rsidRPr="003D3C2F">
        <w:rPr>
          <w:i/>
        </w:rPr>
        <w:t>Securing high quality design</w:t>
      </w:r>
      <w:r w:rsidRPr="003D3C2F">
        <w:t xml:space="preserve"> seeks all development including alterations to existing buildings, to be of</w:t>
      </w:r>
      <w:r w:rsidR="00A37184">
        <w:t xml:space="preserve"> the highest standard of design</w:t>
      </w:r>
      <w:r w:rsidRPr="003D3C2F">
        <w:t>, and is expected to consider the character, setting, context and the form and scale of neighbouring buildings.</w:t>
      </w:r>
    </w:p>
    <w:p w:rsidR="004447CE" w:rsidRDefault="004447CE" w:rsidP="004447CE">
      <w:pPr>
        <w:pStyle w:val="ListParagraph"/>
      </w:pPr>
    </w:p>
    <w:p w:rsidR="003D3C2F" w:rsidRPr="003D3C2F" w:rsidRDefault="003D3C2F" w:rsidP="003D3C2F">
      <w:pPr>
        <w:pStyle w:val="ListParagraph"/>
        <w:numPr>
          <w:ilvl w:val="0"/>
          <w:numId w:val="11"/>
        </w:numPr>
        <w:spacing w:line="360" w:lineRule="auto"/>
        <w:ind w:left="709" w:hanging="709"/>
      </w:pPr>
      <w:r w:rsidRPr="003D3C2F">
        <w:t xml:space="preserve">Development Policies DP25 </w:t>
      </w:r>
      <w:r w:rsidRPr="003D3C2F">
        <w:rPr>
          <w:i/>
        </w:rPr>
        <w:t>Conserving Camden’s heritage</w:t>
      </w:r>
      <w:r w:rsidRPr="003D3C2F">
        <w:t xml:space="preserve"> states Council’s will only permit development within conservation areas that, amongst others, preserves and enhances the character and appearance of the area.</w:t>
      </w:r>
    </w:p>
    <w:p w:rsidR="003D3C2F" w:rsidRPr="003D3C2F" w:rsidRDefault="003D3C2F" w:rsidP="003D3C2F">
      <w:pPr>
        <w:spacing w:line="360" w:lineRule="auto"/>
      </w:pPr>
    </w:p>
    <w:p w:rsidR="003D3C2F" w:rsidRPr="003D3C2F" w:rsidRDefault="003D3C2F" w:rsidP="00A37184">
      <w:pPr>
        <w:spacing w:line="360" w:lineRule="auto"/>
        <w:ind w:left="1417" w:hanging="709"/>
        <w:rPr>
          <w:b/>
        </w:rPr>
      </w:pPr>
      <w:r w:rsidRPr="003D3C2F">
        <w:rPr>
          <w:b/>
        </w:rPr>
        <w:t>Design</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proposed alterations to the building are the result of internal alterations at the venue. This seeks to reduce the size of the open hall, by offering the use of a number of smaller lounge areas. These are defined as the bar, games or slots lounge. Bingo will be available in all, and the internal circulation allows the free flow of customers between lounges.</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main alteration is the creation of a new main entrance into the building. At present, the only access is that from Arlington Road in the south west corner of the building. The proposal seeks alterations to this entrance, and a new main entrance into the building from Inverness Street.</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Arlington Road entrance is in need of an upgrade. It consists of two sets of double doors recessed under a canopy. There is glazing at the first floor above, with a large advert to its top. The proposal seeks to create a new entrance way on this location. This will be set under a new entrance feature, which will incorporate grey clad panels, the colour for which will be extended along the existing fascia. Existing fire doors will be repainted in matching colour, and the first floor fascia will be removed to ensure less clutter.</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 xml:space="preserve">The result will be a more simplified entrance, which will be an enhancement to the Arlington Road elevation and the Camden Town Conservation Area. </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The Inverness Street elevation is currently a featureless façade facing onto the restricted-vehicle road. This road has a busy footfall given the presence of the market and its links from Camden High Street westwards. The application allows an opportunity to add interest to this elevation, to the benefit of the street scene of Inverness Street.</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lastRenderedPageBreak/>
        <w:t>The proposal seeks two new entrances, the mai</w:t>
      </w:r>
      <w:bookmarkStart w:id="2" w:name="_GoBack"/>
      <w:bookmarkEnd w:id="2"/>
      <w:r w:rsidRPr="003D3C2F">
        <w:t>n entrance (the western entrance) which will be constructed with an entrance feature to match the proposed Arlington Road entrance. The more central new entrance will have a matching door but not have the entrance feature around. The proposal also includes two sets of triple doors, all set under a new fascia.</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As noted, the elevation will add interest to the Inverness Street elevation, and will also increase transparency into and out of the building in this location. This will have numerous benefits in terms of security in the area, whilst attractive footfall for the building.</w:t>
      </w:r>
    </w:p>
    <w:p w:rsidR="003D3C2F" w:rsidRPr="003D3C2F" w:rsidRDefault="003D3C2F" w:rsidP="003D3C2F">
      <w:pPr>
        <w:spacing w:line="360" w:lineRule="auto"/>
      </w:pPr>
    </w:p>
    <w:p w:rsidR="003D3C2F" w:rsidRPr="003D3C2F" w:rsidRDefault="003D3C2F" w:rsidP="003D3C2F">
      <w:pPr>
        <w:pStyle w:val="ListParagraph"/>
        <w:numPr>
          <w:ilvl w:val="0"/>
          <w:numId w:val="11"/>
        </w:numPr>
        <w:spacing w:line="360" w:lineRule="auto"/>
        <w:ind w:left="709" w:hanging="709"/>
      </w:pPr>
      <w:r w:rsidRPr="003D3C2F">
        <w:t xml:space="preserve">The location of the site within the conservation area is noted. The use of good quality materials, and the ability to add interest to the Inverness Street elevation ensures that the development will enhance this elevation too. </w:t>
      </w:r>
    </w:p>
    <w:p w:rsidR="003D3C2F" w:rsidRDefault="003D3C2F" w:rsidP="003D3C2F">
      <w:pPr>
        <w:spacing w:line="360" w:lineRule="auto"/>
      </w:pPr>
    </w:p>
    <w:p w:rsidR="004447CE" w:rsidRDefault="004447CE" w:rsidP="004447CE">
      <w:pPr>
        <w:spacing w:line="360" w:lineRule="auto"/>
        <w:ind w:left="709" w:hanging="709"/>
      </w:pPr>
      <w:r>
        <w:t>1.21</w:t>
      </w:r>
      <w:r>
        <w:tab/>
        <w:t>The application also includes plant equipment to be located on the roof area and wall. This includes an air-handling unit and condenser units. Given their location, they will not be visible from the public domain.</w:t>
      </w:r>
    </w:p>
    <w:p w:rsidR="004447CE" w:rsidRPr="003D3C2F" w:rsidRDefault="004447CE" w:rsidP="003D3C2F">
      <w:pPr>
        <w:spacing w:line="360" w:lineRule="auto"/>
      </w:pPr>
    </w:p>
    <w:p w:rsidR="003D3C2F" w:rsidRPr="003D3C2F" w:rsidRDefault="003D3C2F" w:rsidP="00A37184">
      <w:pPr>
        <w:spacing w:line="360" w:lineRule="auto"/>
        <w:ind w:firstLine="709"/>
        <w:rPr>
          <w:b/>
        </w:rPr>
      </w:pPr>
      <w:r w:rsidRPr="003D3C2F">
        <w:rPr>
          <w:b/>
        </w:rPr>
        <w:t>Access</w:t>
      </w:r>
    </w:p>
    <w:p w:rsidR="003D3C2F" w:rsidRPr="003D3C2F" w:rsidRDefault="003D3C2F" w:rsidP="003D3C2F">
      <w:pPr>
        <w:spacing w:line="360" w:lineRule="auto"/>
      </w:pPr>
    </w:p>
    <w:p w:rsidR="003D3C2F" w:rsidRPr="003D3C2F" w:rsidRDefault="003D3C2F" w:rsidP="004447CE">
      <w:pPr>
        <w:pStyle w:val="ListParagraph"/>
        <w:numPr>
          <w:ilvl w:val="1"/>
          <w:numId w:val="12"/>
        </w:numPr>
        <w:spacing w:line="360" w:lineRule="auto"/>
      </w:pPr>
      <w:r w:rsidRPr="003D3C2F">
        <w:t>The proposed upgrade to the existing Arlington Road entrance will utilise the existing openings, although it will include new frames and glazing. The new doors will remain flush with the footpath to allow access for all. The gentle slope will remain, although the building remains accessible to all. Assistance from members of staff remains available where necessary</w:t>
      </w:r>
    </w:p>
    <w:p w:rsidR="003D3C2F" w:rsidRPr="003D3C2F" w:rsidRDefault="003D3C2F" w:rsidP="003D3C2F">
      <w:pPr>
        <w:spacing w:line="360" w:lineRule="auto"/>
      </w:pPr>
    </w:p>
    <w:p w:rsidR="003D3C2F" w:rsidRPr="003D3C2F" w:rsidRDefault="003D3C2F" w:rsidP="004447CE">
      <w:pPr>
        <w:pStyle w:val="ListParagraph"/>
        <w:numPr>
          <w:ilvl w:val="1"/>
          <w:numId w:val="12"/>
        </w:numPr>
        <w:spacing w:line="360" w:lineRule="auto"/>
      </w:pPr>
      <w:r w:rsidRPr="003D3C2F">
        <w:t>Again, the new entrance along Inverness Street will have all doors flush with the footway to ensure accessibility is available to all. There are various changes in levels throughout the building, and stairs are necessary to move around. Hoists or platform lifts will be available at some areas to ensure wheelchair users are able to safely circulate around the building.</w:t>
      </w:r>
    </w:p>
    <w:p w:rsidR="003D3C2F" w:rsidRPr="003D3C2F" w:rsidRDefault="003D3C2F" w:rsidP="003D3C2F">
      <w:pPr>
        <w:spacing w:line="360" w:lineRule="auto"/>
      </w:pPr>
    </w:p>
    <w:p w:rsidR="003D3C2F" w:rsidRPr="003D3C2F" w:rsidRDefault="003D3C2F" w:rsidP="00A37184">
      <w:pPr>
        <w:spacing w:line="360" w:lineRule="auto"/>
        <w:ind w:firstLine="709"/>
        <w:rPr>
          <w:b/>
        </w:rPr>
      </w:pPr>
      <w:r w:rsidRPr="003D3C2F">
        <w:rPr>
          <w:b/>
        </w:rPr>
        <w:t>Conclusion</w:t>
      </w:r>
    </w:p>
    <w:p w:rsidR="003D3C2F" w:rsidRPr="003D3C2F" w:rsidRDefault="003D3C2F" w:rsidP="003D3C2F">
      <w:pPr>
        <w:spacing w:line="360" w:lineRule="auto"/>
      </w:pPr>
    </w:p>
    <w:p w:rsidR="003D3C2F" w:rsidRPr="003D3C2F" w:rsidRDefault="003D3C2F" w:rsidP="004447CE">
      <w:pPr>
        <w:pStyle w:val="ListParagraph"/>
        <w:numPr>
          <w:ilvl w:val="1"/>
          <w:numId w:val="12"/>
        </w:numPr>
        <w:spacing w:line="360" w:lineRule="auto"/>
      </w:pPr>
      <w:r w:rsidRPr="003D3C2F">
        <w:t xml:space="preserve">The proposal would upgrade the existing Arlington Road entrance to the benefit of the street scene and conservation area in this location. This is achieved by using appropriate matching materials across the frontage. The Inverness Street frontage </w:t>
      </w:r>
      <w:r w:rsidRPr="003D3C2F">
        <w:lastRenderedPageBreak/>
        <w:t>will benefit from the new openings, allowing greater transparency into and out of the site. It will add interest to what is currently a blank façade.</w:t>
      </w:r>
    </w:p>
    <w:p w:rsidR="003D3C2F" w:rsidRPr="003D3C2F" w:rsidRDefault="003D3C2F" w:rsidP="003D3C2F">
      <w:pPr>
        <w:spacing w:line="360" w:lineRule="auto"/>
      </w:pPr>
    </w:p>
    <w:p w:rsidR="003D3C2F" w:rsidRPr="003D3C2F" w:rsidRDefault="003D3C2F" w:rsidP="004447CE">
      <w:pPr>
        <w:pStyle w:val="ListParagraph"/>
        <w:numPr>
          <w:ilvl w:val="1"/>
          <w:numId w:val="12"/>
        </w:numPr>
        <w:spacing w:line="360" w:lineRule="auto"/>
      </w:pPr>
      <w:r w:rsidRPr="003D3C2F">
        <w:t>Both new entrances will ensure that they are accessible to all, and the building will remain wheelchair friendly.</w:t>
      </w:r>
    </w:p>
    <w:p w:rsidR="003D3C2F" w:rsidRPr="003D3C2F" w:rsidRDefault="003D3C2F" w:rsidP="003D3C2F">
      <w:pPr>
        <w:spacing w:line="360" w:lineRule="auto"/>
      </w:pPr>
    </w:p>
    <w:p w:rsidR="009C3551" w:rsidRPr="003D3C2F" w:rsidRDefault="009C3551" w:rsidP="003D3C2F">
      <w:pPr>
        <w:spacing w:line="360" w:lineRule="auto"/>
        <w:rPr>
          <w:b/>
          <w:color w:val="auto"/>
        </w:rPr>
      </w:pPr>
    </w:p>
    <w:sectPr w:rsidR="009C3551" w:rsidRPr="003D3C2F" w:rsidSect="003D3C2F">
      <w:head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F3" w:rsidRDefault="004B06F3">
      <w:r>
        <w:separator/>
      </w:r>
    </w:p>
  </w:endnote>
  <w:endnote w:type="continuationSeparator" w:id="0">
    <w:p w:rsidR="004B06F3" w:rsidRDefault="004B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6B" w:rsidRPr="00CA05D9" w:rsidRDefault="0091336B" w:rsidP="00306DE3">
    <w:pPr>
      <w:pStyle w:val="Footer"/>
      <w:tabs>
        <w:tab w:val="clear" w:pos="9026"/>
        <w:tab w:val="right" w:pos="9356"/>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6B" w:rsidRPr="003D3C2F" w:rsidRDefault="003D3C2F" w:rsidP="003D3C2F">
    <w:pPr>
      <w:pStyle w:val="Footer"/>
      <w:pBdr>
        <w:top w:val="single" w:sz="4" w:space="1" w:color="auto"/>
      </w:pBdr>
      <w:tabs>
        <w:tab w:val="clear" w:pos="9026"/>
        <w:tab w:val="right" w:pos="9356"/>
      </w:tabs>
      <w:rPr>
        <w:sz w:val="18"/>
        <w:szCs w:val="18"/>
      </w:rPr>
    </w:pPr>
    <w:r w:rsidRPr="003D3C2F">
      <w:rPr>
        <w:sz w:val="18"/>
        <w:szCs w:val="18"/>
      </w:rPr>
      <w:t>27479/A5/P1/PD/SO</w:t>
    </w:r>
    <w:r w:rsidRPr="003D3C2F">
      <w:rPr>
        <w:sz w:val="18"/>
        <w:szCs w:val="18"/>
      </w:rPr>
      <w:tab/>
      <w:t xml:space="preserve">Page </w:t>
    </w:r>
    <w:r w:rsidRPr="003D3C2F">
      <w:rPr>
        <w:sz w:val="18"/>
        <w:szCs w:val="18"/>
      </w:rPr>
      <w:fldChar w:fldCharType="begin"/>
    </w:r>
    <w:r w:rsidRPr="003D3C2F">
      <w:rPr>
        <w:sz w:val="18"/>
        <w:szCs w:val="18"/>
      </w:rPr>
      <w:instrText xml:space="preserve"> PAGE   \* MERGEFORMAT </w:instrText>
    </w:r>
    <w:r w:rsidRPr="003D3C2F">
      <w:rPr>
        <w:sz w:val="18"/>
        <w:szCs w:val="18"/>
      </w:rPr>
      <w:fldChar w:fldCharType="separate"/>
    </w:r>
    <w:r w:rsidR="004447CE">
      <w:rPr>
        <w:noProof/>
        <w:sz w:val="18"/>
        <w:szCs w:val="18"/>
      </w:rPr>
      <w:t>5</w:t>
    </w:r>
    <w:r w:rsidRPr="003D3C2F">
      <w:rPr>
        <w:noProof/>
        <w:sz w:val="18"/>
        <w:szCs w:val="18"/>
      </w:rPr>
      <w:fldChar w:fldCharType="end"/>
    </w:r>
    <w:r w:rsidRPr="003D3C2F">
      <w:rPr>
        <w:sz w:val="18"/>
        <w:szCs w:val="18"/>
      </w:rPr>
      <w:tab/>
      <w:t>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F3" w:rsidRDefault="004B06F3">
      <w:r>
        <w:separator/>
      </w:r>
    </w:p>
  </w:footnote>
  <w:footnote w:type="continuationSeparator" w:id="0">
    <w:p w:rsidR="004B06F3" w:rsidRDefault="004B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6B" w:rsidRPr="00CA05D9" w:rsidRDefault="0091336B" w:rsidP="00306DE3">
    <w:pPr>
      <w:pStyle w:val="Header"/>
      <w:tabs>
        <w:tab w:val="clear" w:pos="8306"/>
        <w:tab w:val="right" w:pos="9356"/>
      </w:tabs>
      <w:rPr>
        <w:rFonts w:ascii="Tahoma" w:hAnsi="Tahoma" w:cs="Tahoma"/>
        <w:spacing w:val="1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6B" w:rsidRPr="001D7C16" w:rsidRDefault="0091336B" w:rsidP="001D7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16" w:rsidRPr="003D3C2F" w:rsidRDefault="001D7C16" w:rsidP="001D7C16">
    <w:pPr>
      <w:pStyle w:val="Header"/>
      <w:pBdr>
        <w:bottom w:val="single" w:sz="4" w:space="1" w:color="auto"/>
      </w:pBdr>
      <w:tabs>
        <w:tab w:val="clear" w:pos="8306"/>
        <w:tab w:val="right" w:pos="9356"/>
      </w:tabs>
      <w:jc w:val="right"/>
      <w:rPr>
        <w:rFonts w:ascii="Tahoma" w:hAnsi="Tahoma" w:cs="Tahoma"/>
        <w:color w:val="333333"/>
        <w:spacing w:val="10"/>
        <w:sz w:val="18"/>
        <w:szCs w:val="18"/>
      </w:rPr>
    </w:pPr>
    <w:r w:rsidRPr="003D3C2F">
      <w:rPr>
        <w:rFonts w:ascii="Tahoma" w:hAnsi="Tahoma" w:cs="Tahoma"/>
        <w:color w:val="333333"/>
        <w:spacing w:val="10"/>
        <w:sz w:val="18"/>
        <w:szCs w:val="18"/>
      </w:rPr>
      <w:t>18</w:t>
    </w:r>
    <w:r>
      <w:rPr>
        <w:rFonts w:ascii="Tahoma" w:hAnsi="Tahoma" w:cs="Tahoma"/>
        <w:color w:val="333333"/>
        <w:spacing w:val="10"/>
        <w:sz w:val="18"/>
        <w:szCs w:val="18"/>
      </w:rPr>
      <w:t>0</w:t>
    </w:r>
    <w:r w:rsidRPr="003D3C2F">
      <w:rPr>
        <w:rFonts w:ascii="Tahoma" w:hAnsi="Tahoma" w:cs="Tahoma"/>
        <w:color w:val="333333"/>
        <w:spacing w:val="10"/>
        <w:sz w:val="18"/>
        <w:szCs w:val="18"/>
      </w:rPr>
      <w:t xml:space="preserve"> Arlington Road, Camden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577F"/>
    <w:multiLevelType w:val="multilevel"/>
    <w:tmpl w:val="E29C16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2A45E55"/>
    <w:multiLevelType w:val="multilevel"/>
    <w:tmpl w:val="866A1D7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6E7CC4"/>
    <w:multiLevelType w:val="hybridMultilevel"/>
    <w:tmpl w:val="A3DA5C02"/>
    <w:lvl w:ilvl="0" w:tplc="CDCC85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E54B4"/>
    <w:multiLevelType w:val="hybridMultilevel"/>
    <w:tmpl w:val="972887C0"/>
    <w:lvl w:ilvl="0" w:tplc="75CA44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2B03F0"/>
    <w:multiLevelType w:val="multilevel"/>
    <w:tmpl w:val="6E28751C"/>
    <w:lvl w:ilvl="0">
      <w:start w:val="1"/>
      <w:numFmt w:val="decimal"/>
      <w:lvlText w:val="%1"/>
      <w:lvlJc w:val="left"/>
      <w:pPr>
        <w:ind w:left="435" w:hanging="43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C17E6D"/>
    <w:multiLevelType w:val="hybridMultilevel"/>
    <w:tmpl w:val="D35E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C4F67"/>
    <w:multiLevelType w:val="hybridMultilevel"/>
    <w:tmpl w:val="AB34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23663"/>
    <w:multiLevelType w:val="multilevel"/>
    <w:tmpl w:val="7CE839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15:restartNumberingAfterBreak="0">
    <w:nsid w:val="43960B1C"/>
    <w:multiLevelType w:val="multilevel"/>
    <w:tmpl w:val="E29C16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9C12EFE"/>
    <w:multiLevelType w:val="multilevel"/>
    <w:tmpl w:val="1C58A13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55B55630"/>
    <w:multiLevelType w:val="multilevel"/>
    <w:tmpl w:val="6C5098E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4B64308"/>
    <w:multiLevelType w:val="hybridMultilevel"/>
    <w:tmpl w:val="8A3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0"/>
  </w:num>
  <w:num w:numId="6">
    <w:abstractNumId w:val="10"/>
  </w:num>
  <w:num w:numId="7">
    <w:abstractNumId w:val="1"/>
  </w:num>
  <w:num w:numId="8">
    <w:abstractNumId w:val="6"/>
  </w:num>
  <w:num w:numId="9">
    <w:abstractNumId w:val="5"/>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3"/>
  <w:displayHorizontalDrawingGridEvery w:val="0"/>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A2"/>
    <w:rsid w:val="00001BF4"/>
    <w:rsid w:val="0001183E"/>
    <w:rsid w:val="000129F9"/>
    <w:rsid w:val="0001428C"/>
    <w:rsid w:val="000360A3"/>
    <w:rsid w:val="00054674"/>
    <w:rsid w:val="000556B4"/>
    <w:rsid w:val="00060FB9"/>
    <w:rsid w:val="00071D34"/>
    <w:rsid w:val="00071E60"/>
    <w:rsid w:val="0008047B"/>
    <w:rsid w:val="000831AF"/>
    <w:rsid w:val="000A2A6A"/>
    <w:rsid w:val="000A6BFA"/>
    <w:rsid w:val="000D719B"/>
    <w:rsid w:val="000D726E"/>
    <w:rsid w:val="000E63D1"/>
    <w:rsid w:val="000F1CDC"/>
    <w:rsid w:val="00104B76"/>
    <w:rsid w:val="0012054B"/>
    <w:rsid w:val="00121782"/>
    <w:rsid w:val="0013579C"/>
    <w:rsid w:val="00151505"/>
    <w:rsid w:val="001613D3"/>
    <w:rsid w:val="00162BC6"/>
    <w:rsid w:val="001662F8"/>
    <w:rsid w:val="00167F1A"/>
    <w:rsid w:val="001717D8"/>
    <w:rsid w:val="00172506"/>
    <w:rsid w:val="0017482A"/>
    <w:rsid w:val="00181BF6"/>
    <w:rsid w:val="001830B3"/>
    <w:rsid w:val="0018749C"/>
    <w:rsid w:val="001927DB"/>
    <w:rsid w:val="00195787"/>
    <w:rsid w:val="001A4ADF"/>
    <w:rsid w:val="001A6A73"/>
    <w:rsid w:val="001B3E82"/>
    <w:rsid w:val="001C1F54"/>
    <w:rsid w:val="001C430B"/>
    <w:rsid w:val="001C49A9"/>
    <w:rsid w:val="001D143C"/>
    <w:rsid w:val="001D4D3B"/>
    <w:rsid w:val="001D7C16"/>
    <w:rsid w:val="001E0732"/>
    <w:rsid w:val="001E7B13"/>
    <w:rsid w:val="001F09D6"/>
    <w:rsid w:val="001F10E0"/>
    <w:rsid w:val="002265A5"/>
    <w:rsid w:val="00233A06"/>
    <w:rsid w:val="00235045"/>
    <w:rsid w:val="00236F85"/>
    <w:rsid w:val="002401B3"/>
    <w:rsid w:val="00242A86"/>
    <w:rsid w:val="00247DB6"/>
    <w:rsid w:val="00252A88"/>
    <w:rsid w:val="00253B9D"/>
    <w:rsid w:val="00255F5B"/>
    <w:rsid w:val="0025778A"/>
    <w:rsid w:val="002668E9"/>
    <w:rsid w:val="00283E45"/>
    <w:rsid w:val="00292F05"/>
    <w:rsid w:val="0029486E"/>
    <w:rsid w:val="002A36CB"/>
    <w:rsid w:val="002A481D"/>
    <w:rsid w:val="002B03D0"/>
    <w:rsid w:val="002B07AF"/>
    <w:rsid w:val="002B6DCF"/>
    <w:rsid w:val="002D4D30"/>
    <w:rsid w:val="002E1C8B"/>
    <w:rsid w:val="002E38E8"/>
    <w:rsid w:val="002E3F2A"/>
    <w:rsid w:val="002F100A"/>
    <w:rsid w:val="002F362B"/>
    <w:rsid w:val="00306DE3"/>
    <w:rsid w:val="00311E6B"/>
    <w:rsid w:val="00324F4C"/>
    <w:rsid w:val="003324A3"/>
    <w:rsid w:val="0034788C"/>
    <w:rsid w:val="00347ECB"/>
    <w:rsid w:val="003516C4"/>
    <w:rsid w:val="00353C18"/>
    <w:rsid w:val="0037247D"/>
    <w:rsid w:val="0038138F"/>
    <w:rsid w:val="00383FEF"/>
    <w:rsid w:val="003945B4"/>
    <w:rsid w:val="00397343"/>
    <w:rsid w:val="003A2CB7"/>
    <w:rsid w:val="003B3C46"/>
    <w:rsid w:val="003B6611"/>
    <w:rsid w:val="003C405F"/>
    <w:rsid w:val="003C7483"/>
    <w:rsid w:val="003D0FA1"/>
    <w:rsid w:val="003D1F56"/>
    <w:rsid w:val="003D3C2F"/>
    <w:rsid w:val="003D5A24"/>
    <w:rsid w:val="003E0F97"/>
    <w:rsid w:val="003F17E2"/>
    <w:rsid w:val="00401E4E"/>
    <w:rsid w:val="00404DEF"/>
    <w:rsid w:val="004133B8"/>
    <w:rsid w:val="004229B1"/>
    <w:rsid w:val="0042301F"/>
    <w:rsid w:val="0042557F"/>
    <w:rsid w:val="004258BE"/>
    <w:rsid w:val="00430BB1"/>
    <w:rsid w:val="00443FE5"/>
    <w:rsid w:val="004447CE"/>
    <w:rsid w:val="004614DE"/>
    <w:rsid w:val="004724E6"/>
    <w:rsid w:val="00472C46"/>
    <w:rsid w:val="00482DC0"/>
    <w:rsid w:val="004831F1"/>
    <w:rsid w:val="004878A2"/>
    <w:rsid w:val="004923EE"/>
    <w:rsid w:val="004956B7"/>
    <w:rsid w:val="004A4547"/>
    <w:rsid w:val="004B06F3"/>
    <w:rsid w:val="004B3F42"/>
    <w:rsid w:val="004B72CC"/>
    <w:rsid w:val="004C3C98"/>
    <w:rsid w:val="004C57EE"/>
    <w:rsid w:val="004D3611"/>
    <w:rsid w:val="004D5897"/>
    <w:rsid w:val="004D6604"/>
    <w:rsid w:val="004D7401"/>
    <w:rsid w:val="004E2A3C"/>
    <w:rsid w:val="004E356E"/>
    <w:rsid w:val="004F10B6"/>
    <w:rsid w:val="004F334F"/>
    <w:rsid w:val="004F6219"/>
    <w:rsid w:val="005002C3"/>
    <w:rsid w:val="005035C9"/>
    <w:rsid w:val="00505996"/>
    <w:rsid w:val="005126B1"/>
    <w:rsid w:val="0051363F"/>
    <w:rsid w:val="00514187"/>
    <w:rsid w:val="00516F9F"/>
    <w:rsid w:val="005268BD"/>
    <w:rsid w:val="005326B2"/>
    <w:rsid w:val="00534D1F"/>
    <w:rsid w:val="00547E54"/>
    <w:rsid w:val="0055666E"/>
    <w:rsid w:val="00556E7E"/>
    <w:rsid w:val="005600FD"/>
    <w:rsid w:val="00580736"/>
    <w:rsid w:val="00587198"/>
    <w:rsid w:val="0059243C"/>
    <w:rsid w:val="00593E3B"/>
    <w:rsid w:val="00597E99"/>
    <w:rsid w:val="005A13E2"/>
    <w:rsid w:val="005A5311"/>
    <w:rsid w:val="005A551B"/>
    <w:rsid w:val="005B48E1"/>
    <w:rsid w:val="005D4193"/>
    <w:rsid w:val="005F14E3"/>
    <w:rsid w:val="005F6FFC"/>
    <w:rsid w:val="005F7CEB"/>
    <w:rsid w:val="0060383E"/>
    <w:rsid w:val="0060636A"/>
    <w:rsid w:val="00606815"/>
    <w:rsid w:val="00610D25"/>
    <w:rsid w:val="006235FC"/>
    <w:rsid w:val="00630738"/>
    <w:rsid w:val="00637259"/>
    <w:rsid w:val="00641C6D"/>
    <w:rsid w:val="0065454F"/>
    <w:rsid w:val="006658E9"/>
    <w:rsid w:val="00667D0F"/>
    <w:rsid w:val="00674843"/>
    <w:rsid w:val="00675132"/>
    <w:rsid w:val="006832CD"/>
    <w:rsid w:val="006834C5"/>
    <w:rsid w:val="00684576"/>
    <w:rsid w:val="006900F2"/>
    <w:rsid w:val="00690B15"/>
    <w:rsid w:val="00692AE3"/>
    <w:rsid w:val="00692EB5"/>
    <w:rsid w:val="006B3B22"/>
    <w:rsid w:val="006B7298"/>
    <w:rsid w:val="006C1A52"/>
    <w:rsid w:val="006C6432"/>
    <w:rsid w:val="006D1D76"/>
    <w:rsid w:val="006D68DB"/>
    <w:rsid w:val="006D791C"/>
    <w:rsid w:val="006E5B08"/>
    <w:rsid w:val="006E5FBD"/>
    <w:rsid w:val="006F0261"/>
    <w:rsid w:val="006F2B52"/>
    <w:rsid w:val="006F4507"/>
    <w:rsid w:val="006F62CA"/>
    <w:rsid w:val="00706B9C"/>
    <w:rsid w:val="00711A3D"/>
    <w:rsid w:val="00712FAB"/>
    <w:rsid w:val="00730F6C"/>
    <w:rsid w:val="00732AFF"/>
    <w:rsid w:val="0073431D"/>
    <w:rsid w:val="00736F8E"/>
    <w:rsid w:val="00745864"/>
    <w:rsid w:val="00746262"/>
    <w:rsid w:val="00752E1D"/>
    <w:rsid w:val="0075353A"/>
    <w:rsid w:val="00765F51"/>
    <w:rsid w:val="00771474"/>
    <w:rsid w:val="00774B0D"/>
    <w:rsid w:val="00781B5F"/>
    <w:rsid w:val="007850ED"/>
    <w:rsid w:val="00786186"/>
    <w:rsid w:val="007877DC"/>
    <w:rsid w:val="00787A2F"/>
    <w:rsid w:val="00796793"/>
    <w:rsid w:val="00797DA0"/>
    <w:rsid w:val="007A1F9F"/>
    <w:rsid w:val="007A320E"/>
    <w:rsid w:val="007A3B5A"/>
    <w:rsid w:val="007A6DC1"/>
    <w:rsid w:val="007A771E"/>
    <w:rsid w:val="007B3A09"/>
    <w:rsid w:val="007B6C65"/>
    <w:rsid w:val="007C3445"/>
    <w:rsid w:val="007C4622"/>
    <w:rsid w:val="007D11CB"/>
    <w:rsid w:val="007D64C1"/>
    <w:rsid w:val="007D7AC8"/>
    <w:rsid w:val="007E1B0D"/>
    <w:rsid w:val="007E6BF8"/>
    <w:rsid w:val="007E7EC7"/>
    <w:rsid w:val="007F07D1"/>
    <w:rsid w:val="007F6D3D"/>
    <w:rsid w:val="007F7596"/>
    <w:rsid w:val="007F780D"/>
    <w:rsid w:val="00811B9C"/>
    <w:rsid w:val="008121BC"/>
    <w:rsid w:val="00813C2D"/>
    <w:rsid w:val="008162D8"/>
    <w:rsid w:val="0081690B"/>
    <w:rsid w:val="00824443"/>
    <w:rsid w:val="00834BD1"/>
    <w:rsid w:val="00840170"/>
    <w:rsid w:val="00846639"/>
    <w:rsid w:val="008468D4"/>
    <w:rsid w:val="008734B8"/>
    <w:rsid w:val="00877191"/>
    <w:rsid w:val="008854FF"/>
    <w:rsid w:val="00890BFB"/>
    <w:rsid w:val="008A3889"/>
    <w:rsid w:val="008B19D5"/>
    <w:rsid w:val="008B653A"/>
    <w:rsid w:val="008B75E1"/>
    <w:rsid w:val="008C55E4"/>
    <w:rsid w:val="008C6AD5"/>
    <w:rsid w:val="008D7A79"/>
    <w:rsid w:val="008F65D4"/>
    <w:rsid w:val="009121B0"/>
    <w:rsid w:val="0091336B"/>
    <w:rsid w:val="00924217"/>
    <w:rsid w:val="009351A4"/>
    <w:rsid w:val="00946E2D"/>
    <w:rsid w:val="00953C65"/>
    <w:rsid w:val="0095452C"/>
    <w:rsid w:val="00963E4F"/>
    <w:rsid w:val="009654E6"/>
    <w:rsid w:val="0097501C"/>
    <w:rsid w:val="00987306"/>
    <w:rsid w:val="00997978"/>
    <w:rsid w:val="009A032F"/>
    <w:rsid w:val="009A098A"/>
    <w:rsid w:val="009A4400"/>
    <w:rsid w:val="009B68D6"/>
    <w:rsid w:val="009C3551"/>
    <w:rsid w:val="009D3EED"/>
    <w:rsid w:val="009F60DA"/>
    <w:rsid w:val="009F6290"/>
    <w:rsid w:val="00A00931"/>
    <w:rsid w:val="00A00DAA"/>
    <w:rsid w:val="00A04178"/>
    <w:rsid w:val="00A07B64"/>
    <w:rsid w:val="00A16F29"/>
    <w:rsid w:val="00A21A55"/>
    <w:rsid w:val="00A37184"/>
    <w:rsid w:val="00A5562F"/>
    <w:rsid w:val="00A641CB"/>
    <w:rsid w:val="00A740B6"/>
    <w:rsid w:val="00A8069F"/>
    <w:rsid w:val="00A8283E"/>
    <w:rsid w:val="00A8312C"/>
    <w:rsid w:val="00A83F5A"/>
    <w:rsid w:val="00A83FCF"/>
    <w:rsid w:val="00A97433"/>
    <w:rsid w:val="00AA39DA"/>
    <w:rsid w:val="00AA3D53"/>
    <w:rsid w:val="00AA6F8E"/>
    <w:rsid w:val="00AA7899"/>
    <w:rsid w:val="00AB02CB"/>
    <w:rsid w:val="00AB42E8"/>
    <w:rsid w:val="00AB4793"/>
    <w:rsid w:val="00AB5569"/>
    <w:rsid w:val="00AB70D9"/>
    <w:rsid w:val="00AC61BB"/>
    <w:rsid w:val="00AE3102"/>
    <w:rsid w:val="00B1240D"/>
    <w:rsid w:val="00B2034E"/>
    <w:rsid w:val="00B216CC"/>
    <w:rsid w:val="00B23FCF"/>
    <w:rsid w:val="00B261A2"/>
    <w:rsid w:val="00B32313"/>
    <w:rsid w:val="00B3434A"/>
    <w:rsid w:val="00B34F45"/>
    <w:rsid w:val="00B44C94"/>
    <w:rsid w:val="00B45E05"/>
    <w:rsid w:val="00B47EA3"/>
    <w:rsid w:val="00B507A4"/>
    <w:rsid w:val="00B55830"/>
    <w:rsid w:val="00B63F01"/>
    <w:rsid w:val="00B719E1"/>
    <w:rsid w:val="00B733BA"/>
    <w:rsid w:val="00B73FE3"/>
    <w:rsid w:val="00B7465D"/>
    <w:rsid w:val="00B85CE8"/>
    <w:rsid w:val="00B9030D"/>
    <w:rsid w:val="00B92C17"/>
    <w:rsid w:val="00BB6829"/>
    <w:rsid w:val="00BC0A38"/>
    <w:rsid w:val="00BC3C09"/>
    <w:rsid w:val="00BC48C0"/>
    <w:rsid w:val="00BE632F"/>
    <w:rsid w:val="00BF1327"/>
    <w:rsid w:val="00C01C09"/>
    <w:rsid w:val="00C036FF"/>
    <w:rsid w:val="00C0378A"/>
    <w:rsid w:val="00C10F7B"/>
    <w:rsid w:val="00C11C54"/>
    <w:rsid w:val="00C12145"/>
    <w:rsid w:val="00C13776"/>
    <w:rsid w:val="00C14B70"/>
    <w:rsid w:val="00C27A6D"/>
    <w:rsid w:val="00C32E72"/>
    <w:rsid w:val="00C56FE3"/>
    <w:rsid w:val="00C62491"/>
    <w:rsid w:val="00C7015E"/>
    <w:rsid w:val="00C7262E"/>
    <w:rsid w:val="00C752E3"/>
    <w:rsid w:val="00C7688A"/>
    <w:rsid w:val="00C77B55"/>
    <w:rsid w:val="00C809D6"/>
    <w:rsid w:val="00C83BF5"/>
    <w:rsid w:val="00C93E77"/>
    <w:rsid w:val="00CA05D9"/>
    <w:rsid w:val="00CA5FFC"/>
    <w:rsid w:val="00CB1B4C"/>
    <w:rsid w:val="00CB2F4C"/>
    <w:rsid w:val="00CB4BED"/>
    <w:rsid w:val="00CB5C24"/>
    <w:rsid w:val="00CB6742"/>
    <w:rsid w:val="00CC2157"/>
    <w:rsid w:val="00CD71A6"/>
    <w:rsid w:val="00CF09DE"/>
    <w:rsid w:val="00CF1BFF"/>
    <w:rsid w:val="00CF5B07"/>
    <w:rsid w:val="00D01B49"/>
    <w:rsid w:val="00D04410"/>
    <w:rsid w:val="00D149CE"/>
    <w:rsid w:val="00D17923"/>
    <w:rsid w:val="00D4700A"/>
    <w:rsid w:val="00D533F5"/>
    <w:rsid w:val="00D66B29"/>
    <w:rsid w:val="00D86796"/>
    <w:rsid w:val="00D96FF1"/>
    <w:rsid w:val="00D97282"/>
    <w:rsid w:val="00DA1508"/>
    <w:rsid w:val="00DB01D2"/>
    <w:rsid w:val="00DB0767"/>
    <w:rsid w:val="00DB2675"/>
    <w:rsid w:val="00DB5A99"/>
    <w:rsid w:val="00DB6415"/>
    <w:rsid w:val="00DB64AA"/>
    <w:rsid w:val="00DB70AC"/>
    <w:rsid w:val="00DD288D"/>
    <w:rsid w:val="00DE000F"/>
    <w:rsid w:val="00DE3388"/>
    <w:rsid w:val="00DE3961"/>
    <w:rsid w:val="00DE565D"/>
    <w:rsid w:val="00DE6490"/>
    <w:rsid w:val="00E01C65"/>
    <w:rsid w:val="00E1797A"/>
    <w:rsid w:val="00E20909"/>
    <w:rsid w:val="00E24D63"/>
    <w:rsid w:val="00E266D2"/>
    <w:rsid w:val="00E27659"/>
    <w:rsid w:val="00E276AB"/>
    <w:rsid w:val="00E3015C"/>
    <w:rsid w:val="00E54AE7"/>
    <w:rsid w:val="00E650E2"/>
    <w:rsid w:val="00E65E7F"/>
    <w:rsid w:val="00E73C32"/>
    <w:rsid w:val="00E73FCF"/>
    <w:rsid w:val="00E85816"/>
    <w:rsid w:val="00E93F26"/>
    <w:rsid w:val="00E9425B"/>
    <w:rsid w:val="00EA311B"/>
    <w:rsid w:val="00EA35CB"/>
    <w:rsid w:val="00EA6581"/>
    <w:rsid w:val="00EA67F1"/>
    <w:rsid w:val="00EB34D8"/>
    <w:rsid w:val="00EB6D2B"/>
    <w:rsid w:val="00EC40A2"/>
    <w:rsid w:val="00EC5A1A"/>
    <w:rsid w:val="00ED08E4"/>
    <w:rsid w:val="00ED4F3F"/>
    <w:rsid w:val="00EE06A9"/>
    <w:rsid w:val="00EE1005"/>
    <w:rsid w:val="00EE6011"/>
    <w:rsid w:val="00EF28BF"/>
    <w:rsid w:val="00F0047C"/>
    <w:rsid w:val="00F02049"/>
    <w:rsid w:val="00F029FD"/>
    <w:rsid w:val="00F27A2D"/>
    <w:rsid w:val="00F35F4D"/>
    <w:rsid w:val="00F622FA"/>
    <w:rsid w:val="00F6724F"/>
    <w:rsid w:val="00F85746"/>
    <w:rsid w:val="00F91D67"/>
    <w:rsid w:val="00F9794C"/>
    <w:rsid w:val="00FD497C"/>
    <w:rsid w:val="00FD723E"/>
    <w:rsid w:val="00FF3A5A"/>
    <w:rsid w:val="00FF3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A4DAB392-32F7-4B38-8CFD-1933ED66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E3"/>
    <w:pPr>
      <w:jc w:val="both"/>
    </w:pPr>
    <w:rPr>
      <w:rFonts w:ascii="Tahoma" w:hAnsi="Tahoma" w:cs="Tahoma"/>
      <w:color w:val="333333"/>
      <w:spacing w:val="10"/>
      <w:lang w:eastAsia="en-US"/>
    </w:rPr>
  </w:style>
  <w:style w:type="paragraph" w:styleId="Heading1">
    <w:name w:val="heading 1"/>
    <w:basedOn w:val="Normal"/>
    <w:next w:val="Normal"/>
    <w:qFormat/>
    <w:rsid w:val="00C56FE3"/>
    <w:pPr>
      <w:keepNext/>
      <w:spacing w:before="240" w:after="60"/>
      <w:outlineLvl w:val="0"/>
    </w:pPr>
    <w:rPr>
      <w:rFonts w:ascii="Arial" w:hAnsi="Arial"/>
      <w:kern w:val="28"/>
      <w:sz w:val="28"/>
    </w:rPr>
  </w:style>
  <w:style w:type="paragraph" w:styleId="Heading2">
    <w:name w:val="heading 2"/>
    <w:basedOn w:val="Normal"/>
    <w:next w:val="Normal"/>
    <w:qFormat/>
    <w:rsid w:val="00C56FE3"/>
    <w:pPr>
      <w:keepNext/>
      <w:spacing w:before="240" w:after="6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6FE3"/>
    <w:pPr>
      <w:framePr w:w="7920" w:h="1980" w:hRule="exact" w:hSpace="180" w:wrap="auto" w:hAnchor="page" w:xAlign="center" w:yAlign="bottom"/>
      <w:ind w:left="2880"/>
    </w:pPr>
  </w:style>
  <w:style w:type="paragraph" w:customStyle="1" w:styleId="Style4">
    <w:name w:val="Style4"/>
    <w:basedOn w:val="Normal"/>
    <w:rsid w:val="00C56FE3"/>
  </w:style>
  <w:style w:type="paragraph" w:styleId="Header">
    <w:name w:val="header"/>
    <w:basedOn w:val="Normal"/>
    <w:link w:val="HeaderChar"/>
    <w:rsid w:val="00247DB6"/>
    <w:pPr>
      <w:tabs>
        <w:tab w:val="center" w:pos="4153"/>
        <w:tab w:val="right" w:pos="8306"/>
      </w:tabs>
      <w:spacing w:line="260" w:lineRule="atLeast"/>
    </w:pPr>
    <w:rPr>
      <w:rFonts w:ascii="Arial" w:hAnsi="Arial" w:cs="Times New Roman"/>
      <w:color w:val="auto"/>
      <w:spacing w:val="0"/>
      <w:sz w:val="21"/>
      <w:szCs w:val="24"/>
    </w:rPr>
  </w:style>
  <w:style w:type="paragraph" w:styleId="Footer">
    <w:name w:val="footer"/>
    <w:basedOn w:val="Normal"/>
    <w:link w:val="FooterChar"/>
    <w:rsid w:val="00CA05D9"/>
    <w:pPr>
      <w:tabs>
        <w:tab w:val="center" w:pos="4513"/>
        <w:tab w:val="right" w:pos="9026"/>
      </w:tabs>
    </w:pPr>
  </w:style>
  <w:style w:type="character" w:customStyle="1" w:styleId="FooterChar">
    <w:name w:val="Footer Char"/>
    <w:basedOn w:val="DefaultParagraphFont"/>
    <w:link w:val="Footer"/>
    <w:rsid w:val="00CA05D9"/>
    <w:rPr>
      <w:rFonts w:ascii="Tahoma" w:hAnsi="Tahoma" w:cs="Tahoma"/>
      <w:color w:val="333333"/>
      <w:spacing w:val="10"/>
      <w:lang w:eastAsia="en-US"/>
    </w:rPr>
  </w:style>
  <w:style w:type="character" w:customStyle="1" w:styleId="HeaderChar">
    <w:name w:val="Header Char"/>
    <w:basedOn w:val="DefaultParagraphFont"/>
    <w:link w:val="Header"/>
    <w:rsid w:val="00EE1005"/>
    <w:rPr>
      <w:rFonts w:ascii="Arial" w:hAnsi="Arial"/>
      <w:sz w:val="21"/>
      <w:szCs w:val="24"/>
      <w:lang w:eastAsia="en-US"/>
    </w:rPr>
  </w:style>
  <w:style w:type="paragraph" w:styleId="ListParagraph">
    <w:name w:val="List Paragraph"/>
    <w:basedOn w:val="Normal"/>
    <w:uiPriority w:val="34"/>
    <w:qFormat/>
    <w:rsid w:val="00526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03D7-E600-402E-B026-148B2BB8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7641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(Tahoma 22 – Black)</vt:lpstr>
    </vt:vector>
  </TitlesOfParts>
  <Company>Barton Willmore</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(Tahoma 22 – Black)</dc:title>
  <dc:creator>Sue Overhill</dc:creator>
  <cp:lastModifiedBy>Paul Derry</cp:lastModifiedBy>
  <cp:revision>2</cp:revision>
  <cp:lastPrinted>2013-06-26T09:44:00Z</cp:lastPrinted>
  <dcterms:created xsi:type="dcterms:W3CDTF">2017-04-24T16:29:00Z</dcterms:created>
  <dcterms:modified xsi:type="dcterms:W3CDTF">2017-04-24T16:29:00Z</dcterms:modified>
</cp:coreProperties>
</file>