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6D" w:rsidRPr="00D95E65" w:rsidRDefault="00B71EB1" w:rsidP="00D95E65">
      <w:pPr>
        <w:jc w:val="center"/>
        <w:rPr>
          <w:rFonts w:ascii="Arial" w:hAnsi="Arial" w:cs="Arial"/>
          <w:b/>
          <w:sz w:val="32"/>
        </w:rPr>
      </w:pPr>
      <w:r w:rsidRPr="00D95E65">
        <w:rPr>
          <w:rFonts w:ascii="Arial" w:hAnsi="Arial" w:cs="Arial"/>
          <w:b/>
          <w:sz w:val="32"/>
        </w:rPr>
        <w:t>Energy and Sustainability Consultation Response</w:t>
      </w:r>
    </w:p>
    <w:p w:rsidR="00B71EB1" w:rsidRPr="00B71EB1" w:rsidRDefault="00B71EB1">
      <w:pPr>
        <w:rPr>
          <w:rFonts w:ascii="Arial" w:hAnsi="Arial" w:cs="Arial"/>
          <w:color w:val="FF0000"/>
        </w:rPr>
      </w:pPr>
    </w:p>
    <w:tbl>
      <w:tblPr>
        <w:tblStyle w:val="TableGrid"/>
        <w:tblW w:w="0" w:type="auto"/>
        <w:tblLook w:val="04A0" w:firstRow="1" w:lastRow="0" w:firstColumn="1" w:lastColumn="0" w:noHBand="0" w:noVBand="1"/>
      </w:tblPr>
      <w:tblGrid>
        <w:gridCol w:w="4621"/>
        <w:gridCol w:w="4621"/>
      </w:tblGrid>
      <w:tr w:rsidR="00B71EB1" w:rsidTr="00602701">
        <w:tc>
          <w:tcPr>
            <w:tcW w:w="4621"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Scheme address</w:t>
            </w:r>
          </w:p>
        </w:tc>
        <w:tc>
          <w:tcPr>
            <w:tcW w:w="4621" w:type="dxa"/>
          </w:tcPr>
          <w:p w:rsidR="00ED2B25" w:rsidRPr="00ED2B25" w:rsidRDefault="00ED2B25" w:rsidP="00ED2B25">
            <w:pPr>
              <w:rPr>
                <w:rFonts w:ascii="Arial" w:hAnsi="Arial" w:cs="Arial"/>
              </w:rPr>
            </w:pPr>
            <w:r w:rsidRPr="00ED2B25">
              <w:rPr>
                <w:rFonts w:ascii="Arial" w:hAnsi="Arial" w:cs="Arial"/>
              </w:rPr>
              <w:t>13 Murray Mews</w:t>
            </w:r>
          </w:p>
          <w:p w:rsidR="00ED2B25" w:rsidRPr="00ED2B25" w:rsidRDefault="00ED2B25" w:rsidP="00ED2B25">
            <w:pPr>
              <w:rPr>
                <w:rFonts w:ascii="Arial" w:hAnsi="Arial" w:cs="Arial"/>
              </w:rPr>
            </w:pPr>
            <w:r w:rsidRPr="00ED2B25">
              <w:rPr>
                <w:rFonts w:ascii="Arial" w:hAnsi="Arial" w:cs="Arial"/>
              </w:rPr>
              <w:t>London</w:t>
            </w:r>
          </w:p>
          <w:p w:rsidR="00B71EB1" w:rsidRDefault="00ED2B25" w:rsidP="00ED2B25">
            <w:pPr>
              <w:rPr>
                <w:rFonts w:ascii="Arial" w:hAnsi="Arial" w:cs="Arial"/>
              </w:rPr>
            </w:pPr>
            <w:r w:rsidRPr="00ED2B25">
              <w:rPr>
                <w:rFonts w:ascii="Arial" w:hAnsi="Arial" w:cs="Arial"/>
              </w:rPr>
              <w:t>NW1 9RJ</w:t>
            </w:r>
          </w:p>
        </w:tc>
      </w:tr>
      <w:tr w:rsidR="00B71EB1" w:rsidTr="00602701">
        <w:tc>
          <w:tcPr>
            <w:tcW w:w="4621"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Planning reference number</w:t>
            </w:r>
          </w:p>
        </w:tc>
        <w:tc>
          <w:tcPr>
            <w:tcW w:w="4621" w:type="dxa"/>
          </w:tcPr>
          <w:p w:rsidR="00B71EB1" w:rsidRDefault="00ED2B25">
            <w:pPr>
              <w:rPr>
                <w:rFonts w:ascii="Arial" w:hAnsi="Arial" w:cs="Arial"/>
              </w:rPr>
            </w:pPr>
            <w:r w:rsidRPr="00ED2B25">
              <w:rPr>
                <w:rFonts w:ascii="Arial" w:hAnsi="Arial" w:cs="Arial"/>
              </w:rPr>
              <w:t>2016/6897/P</w:t>
            </w:r>
          </w:p>
        </w:tc>
      </w:tr>
      <w:tr w:rsidR="00B71EB1" w:rsidTr="00602701">
        <w:tc>
          <w:tcPr>
            <w:tcW w:w="4621"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Description of development</w:t>
            </w:r>
          </w:p>
        </w:tc>
        <w:tc>
          <w:tcPr>
            <w:tcW w:w="4621" w:type="dxa"/>
          </w:tcPr>
          <w:p w:rsidR="00B71EB1" w:rsidRDefault="00ED2B25">
            <w:pPr>
              <w:rPr>
                <w:rFonts w:ascii="Arial" w:hAnsi="Arial" w:cs="Arial"/>
              </w:rPr>
            </w:pPr>
            <w:r w:rsidRPr="00ED2B25">
              <w:rPr>
                <w:rFonts w:ascii="Arial" w:hAnsi="Arial" w:cs="Arial"/>
              </w:rPr>
              <w:t xml:space="preserve">The erection of a 3 storey mews house (Class C3) following demolition of the existing lock up garages.  </w:t>
            </w:r>
          </w:p>
        </w:tc>
      </w:tr>
      <w:tr w:rsidR="00B71EB1" w:rsidTr="00602701">
        <w:tc>
          <w:tcPr>
            <w:tcW w:w="4621"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No. of residential units</w:t>
            </w:r>
          </w:p>
        </w:tc>
        <w:tc>
          <w:tcPr>
            <w:tcW w:w="4621" w:type="dxa"/>
          </w:tcPr>
          <w:p w:rsidR="00B71EB1" w:rsidRDefault="00ED2B25">
            <w:pPr>
              <w:rPr>
                <w:rFonts w:ascii="Arial" w:hAnsi="Arial" w:cs="Arial"/>
              </w:rPr>
            </w:pPr>
            <w:r>
              <w:rPr>
                <w:rFonts w:ascii="Arial" w:hAnsi="Arial" w:cs="Arial"/>
              </w:rPr>
              <w:t>1</w:t>
            </w:r>
          </w:p>
        </w:tc>
      </w:tr>
      <w:tr w:rsidR="00B71EB1" w:rsidTr="00602701">
        <w:tc>
          <w:tcPr>
            <w:tcW w:w="4621" w:type="dxa"/>
            <w:shd w:val="clear" w:color="auto" w:fill="DBE5F1" w:themeFill="accent1" w:themeFillTint="33"/>
          </w:tcPr>
          <w:p w:rsidR="00B71EB1" w:rsidRPr="00602701" w:rsidRDefault="00B71EB1" w:rsidP="00B71EB1">
            <w:pPr>
              <w:rPr>
                <w:rFonts w:ascii="Arial" w:hAnsi="Arial" w:cs="Arial"/>
                <w:b/>
              </w:rPr>
            </w:pPr>
            <w:r w:rsidRPr="00602701">
              <w:rPr>
                <w:rFonts w:ascii="Arial" w:hAnsi="Arial" w:cs="Arial"/>
                <w:b/>
              </w:rPr>
              <w:t>Non-residential floor space (GIA m2)</w:t>
            </w:r>
          </w:p>
        </w:tc>
        <w:tc>
          <w:tcPr>
            <w:tcW w:w="4621" w:type="dxa"/>
          </w:tcPr>
          <w:p w:rsidR="00B71EB1" w:rsidRDefault="00ED2B25">
            <w:pPr>
              <w:rPr>
                <w:rFonts w:ascii="Arial" w:hAnsi="Arial" w:cs="Arial"/>
              </w:rPr>
            </w:pPr>
            <w:r>
              <w:rPr>
                <w:rFonts w:ascii="Arial" w:hAnsi="Arial" w:cs="Arial"/>
              </w:rPr>
              <w:t>N/A</w:t>
            </w:r>
          </w:p>
        </w:tc>
      </w:tr>
      <w:tr w:rsidR="00B71EB1" w:rsidTr="00602701">
        <w:tc>
          <w:tcPr>
            <w:tcW w:w="4621" w:type="dxa"/>
            <w:shd w:val="clear" w:color="auto" w:fill="DBE5F1" w:themeFill="accent1" w:themeFillTint="33"/>
          </w:tcPr>
          <w:p w:rsidR="00B71EB1" w:rsidRPr="00602701" w:rsidRDefault="00B71EB1" w:rsidP="00B71EB1">
            <w:pPr>
              <w:rPr>
                <w:rFonts w:ascii="Arial" w:hAnsi="Arial" w:cs="Arial"/>
                <w:b/>
              </w:rPr>
            </w:pPr>
            <w:r w:rsidRPr="00602701">
              <w:rPr>
                <w:rFonts w:ascii="Arial" w:hAnsi="Arial" w:cs="Arial"/>
                <w:b/>
              </w:rPr>
              <w:t>Type of non-residential floor space</w:t>
            </w:r>
          </w:p>
        </w:tc>
        <w:tc>
          <w:tcPr>
            <w:tcW w:w="4621" w:type="dxa"/>
          </w:tcPr>
          <w:p w:rsidR="00B71EB1" w:rsidRDefault="00ED2B25">
            <w:pPr>
              <w:rPr>
                <w:rFonts w:ascii="Arial" w:hAnsi="Arial" w:cs="Arial"/>
              </w:rPr>
            </w:pPr>
            <w:r>
              <w:rPr>
                <w:rFonts w:ascii="Arial" w:hAnsi="Arial" w:cs="Arial"/>
              </w:rPr>
              <w:t>N/A</w:t>
            </w:r>
          </w:p>
        </w:tc>
      </w:tr>
      <w:tr w:rsidR="00B71EB1" w:rsidTr="00602701">
        <w:tc>
          <w:tcPr>
            <w:tcW w:w="4621" w:type="dxa"/>
            <w:shd w:val="clear" w:color="auto" w:fill="DBE5F1" w:themeFill="accent1" w:themeFillTint="33"/>
          </w:tcPr>
          <w:p w:rsidR="00B71EB1" w:rsidRPr="00602701" w:rsidRDefault="00B71EB1" w:rsidP="00B71EB1">
            <w:pPr>
              <w:rPr>
                <w:rFonts w:ascii="Arial" w:hAnsi="Arial" w:cs="Arial"/>
                <w:b/>
              </w:rPr>
            </w:pPr>
            <w:r w:rsidRPr="00602701">
              <w:rPr>
                <w:rFonts w:ascii="Arial" w:hAnsi="Arial" w:cs="Arial"/>
                <w:b/>
              </w:rPr>
              <w:t xml:space="preserve">Building regulations requirements  </w:t>
            </w:r>
          </w:p>
        </w:tc>
        <w:tc>
          <w:tcPr>
            <w:tcW w:w="4621" w:type="dxa"/>
          </w:tcPr>
          <w:p w:rsidR="00B71EB1" w:rsidRDefault="00B71EB1" w:rsidP="00ED2B25">
            <w:pPr>
              <w:rPr>
                <w:rFonts w:ascii="Arial" w:hAnsi="Arial" w:cs="Arial"/>
              </w:rPr>
            </w:pPr>
            <w:r>
              <w:rPr>
                <w:rFonts w:ascii="Arial" w:hAnsi="Arial" w:cs="Arial"/>
              </w:rPr>
              <w:t xml:space="preserve">Assessed under </w:t>
            </w:r>
            <w:r w:rsidR="00ED2B25" w:rsidRPr="00ED2B25">
              <w:rPr>
                <w:rFonts w:ascii="Arial" w:hAnsi="Arial" w:cs="Arial"/>
              </w:rPr>
              <w:t>L1A</w:t>
            </w:r>
          </w:p>
        </w:tc>
      </w:tr>
      <w:tr w:rsidR="00D0327D" w:rsidTr="00602701">
        <w:tc>
          <w:tcPr>
            <w:tcW w:w="4621" w:type="dxa"/>
            <w:shd w:val="clear" w:color="auto" w:fill="DBE5F1" w:themeFill="accent1" w:themeFillTint="33"/>
          </w:tcPr>
          <w:p w:rsidR="00D0327D" w:rsidRPr="00602701" w:rsidRDefault="00D0327D" w:rsidP="00B71EB1">
            <w:pPr>
              <w:rPr>
                <w:rFonts w:ascii="Arial" w:hAnsi="Arial" w:cs="Arial"/>
                <w:b/>
              </w:rPr>
            </w:pPr>
            <w:r w:rsidRPr="00602701">
              <w:rPr>
                <w:rFonts w:ascii="Arial" w:hAnsi="Arial" w:cs="Arial"/>
                <w:b/>
              </w:rPr>
              <w:t>Relevant documents</w:t>
            </w:r>
            <w:r w:rsidR="00274BEC">
              <w:rPr>
                <w:rFonts w:ascii="Arial" w:hAnsi="Arial" w:cs="Arial"/>
                <w:b/>
              </w:rPr>
              <w:t xml:space="preserve"> for reference</w:t>
            </w:r>
          </w:p>
        </w:tc>
        <w:tc>
          <w:tcPr>
            <w:tcW w:w="4621" w:type="dxa"/>
          </w:tcPr>
          <w:p w:rsidR="00C93303" w:rsidRDefault="0047516A" w:rsidP="00C93303">
            <w:pPr>
              <w:rPr>
                <w:rFonts w:ascii="Arial" w:hAnsi="Arial" w:cs="Arial"/>
              </w:rPr>
            </w:pPr>
            <w:r>
              <w:rPr>
                <w:rFonts w:ascii="Arial" w:hAnsi="Arial" w:cs="Arial"/>
              </w:rPr>
              <w:t xml:space="preserve">Sustainability Statement, </w:t>
            </w:r>
            <w:r w:rsidR="00C93303">
              <w:rPr>
                <w:rFonts w:ascii="Arial" w:hAnsi="Arial" w:cs="Arial"/>
              </w:rPr>
              <w:t xml:space="preserve">by </w:t>
            </w:r>
            <w:r w:rsidR="00C93303" w:rsidRPr="00C93303">
              <w:rPr>
                <w:rFonts w:ascii="Arial" w:hAnsi="Arial" w:cs="Arial"/>
              </w:rPr>
              <w:t>J Simpson</w:t>
            </w:r>
            <w:r w:rsidR="00C93303">
              <w:rPr>
                <w:rFonts w:ascii="Arial" w:hAnsi="Arial" w:cs="Arial"/>
              </w:rPr>
              <w:t xml:space="preserve"> of </w:t>
            </w:r>
            <w:r w:rsidR="00C93303">
              <w:rPr>
                <w:rFonts w:ascii="Arial" w:hAnsi="Arial" w:cs="Arial"/>
              </w:rPr>
              <w:t>AJ Energy Consultants Limited</w:t>
            </w:r>
            <w:r w:rsidR="002E2240">
              <w:rPr>
                <w:rFonts w:ascii="Arial" w:hAnsi="Arial" w:cs="Arial"/>
              </w:rPr>
              <w:t>,</w:t>
            </w:r>
            <w:r w:rsidR="00C93303">
              <w:rPr>
                <w:rFonts w:ascii="Arial" w:hAnsi="Arial" w:cs="Arial"/>
              </w:rPr>
              <w:t xml:space="preserve"> </w:t>
            </w:r>
            <w:r w:rsidR="00C93303">
              <w:rPr>
                <w:rFonts w:ascii="Arial" w:hAnsi="Arial" w:cs="Arial"/>
              </w:rPr>
              <w:t>and dated 27 February 2017</w:t>
            </w:r>
          </w:p>
          <w:p w:rsidR="00C93303" w:rsidRDefault="00C93303">
            <w:pPr>
              <w:rPr>
                <w:rFonts w:ascii="Arial" w:hAnsi="Arial" w:cs="Arial"/>
              </w:rPr>
            </w:pPr>
          </w:p>
          <w:p w:rsidR="00C93303" w:rsidRDefault="00C93303">
            <w:pPr>
              <w:rPr>
                <w:rFonts w:ascii="Arial" w:hAnsi="Arial" w:cs="Arial"/>
              </w:rPr>
            </w:pPr>
            <w:r>
              <w:rPr>
                <w:rFonts w:ascii="Arial" w:hAnsi="Arial" w:cs="Arial"/>
              </w:rPr>
              <w:t xml:space="preserve">Energy Assessment, </w:t>
            </w:r>
            <w:r>
              <w:rPr>
                <w:rFonts w:ascii="Arial" w:hAnsi="Arial" w:cs="Arial"/>
              </w:rPr>
              <w:t xml:space="preserve">by </w:t>
            </w:r>
            <w:r w:rsidRPr="00C93303">
              <w:rPr>
                <w:rFonts w:ascii="Arial" w:hAnsi="Arial" w:cs="Arial"/>
              </w:rPr>
              <w:t>J Simpson</w:t>
            </w:r>
            <w:r>
              <w:rPr>
                <w:rFonts w:ascii="Arial" w:hAnsi="Arial" w:cs="Arial"/>
              </w:rPr>
              <w:t xml:space="preserve"> of</w:t>
            </w:r>
            <w:r>
              <w:rPr>
                <w:rFonts w:ascii="Arial" w:hAnsi="Arial" w:cs="Arial"/>
              </w:rPr>
              <w:t xml:space="preserve"> AJ Energy Consultants Limited, and dated 27 February 2017</w:t>
            </w:r>
          </w:p>
        </w:tc>
      </w:tr>
    </w:tbl>
    <w:p w:rsidR="00D01AC6" w:rsidRPr="00C93303" w:rsidRDefault="00D01AC6" w:rsidP="00D01AC6">
      <w:pPr>
        <w:rPr>
          <w:rFonts w:ascii="Arial" w:hAnsi="Arial" w:cs="Arial"/>
          <w:lang w:val="en-US"/>
        </w:rPr>
      </w:pPr>
    </w:p>
    <w:p w:rsidR="00764FD2" w:rsidRPr="00C93303" w:rsidRDefault="000146FE" w:rsidP="00764FD2">
      <w:pPr>
        <w:rPr>
          <w:rFonts w:ascii="Arial" w:hAnsi="Arial" w:cs="Arial"/>
          <w:szCs w:val="28"/>
          <w:lang w:val="en-US"/>
        </w:rPr>
      </w:pPr>
      <w:r w:rsidRPr="00C93303">
        <w:rPr>
          <w:rFonts w:ascii="Arial" w:hAnsi="Arial" w:cs="Arial"/>
          <w:b/>
        </w:rPr>
        <w:t>POLICY REQUIREMENT</w:t>
      </w:r>
      <w:r w:rsidR="00274BEC" w:rsidRPr="00C93303">
        <w:rPr>
          <w:rFonts w:ascii="Arial" w:hAnsi="Arial" w:cs="Arial"/>
          <w:b/>
        </w:rPr>
        <w:t>:</w:t>
      </w:r>
      <w:r w:rsidR="00ED2B25" w:rsidRPr="00C93303">
        <w:rPr>
          <w:rFonts w:ascii="Arial" w:hAnsi="Arial" w:cs="Arial"/>
          <w:b/>
        </w:rPr>
        <w:t xml:space="preserve"> </w:t>
      </w:r>
      <w:r w:rsidR="00764FD2" w:rsidRPr="00C93303">
        <w:rPr>
          <w:rFonts w:ascii="Arial" w:hAnsi="Arial" w:cs="Arial"/>
          <w:b/>
          <w:szCs w:val="28"/>
          <w:lang w:val="en-US"/>
        </w:rPr>
        <w:t xml:space="preserve">NEW BUILD MINOR RESIDENTIAL </w:t>
      </w:r>
    </w:p>
    <w:p w:rsidR="00D01AC6" w:rsidRPr="00C93303" w:rsidRDefault="00D01AC6" w:rsidP="00D01AC6">
      <w:pPr>
        <w:rPr>
          <w:rFonts w:ascii="Arial" w:hAnsi="Arial" w:cs="Arial"/>
          <w:i/>
          <w:szCs w:val="28"/>
          <w:lang w:val="en-US"/>
        </w:rPr>
      </w:pPr>
      <w:r w:rsidRPr="00C93303">
        <w:rPr>
          <w:rFonts w:ascii="Arial" w:hAnsi="Arial" w:cs="Arial"/>
          <w:b/>
          <w:i/>
          <w:szCs w:val="28"/>
          <w:lang w:val="en-US"/>
        </w:rPr>
        <w:t xml:space="preserve">5 or more residential units or &gt;500m </w:t>
      </w:r>
      <w:proofErr w:type="spellStart"/>
      <w:r w:rsidRPr="00C93303">
        <w:rPr>
          <w:rFonts w:ascii="Arial" w:hAnsi="Arial" w:cs="Arial"/>
          <w:b/>
          <w:i/>
          <w:szCs w:val="28"/>
          <w:lang w:val="en-US"/>
        </w:rPr>
        <w:t>sq</w:t>
      </w:r>
      <w:proofErr w:type="spellEnd"/>
      <w:r w:rsidRPr="00C93303">
        <w:rPr>
          <w:rFonts w:ascii="Arial" w:hAnsi="Arial" w:cs="Arial"/>
          <w:b/>
          <w:i/>
          <w:szCs w:val="28"/>
          <w:lang w:val="en-US"/>
        </w:rPr>
        <w:t xml:space="preserve"> GIA:</w:t>
      </w:r>
      <w:r w:rsidRPr="00C93303">
        <w:rPr>
          <w:rFonts w:ascii="Arial" w:hAnsi="Arial" w:cs="Arial"/>
          <w:i/>
          <w:szCs w:val="28"/>
          <w:lang w:val="en-US"/>
        </w:rPr>
        <w:t xml:space="preserve"> are expected to submit an </w:t>
      </w:r>
      <w:r w:rsidRPr="00C93303">
        <w:rPr>
          <w:rFonts w:ascii="Arial" w:hAnsi="Arial" w:cs="Arial"/>
          <w:b/>
          <w:i/>
          <w:szCs w:val="28"/>
          <w:u w:val="single"/>
          <w:lang w:val="en-US"/>
        </w:rPr>
        <w:t>energy statement</w:t>
      </w:r>
      <w:r w:rsidRPr="00C93303">
        <w:rPr>
          <w:rFonts w:ascii="Arial" w:hAnsi="Arial" w:cs="Arial"/>
          <w:i/>
          <w:szCs w:val="28"/>
          <w:lang w:val="en-US"/>
        </w:rPr>
        <w:t xml:space="preserve">, but </w:t>
      </w:r>
      <w:r w:rsidRPr="00C93303">
        <w:rPr>
          <w:rFonts w:ascii="Arial" w:hAnsi="Arial" w:cs="Arial"/>
          <w:b/>
          <w:i/>
          <w:szCs w:val="28"/>
          <w:lang w:val="en-US"/>
        </w:rPr>
        <w:t>ALL new-build minor residential development (adding 1+ unit)</w:t>
      </w:r>
      <w:r w:rsidRPr="00C93303">
        <w:rPr>
          <w:rFonts w:ascii="Arial" w:hAnsi="Arial" w:cs="Arial"/>
          <w:i/>
          <w:szCs w:val="28"/>
          <w:lang w:val="en-US"/>
        </w:rPr>
        <w:t xml:space="preserve"> will need to meet the following policy requirements:</w:t>
      </w:r>
    </w:p>
    <w:p w:rsidR="00D01AC6" w:rsidRPr="00C93303" w:rsidRDefault="00D01AC6" w:rsidP="00D01AC6">
      <w:pPr>
        <w:pStyle w:val="ListParagraph"/>
        <w:numPr>
          <w:ilvl w:val="0"/>
          <w:numId w:val="23"/>
        </w:numPr>
        <w:spacing w:after="0" w:line="240" w:lineRule="auto"/>
        <w:rPr>
          <w:rFonts w:ascii="Arial" w:hAnsi="Arial" w:cs="Arial"/>
          <w:i/>
          <w:szCs w:val="28"/>
          <w:lang w:val="en-US"/>
        </w:rPr>
      </w:pPr>
      <w:r w:rsidRPr="00C93303">
        <w:rPr>
          <w:rFonts w:ascii="Arial" w:hAnsi="Arial" w:cs="Arial"/>
          <w:i/>
          <w:szCs w:val="28"/>
          <w:lang w:val="en-US"/>
        </w:rPr>
        <w:t xml:space="preserve">Follow the hierarchy of energy efficiency, </w:t>
      </w:r>
      <w:proofErr w:type="spellStart"/>
      <w:r w:rsidRPr="00C93303">
        <w:rPr>
          <w:rFonts w:ascii="Arial" w:hAnsi="Arial" w:cs="Arial"/>
          <w:i/>
          <w:szCs w:val="28"/>
          <w:lang w:val="en-US"/>
        </w:rPr>
        <w:t>decentralised</w:t>
      </w:r>
      <w:proofErr w:type="spellEnd"/>
      <w:r w:rsidRPr="00C93303">
        <w:rPr>
          <w:rFonts w:ascii="Arial" w:hAnsi="Arial" w:cs="Arial"/>
          <w:i/>
          <w:szCs w:val="28"/>
          <w:lang w:val="en-US"/>
        </w:rPr>
        <w:t xml:space="preserve"> energy and renewable energy technologies set out in the London Plan (2011) Chapter 5 (particularly Policy 5.2) to secure a minimum 19% reduction in regulated CO2 emissions below the maximum threshold allowed under Part L 2013 (19% is equivalent to code 4 mandatory requirements). GLA guidance on preparing energy assessments and CPG3 should be followed. In particular, improvements should be sought on the minimum building fabric targets set in Part L of the building regulations</w:t>
      </w:r>
    </w:p>
    <w:p w:rsidR="00D01AC6" w:rsidRPr="00C93303" w:rsidRDefault="00D01AC6" w:rsidP="00D01AC6">
      <w:pPr>
        <w:pStyle w:val="ListParagraph"/>
        <w:numPr>
          <w:ilvl w:val="0"/>
          <w:numId w:val="23"/>
        </w:numPr>
        <w:spacing w:after="0" w:line="240" w:lineRule="auto"/>
        <w:rPr>
          <w:rFonts w:ascii="Arial" w:hAnsi="Arial" w:cs="Arial"/>
          <w:i/>
          <w:szCs w:val="28"/>
          <w:lang w:val="en-US"/>
        </w:rPr>
      </w:pPr>
      <w:r w:rsidRPr="00C93303">
        <w:rPr>
          <w:rFonts w:ascii="Arial" w:hAnsi="Arial" w:cs="Arial"/>
          <w:i/>
          <w:szCs w:val="28"/>
          <w:lang w:val="en-US"/>
        </w:rPr>
        <w:t>CS13 requires all developments to achieve a 20% reduction in CO2 emissions through renewable technologies (the 3</w:t>
      </w:r>
      <w:r w:rsidRPr="00C93303">
        <w:rPr>
          <w:rFonts w:ascii="Arial" w:hAnsi="Arial" w:cs="Arial"/>
          <w:i/>
          <w:szCs w:val="28"/>
          <w:vertAlign w:val="superscript"/>
          <w:lang w:val="en-US"/>
        </w:rPr>
        <w:t>rd</w:t>
      </w:r>
      <w:r w:rsidRPr="00C93303">
        <w:rPr>
          <w:rFonts w:ascii="Arial" w:hAnsi="Arial" w:cs="Arial"/>
          <w:i/>
          <w:szCs w:val="28"/>
          <w:lang w:val="en-US"/>
        </w:rPr>
        <w:t xml:space="preserve"> stage of the energy hierarchy) wherever feasible, and this should be demonstrated through the energy statement.</w:t>
      </w:r>
    </w:p>
    <w:p w:rsidR="00D01AC6" w:rsidRPr="00C93303" w:rsidRDefault="00D01AC6" w:rsidP="00D01AC6">
      <w:pPr>
        <w:rPr>
          <w:rFonts w:ascii="Arial" w:hAnsi="Arial" w:cs="Arial"/>
          <w:i/>
          <w:szCs w:val="28"/>
          <w:lang w:val="en-US"/>
        </w:rPr>
      </w:pPr>
    </w:p>
    <w:p w:rsidR="00D01AC6" w:rsidRPr="00C93303" w:rsidRDefault="00D01AC6" w:rsidP="00D01AC6">
      <w:pPr>
        <w:rPr>
          <w:rFonts w:ascii="Arial" w:hAnsi="Arial" w:cs="Arial"/>
          <w:i/>
          <w:szCs w:val="28"/>
          <w:lang w:val="en-US"/>
        </w:rPr>
      </w:pPr>
      <w:r w:rsidRPr="00C93303">
        <w:rPr>
          <w:rFonts w:ascii="Arial" w:hAnsi="Arial" w:cs="Arial"/>
          <w:b/>
          <w:i/>
          <w:szCs w:val="28"/>
          <w:u w:val="single"/>
          <w:lang w:val="en-US"/>
        </w:rPr>
        <w:t>All</w:t>
      </w:r>
      <w:r w:rsidRPr="00C93303">
        <w:rPr>
          <w:rFonts w:ascii="Arial" w:hAnsi="Arial" w:cs="Arial"/>
          <w:b/>
          <w:i/>
          <w:szCs w:val="28"/>
          <w:lang w:val="en-US"/>
        </w:rPr>
        <w:t xml:space="preserve"> minor residential developments (over 1+ unit)</w:t>
      </w:r>
      <w:r w:rsidRPr="00C93303">
        <w:rPr>
          <w:rFonts w:ascii="Arial" w:hAnsi="Arial" w:cs="Arial"/>
          <w:i/>
          <w:szCs w:val="28"/>
          <w:lang w:val="en-US"/>
        </w:rPr>
        <w:t xml:space="preserve"> are also expected to submit </w:t>
      </w:r>
      <w:r w:rsidRPr="00C93303">
        <w:rPr>
          <w:rFonts w:ascii="Arial" w:hAnsi="Arial" w:cs="Arial"/>
          <w:b/>
          <w:i/>
          <w:szCs w:val="28"/>
          <w:u w:val="single"/>
          <w:lang w:val="en-US"/>
        </w:rPr>
        <w:t xml:space="preserve">a sustainability statement </w:t>
      </w:r>
      <w:r w:rsidRPr="00C93303">
        <w:rPr>
          <w:rFonts w:ascii="Arial" w:hAnsi="Arial" w:cs="Arial"/>
          <w:i/>
          <w:szCs w:val="28"/>
          <w:lang w:val="en-US"/>
        </w:rPr>
        <w:t>- the detail of which to be commensurate with the scale of the development showing how the development will:</w:t>
      </w:r>
    </w:p>
    <w:p w:rsidR="00D01AC6" w:rsidRPr="00C93303" w:rsidRDefault="00D01AC6" w:rsidP="00D01AC6">
      <w:pPr>
        <w:pStyle w:val="ListParagraph"/>
        <w:numPr>
          <w:ilvl w:val="0"/>
          <w:numId w:val="23"/>
        </w:numPr>
        <w:spacing w:after="0" w:line="240" w:lineRule="auto"/>
        <w:rPr>
          <w:rFonts w:ascii="Arial" w:hAnsi="Arial" w:cs="Arial"/>
          <w:i/>
          <w:szCs w:val="28"/>
          <w:lang w:val="en-US"/>
        </w:rPr>
      </w:pPr>
      <w:r w:rsidRPr="00C93303">
        <w:rPr>
          <w:rFonts w:ascii="Arial" w:hAnsi="Arial" w:cs="Arial"/>
          <w:i/>
          <w:szCs w:val="28"/>
          <w:lang w:val="en-US"/>
        </w:rPr>
        <w:t xml:space="preserve">Implement the sustainable design principles as noted in policy DP22 </w:t>
      </w:r>
    </w:p>
    <w:p w:rsidR="00D01AC6" w:rsidRPr="00C93303" w:rsidRDefault="00D01AC6" w:rsidP="00D01AC6">
      <w:pPr>
        <w:pStyle w:val="ListParagraph"/>
        <w:numPr>
          <w:ilvl w:val="0"/>
          <w:numId w:val="23"/>
        </w:numPr>
        <w:spacing w:after="0" w:line="240" w:lineRule="auto"/>
        <w:rPr>
          <w:rFonts w:ascii="Arial" w:hAnsi="Arial" w:cs="Arial"/>
          <w:i/>
          <w:szCs w:val="28"/>
          <w:lang w:val="en-US"/>
        </w:rPr>
      </w:pPr>
      <w:r w:rsidRPr="00C93303">
        <w:rPr>
          <w:rFonts w:ascii="Arial" w:hAnsi="Arial" w:cs="Arial"/>
          <w:i/>
          <w:szCs w:val="28"/>
          <w:lang w:val="en-US"/>
        </w:rPr>
        <w:t xml:space="preserve">Demonstrate that the development is capable of achieving a maximum </w:t>
      </w:r>
      <w:r w:rsidRPr="00C93303">
        <w:rPr>
          <w:rFonts w:ascii="Arial" w:hAnsi="Arial" w:cs="Arial"/>
          <w:i/>
          <w:szCs w:val="28"/>
          <w:u w:val="single"/>
          <w:lang w:val="en-US"/>
        </w:rPr>
        <w:t>internal water use</w:t>
      </w:r>
      <w:r w:rsidRPr="00C93303">
        <w:rPr>
          <w:rFonts w:ascii="Arial" w:hAnsi="Arial" w:cs="Arial"/>
          <w:i/>
          <w:szCs w:val="28"/>
          <w:lang w:val="en-US"/>
        </w:rPr>
        <w:t xml:space="preserve"> of 105 </w:t>
      </w:r>
      <w:proofErr w:type="spellStart"/>
      <w:r w:rsidRPr="00C93303">
        <w:rPr>
          <w:rFonts w:ascii="Arial" w:hAnsi="Arial" w:cs="Arial"/>
          <w:i/>
          <w:szCs w:val="28"/>
          <w:lang w:val="en-US"/>
        </w:rPr>
        <w:t>litres</w:t>
      </w:r>
      <w:proofErr w:type="spellEnd"/>
      <w:r w:rsidRPr="00C93303">
        <w:rPr>
          <w:rFonts w:ascii="Arial" w:hAnsi="Arial" w:cs="Arial"/>
          <w:i/>
          <w:szCs w:val="28"/>
          <w:lang w:val="en-US"/>
        </w:rPr>
        <w:t xml:space="preserve"> per day (plus an additional 5 </w:t>
      </w:r>
      <w:proofErr w:type="spellStart"/>
      <w:r w:rsidRPr="00C93303">
        <w:rPr>
          <w:rFonts w:ascii="Arial" w:hAnsi="Arial" w:cs="Arial"/>
          <w:i/>
          <w:szCs w:val="28"/>
          <w:lang w:val="en-US"/>
        </w:rPr>
        <w:t>litres</w:t>
      </w:r>
      <w:proofErr w:type="spellEnd"/>
      <w:r w:rsidRPr="00C93303">
        <w:rPr>
          <w:rFonts w:ascii="Arial" w:hAnsi="Arial" w:cs="Arial"/>
          <w:i/>
          <w:szCs w:val="28"/>
          <w:lang w:val="en-US"/>
        </w:rPr>
        <w:t xml:space="preserve"> for external water use).</w:t>
      </w:r>
    </w:p>
    <w:p w:rsidR="00D01AC6" w:rsidRDefault="00D01AC6" w:rsidP="00D01AC6">
      <w:pPr>
        <w:rPr>
          <w:rFonts w:ascii="Arial" w:hAnsi="Arial" w:cs="Arial"/>
          <w:szCs w:val="28"/>
          <w:lang w:val="en-US"/>
        </w:rPr>
      </w:pPr>
    </w:p>
    <w:p w:rsidR="0063723D" w:rsidRDefault="0063723D" w:rsidP="00D01AC6">
      <w:pPr>
        <w:rPr>
          <w:rFonts w:ascii="Arial" w:hAnsi="Arial" w:cs="Arial"/>
          <w:i/>
          <w:color w:val="FF0000"/>
          <w:szCs w:val="28"/>
          <w:lang w:val="en-US"/>
        </w:rPr>
      </w:pPr>
    </w:p>
    <w:p w:rsidR="00ED2B25" w:rsidRDefault="00ED2B25" w:rsidP="00D01AC6">
      <w:pPr>
        <w:rPr>
          <w:rFonts w:ascii="Arial" w:hAnsi="Arial" w:cs="Arial"/>
          <w:i/>
          <w:color w:val="FF0000"/>
          <w:szCs w:val="28"/>
          <w:lang w:val="en-US"/>
        </w:rPr>
      </w:pPr>
    </w:p>
    <w:p w:rsidR="00ED2B25" w:rsidRDefault="00ED2B25" w:rsidP="00D01AC6">
      <w:pPr>
        <w:rPr>
          <w:rFonts w:ascii="Arial" w:hAnsi="Arial" w:cs="Arial"/>
          <w:i/>
          <w:color w:val="FF0000"/>
          <w:szCs w:val="28"/>
          <w:lang w:val="en-US"/>
        </w:rPr>
      </w:pPr>
    </w:p>
    <w:p w:rsidR="00ED2B25" w:rsidRDefault="00ED2B25" w:rsidP="00D01AC6">
      <w:pPr>
        <w:rPr>
          <w:rFonts w:ascii="Arial" w:hAnsi="Arial" w:cs="Arial"/>
          <w:i/>
          <w:color w:val="FF0000"/>
          <w:szCs w:val="28"/>
          <w:lang w:val="en-US"/>
        </w:rPr>
      </w:pPr>
    </w:p>
    <w:p w:rsidR="00ED2B25" w:rsidRDefault="00ED2B25" w:rsidP="00D01AC6">
      <w:pPr>
        <w:rPr>
          <w:rFonts w:ascii="Arial" w:hAnsi="Arial" w:cs="Arial"/>
          <w:szCs w:val="28"/>
          <w:lang w:val="en-US"/>
        </w:rPr>
      </w:pPr>
    </w:p>
    <w:p w:rsidR="00D95E65" w:rsidRPr="00D95E65" w:rsidRDefault="00D95E65" w:rsidP="00D01AC6">
      <w:pPr>
        <w:rPr>
          <w:rFonts w:ascii="Arial" w:hAnsi="Arial" w:cs="Arial"/>
          <w:b/>
          <w:szCs w:val="28"/>
          <w:lang w:val="en-US"/>
        </w:rPr>
      </w:pPr>
      <w:r w:rsidRPr="00D95E65">
        <w:rPr>
          <w:rFonts w:ascii="Arial" w:hAnsi="Arial" w:cs="Arial"/>
          <w:b/>
          <w:szCs w:val="28"/>
          <w:lang w:val="en-US"/>
        </w:rPr>
        <w:t>ENERGY STATEMENT</w:t>
      </w:r>
    </w:p>
    <w:p w:rsidR="00B71EB1" w:rsidRPr="00ED2B25" w:rsidRDefault="00B71EB1" w:rsidP="00B71EB1">
      <w:pPr>
        <w:rPr>
          <w:rFonts w:ascii="Arial" w:hAnsi="Arial" w:cs="Arial"/>
          <w:b/>
          <w:sz w:val="20"/>
        </w:rPr>
      </w:pPr>
      <w:r w:rsidRPr="00D95E65">
        <w:rPr>
          <w:rFonts w:ascii="Arial" w:hAnsi="Arial" w:cs="Arial"/>
          <w:b/>
          <w:sz w:val="20"/>
        </w:rPr>
        <w:t>ENERGY HIEARCHY RESULTS:</w:t>
      </w:r>
    </w:p>
    <w:tbl>
      <w:tblPr>
        <w:tblStyle w:val="TableGrid"/>
        <w:tblW w:w="6487" w:type="dxa"/>
        <w:tblLayout w:type="fixed"/>
        <w:tblLook w:val="04A0" w:firstRow="1" w:lastRow="0" w:firstColumn="1" w:lastColumn="0" w:noHBand="0" w:noVBand="1"/>
      </w:tblPr>
      <w:tblGrid>
        <w:gridCol w:w="1113"/>
        <w:gridCol w:w="2539"/>
        <w:gridCol w:w="2835"/>
      </w:tblGrid>
      <w:tr w:rsidR="00ED2B25" w:rsidRPr="009F54D3" w:rsidTr="002E2240">
        <w:tc>
          <w:tcPr>
            <w:tcW w:w="1113" w:type="dxa"/>
            <w:vMerge w:val="restart"/>
            <w:vAlign w:val="center"/>
          </w:tcPr>
          <w:p w:rsidR="00ED2B25" w:rsidRPr="009F54D3" w:rsidRDefault="00ED2B25" w:rsidP="005941A3">
            <w:pPr>
              <w:jc w:val="center"/>
              <w:rPr>
                <w:rFonts w:ascii="Arial" w:hAnsi="Arial" w:cs="Arial"/>
                <w:sz w:val="18"/>
                <w:szCs w:val="18"/>
              </w:rPr>
            </w:pPr>
          </w:p>
        </w:tc>
        <w:tc>
          <w:tcPr>
            <w:tcW w:w="5374" w:type="dxa"/>
            <w:gridSpan w:val="2"/>
            <w:shd w:val="clear" w:color="auto" w:fill="92CDDC" w:themeFill="accent5" w:themeFillTint="99"/>
            <w:vAlign w:val="center"/>
          </w:tcPr>
          <w:p w:rsidR="00ED2B25" w:rsidRPr="004E163A" w:rsidRDefault="00ED2B25" w:rsidP="005941A3">
            <w:pPr>
              <w:jc w:val="center"/>
              <w:rPr>
                <w:rFonts w:ascii="Arial" w:hAnsi="Arial" w:cs="Arial"/>
                <w:b/>
                <w:sz w:val="18"/>
                <w:szCs w:val="18"/>
              </w:rPr>
            </w:pPr>
            <w:r w:rsidRPr="004E163A">
              <w:rPr>
                <w:rFonts w:ascii="Arial" w:hAnsi="Arial" w:cs="Arial"/>
                <w:b/>
                <w:sz w:val="18"/>
                <w:szCs w:val="18"/>
              </w:rPr>
              <w:t>Overall area weighted reductions</w:t>
            </w:r>
          </w:p>
        </w:tc>
      </w:tr>
      <w:tr w:rsidR="00ED2B25" w:rsidRPr="009F54D3" w:rsidTr="002E2240">
        <w:tc>
          <w:tcPr>
            <w:tcW w:w="1113" w:type="dxa"/>
            <w:vMerge/>
            <w:vAlign w:val="center"/>
          </w:tcPr>
          <w:p w:rsidR="00ED2B25" w:rsidRPr="009F54D3" w:rsidRDefault="00ED2B25" w:rsidP="005941A3">
            <w:pPr>
              <w:jc w:val="center"/>
              <w:rPr>
                <w:rFonts w:ascii="Arial" w:hAnsi="Arial" w:cs="Arial"/>
                <w:sz w:val="18"/>
                <w:szCs w:val="18"/>
              </w:rPr>
            </w:pPr>
          </w:p>
        </w:tc>
        <w:tc>
          <w:tcPr>
            <w:tcW w:w="2539" w:type="dxa"/>
            <w:shd w:val="clear" w:color="auto" w:fill="D6E3BC" w:themeFill="accent3" w:themeFillTint="66"/>
            <w:vAlign w:val="center"/>
          </w:tcPr>
          <w:p w:rsidR="00ED2B25" w:rsidRPr="009F54D3" w:rsidRDefault="00ED2B25" w:rsidP="005941A3">
            <w:pPr>
              <w:jc w:val="center"/>
              <w:rPr>
                <w:rFonts w:ascii="Arial" w:hAnsi="Arial" w:cs="Arial"/>
                <w:sz w:val="18"/>
                <w:szCs w:val="18"/>
              </w:rPr>
            </w:pPr>
            <w:r w:rsidRPr="009F54D3">
              <w:rPr>
                <w:rFonts w:ascii="Arial" w:hAnsi="Arial" w:cs="Arial"/>
                <w:sz w:val="18"/>
                <w:szCs w:val="18"/>
              </w:rPr>
              <w:t>Total tCO2</w:t>
            </w:r>
          </w:p>
        </w:tc>
        <w:tc>
          <w:tcPr>
            <w:tcW w:w="2835" w:type="dxa"/>
            <w:shd w:val="clear" w:color="auto" w:fill="D6E3BC" w:themeFill="accent3" w:themeFillTint="66"/>
            <w:vAlign w:val="center"/>
          </w:tcPr>
          <w:p w:rsidR="00ED2B25" w:rsidRPr="009F54D3" w:rsidRDefault="00ED2B25" w:rsidP="005941A3">
            <w:pPr>
              <w:jc w:val="center"/>
              <w:rPr>
                <w:rFonts w:ascii="Arial" w:hAnsi="Arial" w:cs="Arial"/>
                <w:sz w:val="18"/>
                <w:szCs w:val="18"/>
              </w:rPr>
            </w:pPr>
            <w:r w:rsidRPr="009F54D3">
              <w:rPr>
                <w:rFonts w:ascii="Arial" w:hAnsi="Arial" w:cs="Arial"/>
                <w:sz w:val="18"/>
                <w:szCs w:val="18"/>
              </w:rPr>
              <w:t>% reduction at each stage</w:t>
            </w:r>
          </w:p>
        </w:tc>
      </w:tr>
      <w:tr w:rsidR="00ED2B25" w:rsidRPr="009F54D3" w:rsidTr="002E2240">
        <w:tc>
          <w:tcPr>
            <w:tcW w:w="1113" w:type="dxa"/>
            <w:shd w:val="clear" w:color="auto" w:fill="92CDDC" w:themeFill="accent5" w:themeFillTint="99"/>
            <w:vAlign w:val="center"/>
          </w:tcPr>
          <w:p w:rsidR="00ED2B25" w:rsidRPr="009F54D3" w:rsidRDefault="00ED2B25" w:rsidP="005941A3">
            <w:pPr>
              <w:jc w:val="center"/>
              <w:rPr>
                <w:rFonts w:ascii="Arial" w:hAnsi="Arial" w:cs="Arial"/>
                <w:b/>
                <w:sz w:val="18"/>
                <w:szCs w:val="18"/>
              </w:rPr>
            </w:pPr>
            <w:r w:rsidRPr="009F54D3">
              <w:rPr>
                <w:rFonts w:ascii="Arial" w:hAnsi="Arial" w:cs="Arial"/>
                <w:b/>
                <w:sz w:val="18"/>
                <w:szCs w:val="18"/>
              </w:rPr>
              <w:t>Baseline</w:t>
            </w:r>
          </w:p>
        </w:tc>
        <w:tc>
          <w:tcPr>
            <w:tcW w:w="2539"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2.326</w:t>
            </w:r>
          </w:p>
        </w:tc>
        <w:tc>
          <w:tcPr>
            <w:tcW w:w="2835" w:type="dxa"/>
            <w:shd w:val="clear" w:color="auto" w:fill="C4BC96" w:themeFill="background2" w:themeFillShade="BF"/>
            <w:vAlign w:val="center"/>
          </w:tcPr>
          <w:p w:rsidR="00ED2B25" w:rsidRPr="009F54D3" w:rsidRDefault="00ED2B25" w:rsidP="005941A3">
            <w:pPr>
              <w:jc w:val="center"/>
              <w:rPr>
                <w:rFonts w:ascii="Arial" w:hAnsi="Arial" w:cs="Arial"/>
                <w:sz w:val="18"/>
                <w:szCs w:val="18"/>
              </w:rPr>
            </w:pPr>
            <w:r w:rsidRPr="009F54D3">
              <w:rPr>
                <w:rFonts w:ascii="Arial" w:hAnsi="Arial" w:cs="Arial"/>
                <w:sz w:val="18"/>
                <w:szCs w:val="18"/>
              </w:rPr>
              <w:t>N/A</w:t>
            </w:r>
          </w:p>
        </w:tc>
      </w:tr>
      <w:tr w:rsidR="00ED2B25" w:rsidRPr="009F54D3" w:rsidTr="002E2240">
        <w:tc>
          <w:tcPr>
            <w:tcW w:w="1113" w:type="dxa"/>
            <w:shd w:val="clear" w:color="auto" w:fill="92CDDC" w:themeFill="accent5" w:themeFillTint="99"/>
            <w:vAlign w:val="center"/>
          </w:tcPr>
          <w:p w:rsidR="00ED2B25" w:rsidRPr="009F54D3" w:rsidRDefault="00ED2B25" w:rsidP="005941A3">
            <w:pPr>
              <w:jc w:val="center"/>
              <w:rPr>
                <w:rFonts w:ascii="Arial" w:hAnsi="Arial" w:cs="Arial"/>
                <w:b/>
                <w:sz w:val="18"/>
                <w:szCs w:val="18"/>
              </w:rPr>
            </w:pPr>
            <w:r w:rsidRPr="009F54D3">
              <w:rPr>
                <w:rFonts w:ascii="Arial" w:hAnsi="Arial" w:cs="Arial"/>
                <w:b/>
                <w:sz w:val="18"/>
                <w:szCs w:val="18"/>
              </w:rPr>
              <w:t>Be Lean</w:t>
            </w:r>
          </w:p>
        </w:tc>
        <w:tc>
          <w:tcPr>
            <w:tcW w:w="2539"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2.067</w:t>
            </w:r>
          </w:p>
        </w:tc>
        <w:tc>
          <w:tcPr>
            <w:tcW w:w="2835" w:type="dxa"/>
            <w:vAlign w:val="center"/>
          </w:tcPr>
          <w:p w:rsidR="00ED2B25" w:rsidRPr="009F54D3" w:rsidRDefault="00ED2B25" w:rsidP="005941A3">
            <w:pPr>
              <w:jc w:val="center"/>
              <w:rPr>
                <w:rFonts w:ascii="Arial" w:hAnsi="Arial" w:cs="Arial"/>
                <w:sz w:val="18"/>
                <w:szCs w:val="18"/>
              </w:rPr>
            </w:pPr>
            <w:r w:rsidRPr="00ED2B25">
              <w:rPr>
                <w:rFonts w:ascii="Arial" w:hAnsi="Arial" w:cs="Arial"/>
                <w:sz w:val="18"/>
                <w:szCs w:val="18"/>
              </w:rPr>
              <w:t>11.1</w:t>
            </w:r>
            <w:r>
              <w:rPr>
                <w:rFonts w:ascii="Arial" w:hAnsi="Arial" w:cs="Arial"/>
                <w:sz w:val="18"/>
                <w:szCs w:val="18"/>
              </w:rPr>
              <w:t>%</w:t>
            </w:r>
          </w:p>
        </w:tc>
      </w:tr>
      <w:tr w:rsidR="00ED2B25" w:rsidRPr="009F54D3" w:rsidTr="002E2240">
        <w:tc>
          <w:tcPr>
            <w:tcW w:w="1113" w:type="dxa"/>
            <w:shd w:val="clear" w:color="auto" w:fill="92CDDC" w:themeFill="accent5" w:themeFillTint="99"/>
            <w:vAlign w:val="center"/>
          </w:tcPr>
          <w:p w:rsidR="00ED2B25" w:rsidRPr="009F54D3" w:rsidRDefault="00ED2B25" w:rsidP="005941A3">
            <w:pPr>
              <w:jc w:val="center"/>
              <w:rPr>
                <w:rFonts w:ascii="Arial" w:hAnsi="Arial" w:cs="Arial"/>
                <w:b/>
                <w:sz w:val="18"/>
                <w:szCs w:val="18"/>
              </w:rPr>
            </w:pPr>
            <w:r w:rsidRPr="009F54D3">
              <w:rPr>
                <w:rFonts w:ascii="Arial" w:hAnsi="Arial" w:cs="Arial"/>
                <w:b/>
                <w:sz w:val="18"/>
                <w:szCs w:val="18"/>
              </w:rPr>
              <w:t>Be Clean</w:t>
            </w:r>
          </w:p>
        </w:tc>
        <w:tc>
          <w:tcPr>
            <w:tcW w:w="2539"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2.067</w:t>
            </w:r>
          </w:p>
        </w:tc>
        <w:tc>
          <w:tcPr>
            <w:tcW w:w="2835"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0%</w:t>
            </w:r>
          </w:p>
        </w:tc>
      </w:tr>
      <w:tr w:rsidR="00ED2B25" w:rsidRPr="009F54D3" w:rsidTr="002E2240">
        <w:tc>
          <w:tcPr>
            <w:tcW w:w="1113" w:type="dxa"/>
            <w:shd w:val="clear" w:color="auto" w:fill="92CDDC" w:themeFill="accent5" w:themeFillTint="99"/>
            <w:vAlign w:val="center"/>
          </w:tcPr>
          <w:p w:rsidR="00ED2B25" w:rsidRPr="009F54D3" w:rsidRDefault="00ED2B25" w:rsidP="005941A3">
            <w:pPr>
              <w:jc w:val="center"/>
              <w:rPr>
                <w:rFonts w:ascii="Arial" w:hAnsi="Arial" w:cs="Arial"/>
                <w:b/>
                <w:sz w:val="18"/>
                <w:szCs w:val="18"/>
              </w:rPr>
            </w:pPr>
            <w:r w:rsidRPr="009F54D3">
              <w:rPr>
                <w:rFonts w:ascii="Arial" w:hAnsi="Arial" w:cs="Arial"/>
                <w:b/>
                <w:sz w:val="18"/>
                <w:szCs w:val="18"/>
              </w:rPr>
              <w:t>Be Green</w:t>
            </w:r>
          </w:p>
        </w:tc>
        <w:tc>
          <w:tcPr>
            <w:tcW w:w="2539"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1.475</w:t>
            </w:r>
          </w:p>
        </w:tc>
        <w:tc>
          <w:tcPr>
            <w:tcW w:w="2835" w:type="dxa"/>
            <w:vAlign w:val="center"/>
          </w:tcPr>
          <w:p w:rsidR="00ED2B25" w:rsidRPr="009F54D3" w:rsidRDefault="00ED2B25" w:rsidP="005941A3">
            <w:pPr>
              <w:jc w:val="center"/>
              <w:rPr>
                <w:rFonts w:ascii="Arial" w:hAnsi="Arial" w:cs="Arial"/>
                <w:sz w:val="18"/>
                <w:szCs w:val="18"/>
              </w:rPr>
            </w:pPr>
            <w:r w:rsidRPr="00ED2B25">
              <w:rPr>
                <w:rFonts w:ascii="Arial" w:hAnsi="Arial" w:cs="Arial"/>
                <w:sz w:val="18"/>
                <w:szCs w:val="18"/>
              </w:rPr>
              <w:t>25.5</w:t>
            </w:r>
            <w:r>
              <w:rPr>
                <w:rFonts w:ascii="Arial" w:hAnsi="Arial" w:cs="Arial"/>
                <w:sz w:val="18"/>
                <w:szCs w:val="18"/>
              </w:rPr>
              <w:t>%</w:t>
            </w:r>
          </w:p>
        </w:tc>
      </w:tr>
      <w:tr w:rsidR="00ED2B25" w:rsidRPr="009F54D3" w:rsidTr="002E2240">
        <w:tc>
          <w:tcPr>
            <w:tcW w:w="1113" w:type="dxa"/>
            <w:shd w:val="clear" w:color="auto" w:fill="92CDDC" w:themeFill="accent5" w:themeFillTint="99"/>
            <w:vAlign w:val="center"/>
          </w:tcPr>
          <w:p w:rsidR="00ED2B25" w:rsidRPr="009F54D3" w:rsidRDefault="00ED2B25" w:rsidP="005941A3">
            <w:pPr>
              <w:jc w:val="center"/>
              <w:rPr>
                <w:rFonts w:ascii="Arial" w:hAnsi="Arial" w:cs="Arial"/>
                <w:b/>
                <w:sz w:val="18"/>
                <w:szCs w:val="18"/>
              </w:rPr>
            </w:pPr>
            <w:r w:rsidRPr="009F54D3">
              <w:rPr>
                <w:rFonts w:ascii="Arial" w:hAnsi="Arial" w:cs="Arial"/>
                <w:b/>
                <w:sz w:val="18"/>
                <w:szCs w:val="18"/>
              </w:rPr>
              <w:t>TOTAL</w:t>
            </w:r>
          </w:p>
        </w:tc>
        <w:tc>
          <w:tcPr>
            <w:tcW w:w="2539"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0.851</w:t>
            </w:r>
          </w:p>
        </w:tc>
        <w:tc>
          <w:tcPr>
            <w:tcW w:w="2835"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36.6%</w:t>
            </w:r>
          </w:p>
        </w:tc>
      </w:tr>
      <w:tr w:rsidR="00ED2B25" w:rsidRPr="009F54D3" w:rsidTr="002E2240">
        <w:tc>
          <w:tcPr>
            <w:tcW w:w="1113" w:type="dxa"/>
            <w:shd w:val="clear" w:color="auto" w:fill="92CDDC" w:themeFill="accent5" w:themeFillTint="99"/>
            <w:vAlign w:val="center"/>
          </w:tcPr>
          <w:p w:rsidR="00ED2B25" w:rsidRPr="009F54D3" w:rsidRDefault="00ED2B25" w:rsidP="005941A3">
            <w:pPr>
              <w:jc w:val="center"/>
              <w:rPr>
                <w:rFonts w:ascii="Arial" w:hAnsi="Arial" w:cs="Arial"/>
                <w:b/>
                <w:sz w:val="18"/>
                <w:szCs w:val="18"/>
              </w:rPr>
            </w:pPr>
            <w:r w:rsidRPr="009F54D3">
              <w:rPr>
                <w:rFonts w:ascii="Arial" w:hAnsi="Arial" w:cs="Arial"/>
                <w:b/>
                <w:sz w:val="18"/>
                <w:szCs w:val="18"/>
              </w:rPr>
              <w:t>Shortfall</w:t>
            </w:r>
          </w:p>
        </w:tc>
        <w:tc>
          <w:tcPr>
            <w:tcW w:w="2539"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N/A</w:t>
            </w:r>
          </w:p>
        </w:tc>
        <w:tc>
          <w:tcPr>
            <w:tcW w:w="2835" w:type="dxa"/>
            <w:vAlign w:val="center"/>
          </w:tcPr>
          <w:p w:rsidR="00ED2B25" w:rsidRPr="009F54D3" w:rsidRDefault="00ED2B25" w:rsidP="005941A3">
            <w:pPr>
              <w:jc w:val="center"/>
              <w:rPr>
                <w:rFonts w:ascii="Arial" w:hAnsi="Arial" w:cs="Arial"/>
                <w:sz w:val="18"/>
                <w:szCs w:val="18"/>
              </w:rPr>
            </w:pPr>
            <w:r>
              <w:rPr>
                <w:rFonts w:ascii="Arial" w:hAnsi="Arial" w:cs="Arial"/>
                <w:sz w:val="18"/>
                <w:szCs w:val="18"/>
              </w:rPr>
              <w:t>N/A</w:t>
            </w:r>
          </w:p>
        </w:tc>
      </w:tr>
    </w:tbl>
    <w:p w:rsidR="00CD3258" w:rsidRDefault="00CD3258" w:rsidP="00CD3258">
      <w:pPr>
        <w:spacing w:after="0" w:line="240" w:lineRule="auto"/>
        <w:rPr>
          <w:rFonts w:ascii="Arial" w:hAnsi="Arial" w:cs="Arial"/>
          <w:i/>
          <w:color w:val="FF0000"/>
        </w:rPr>
      </w:pPr>
    </w:p>
    <w:p w:rsidR="00B71EB1" w:rsidRPr="00611AD9" w:rsidRDefault="00B71EB1">
      <w:pPr>
        <w:rPr>
          <w:rFonts w:ascii="Arial" w:hAnsi="Arial" w:cs="Arial"/>
          <w:b/>
          <w:sz w:val="24"/>
        </w:rPr>
      </w:pPr>
      <w:r w:rsidRPr="00611AD9">
        <w:rPr>
          <w:rFonts w:ascii="Arial" w:hAnsi="Arial" w:cs="Arial"/>
          <w:b/>
          <w:sz w:val="24"/>
        </w:rPr>
        <w:t>BE LEAN:</w:t>
      </w:r>
    </w:p>
    <w:tbl>
      <w:tblPr>
        <w:tblStyle w:val="TableGrid"/>
        <w:tblW w:w="9322" w:type="dxa"/>
        <w:tblLook w:val="04A0" w:firstRow="1" w:lastRow="0" w:firstColumn="1" w:lastColumn="0" w:noHBand="0" w:noVBand="1"/>
      </w:tblPr>
      <w:tblGrid>
        <w:gridCol w:w="3085"/>
        <w:gridCol w:w="6237"/>
      </w:tblGrid>
      <w:tr w:rsidR="00611AD9" w:rsidRPr="009F54D3" w:rsidTr="00611AD9">
        <w:tc>
          <w:tcPr>
            <w:tcW w:w="9322" w:type="dxa"/>
            <w:gridSpan w:val="2"/>
            <w:shd w:val="clear" w:color="auto" w:fill="000000" w:themeFill="text1"/>
          </w:tcPr>
          <w:p w:rsidR="00611AD9" w:rsidRPr="009F54D3" w:rsidRDefault="00611AD9" w:rsidP="00611AD9">
            <w:pPr>
              <w:pStyle w:val="Default"/>
              <w:rPr>
                <w:rFonts w:ascii="Arial" w:hAnsi="Arial" w:cs="Arial"/>
                <w:sz w:val="18"/>
                <w:szCs w:val="18"/>
              </w:rPr>
            </w:pPr>
            <w:r w:rsidRPr="00611AD9">
              <w:rPr>
                <w:rFonts w:ascii="Arial" w:hAnsi="Arial" w:cs="Arial"/>
                <w:b/>
                <w:color w:val="FFFFFF" w:themeColor="background1"/>
                <w:sz w:val="22"/>
              </w:rPr>
              <w:t>Proposed specification</w:t>
            </w:r>
            <w:r>
              <w:rPr>
                <w:rFonts w:ascii="Arial" w:hAnsi="Arial" w:cs="Arial"/>
                <w:b/>
                <w:color w:val="FFFFFF" w:themeColor="background1"/>
                <w:sz w:val="22"/>
              </w:rPr>
              <w:t>:</w:t>
            </w:r>
          </w:p>
        </w:tc>
      </w:tr>
      <w:tr w:rsidR="008478E9" w:rsidRPr="009F54D3" w:rsidTr="008478E9">
        <w:tc>
          <w:tcPr>
            <w:tcW w:w="3085" w:type="dxa"/>
            <w:shd w:val="clear" w:color="auto" w:fill="92CDDC" w:themeFill="accent5" w:themeFillTint="99"/>
          </w:tcPr>
          <w:p w:rsidR="008478E9" w:rsidRPr="009F54D3" w:rsidRDefault="004E163A" w:rsidP="004E163A">
            <w:pPr>
              <w:rPr>
                <w:rFonts w:ascii="Arial" w:hAnsi="Arial" w:cs="Arial"/>
                <w:b/>
                <w:sz w:val="18"/>
                <w:szCs w:val="18"/>
              </w:rPr>
            </w:pPr>
            <w:r>
              <w:rPr>
                <w:rFonts w:ascii="Arial" w:hAnsi="Arial" w:cs="Arial"/>
                <w:b/>
                <w:sz w:val="18"/>
                <w:szCs w:val="18"/>
              </w:rPr>
              <w:t>Building fabric u-values</w:t>
            </w:r>
            <w:r w:rsidR="00A974E1">
              <w:rPr>
                <w:rFonts w:ascii="Arial" w:hAnsi="Arial" w:cs="Arial"/>
                <w:b/>
                <w:sz w:val="18"/>
                <w:szCs w:val="18"/>
              </w:rPr>
              <w:t xml:space="preserve"> </w:t>
            </w:r>
            <w:r w:rsidR="00A974E1" w:rsidRPr="00A974E1">
              <w:rPr>
                <w:rFonts w:ascii="Arial" w:hAnsi="Arial" w:cs="Arial"/>
                <w:b/>
                <w:sz w:val="18"/>
                <w:szCs w:val="18"/>
              </w:rPr>
              <w:t>(W/m²K)</w:t>
            </w:r>
          </w:p>
        </w:tc>
        <w:tc>
          <w:tcPr>
            <w:tcW w:w="6237" w:type="dxa"/>
            <w:shd w:val="clear" w:color="auto" w:fill="auto"/>
          </w:tcPr>
          <w:p w:rsidR="008478E9" w:rsidRPr="009F54D3" w:rsidRDefault="0047516A" w:rsidP="005941A3">
            <w:pPr>
              <w:rPr>
                <w:rFonts w:ascii="Arial" w:hAnsi="Arial" w:cs="Arial"/>
                <w:sz w:val="18"/>
                <w:szCs w:val="18"/>
              </w:rPr>
            </w:pPr>
            <w:r>
              <w:rPr>
                <w:rFonts w:ascii="Arial" w:hAnsi="Arial" w:cs="Arial"/>
                <w:noProof/>
                <w:sz w:val="18"/>
                <w:szCs w:val="18"/>
                <w:lang w:eastAsia="en-GB"/>
              </w:rPr>
              <w:drawing>
                <wp:inline distT="0" distB="0" distL="0" distR="0">
                  <wp:extent cx="3391786" cy="3109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677" cy="3109583"/>
                          </a:xfrm>
                          <a:prstGeom prst="rect">
                            <a:avLst/>
                          </a:prstGeom>
                          <a:noFill/>
                          <a:ln>
                            <a:noFill/>
                          </a:ln>
                        </pic:spPr>
                      </pic:pic>
                    </a:graphicData>
                  </a:graphic>
                </wp:inline>
              </w:drawing>
            </w:r>
          </w:p>
        </w:tc>
      </w:tr>
      <w:tr w:rsidR="004E163A" w:rsidRPr="009F54D3" w:rsidTr="008478E9">
        <w:tc>
          <w:tcPr>
            <w:tcW w:w="3085" w:type="dxa"/>
            <w:shd w:val="clear" w:color="auto" w:fill="92CDDC" w:themeFill="accent5" w:themeFillTint="99"/>
          </w:tcPr>
          <w:p w:rsidR="004E163A" w:rsidRDefault="004E163A" w:rsidP="004E163A">
            <w:pPr>
              <w:rPr>
                <w:rFonts w:ascii="Arial" w:hAnsi="Arial" w:cs="Arial"/>
                <w:b/>
                <w:sz w:val="18"/>
                <w:szCs w:val="18"/>
              </w:rPr>
            </w:pPr>
            <w:r>
              <w:rPr>
                <w:rFonts w:ascii="Arial" w:hAnsi="Arial" w:cs="Arial"/>
                <w:b/>
                <w:sz w:val="18"/>
                <w:szCs w:val="18"/>
              </w:rPr>
              <w:t>A</w:t>
            </w:r>
            <w:r w:rsidRPr="009F54D3">
              <w:rPr>
                <w:rFonts w:ascii="Arial" w:hAnsi="Arial" w:cs="Arial"/>
                <w:b/>
                <w:sz w:val="18"/>
                <w:szCs w:val="18"/>
              </w:rPr>
              <w:t>ir permeability</w:t>
            </w:r>
            <w:r w:rsidR="00A974E1">
              <w:rPr>
                <w:rFonts w:ascii="Arial" w:hAnsi="Arial" w:cs="Arial"/>
                <w:b/>
                <w:sz w:val="18"/>
                <w:szCs w:val="18"/>
              </w:rPr>
              <w:t xml:space="preserve"> (m2/h</w:t>
            </w:r>
            <w:r w:rsidR="00951C5A">
              <w:rPr>
                <w:rFonts w:ascii="Arial" w:hAnsi="Arial" w:cs="Arial"/>
                <w:b/>
                <w:sz w:val="18"/>
                <w:szCs w:val="18"/>
              </w:rPr>
              <w:t>r/</w:t>
            </w:r>
            <w:r w:rsidR="00A974E1">
              <w:rPr>
                <w:rFonts w:ascii="Arial" w:hAnsi="Arial" w:cs="Arial"/>
                <w:b/>
                <w:sz w:val="18"/>
                <w:szCs w:val="18"/>
              </w:rPr>
              <w:t>m2)</w:t>
            </w:r>
          </w:p>
        </w:tc>
        <w:tc>
          <w:tcPr>
            <w:tcW w:w="6237" w:type="dxa"/>
            <w:shd w:val="clear" w:color="auto" w:fill="auto"/>
          </w:tcPr>
          <w:p w:rsidR="004E163A" w:rsidRPr="009F54D3" w:rsidRDefault="0047516A" w:rsidP="005941A3">
            <w:pPr>
              <w:rPr>
                <w:rFonts w:ascii="Arial" w:hAnsi="Arial" w:cs="Arial"/>
                <w:sz w:val="18"/>
                <w:szCs w:val="18"/>
              </w:rPr>
            </w:pPr>
            <w:r w:rsidRPr="0047516A">
              <w:rPr>
                <w:rFonts w:ascii="Arial" w:hAnsi="Arial" w:cs="Arial"/>
                <w:sz w:val="24"/>
                <w:szCs w:val="18"/>
              </w:rPr>
              <w:t>3</w:t>
            </w:r>
          </w:p>
        </w:tc>
      </w:tr>
      <w:tr w:rsidR="008478E9" w:rsidRPr="009F54D3" w:rsidTr="008478E9">
        <w:tc>
          <w:tcPr>
            <w:tcW w:w="3085" w:type="dxa"/>
            <w:shd w:val="clear" w:color="auto" w:fill="92CDDC" w:themeFill="accent5" w:themeFillTint="99"/>
          </w:tcPr>
          <w:p w:rsidR="008478E9" w:rsidRPr="009F54D3" w:rsidRDefault="008478E9" w:rsidP="005941A3">
            <w:pPr>
              <w:rPr>
                <w:rFonts w:ascii="Arial" w:hAnsi="Arial" w:cs="Arial"/>
                <w:b/>
                <w:sz w:val="18"/>
                <w:szCs w:val="18"/>
              </w:rPr>
            </w:pPr>
            <w:r w:rsidRPr="009F54D3">
              <w:rPr>
                <w:rFonts w:ascii="Arial" w:hAnsi="Arial" w:cs="Arial"/>
                <w:b/>
                <w:sz w:val="18"/>
                <w:szCs w:val="18"/>
              </w:rPr>
              <w:t>Low carbon technologies</w:t>
            </w:r>
            <w:r w:rsidR="004E163A">
              <w:rPr>
                <w:rFonts w:ascii="Arial" w:hAnsi="Arial" w:cs="Arial"/>
                <w:b/>
                <w:sz w:val="18"/>
                <w:szCs w:val="18"/>
              </w:rPr>
              <w:t xml:space="preserve"> and building services</w:t>
            </w:r>
          </w:p>
        </w:tc>
        <w:tc>
          <w:tcPr>
            <w:tcW w:w="6237" w:type="dxa"/>
            <w:shd w:val="clear" w:color="auto" w:fill="auto"/>
          </w:tcPr>
          <w:p w:rsidR="00ED2B25" w:rsidRPr="00ED2B25" w:rsidRDefault="00ED2B25" w:rsidP="00ED2B25">
            <w:pPr>
              <w:pStyle w:val="Default"/>
              <w:numPr>
                <w:ilvl w:val="0"/>
                <w:numId w:val="34"/>
              </w:numPr>
              <w:rPr>
                <w:rFonts w:ascii="Arial" w:hAnsi="Arial" w:cs="Arial"/>
                <w:color w:val="auto"/>
              </w:rPr>
            </w:pPr>
            <w:r w:rsidRPr="00ED2B25">
              <w:rPr>
                <w:rFonts w:ascii="Arial" w:hAnsi="Arial" w:cs="Arial"/>
                <w:color w:val="auto"/>
              </w:rPr>
              <w:t>Energy efficient lighting</w:t>
            </w:r>
          </w:p>
          <w:p w:rsidR="003C7E6A" w:rsidRDefault="00ED2B25" w:rsidP="00ED2B25">
            <w:pPr>
              <w:pStyle w:val="Default"/>
              <w:numPr>
                <w:ilvl w:val="0"/>
                <w:numId w:val="34"/>
              </w:numPr>
              <w:rPr>
                <w:rFonts w:ascii="Arial" w:hAnsi="Arial" w:cs="Arial"/>
                <w:color w:val="auto"/>
              </w:rPr>
            </w:pPr>
            <w:r w:rsidRPr="00ED2B25">
              <w:rPr>
                <w:rFonts w:ascii="Arial" w:hAnsi="Arial" w:cs="Arial"/>
                <w:color w:val="auto"/>
              </w:rPr>
              <w:t>High efficiency gas boiler</w:t>
            </w:r>
            <w:r w:rsidR="003C7E6A" w:rsidRPr="00ED2B25">
              <w:rPr>
                <w:rFonts w:ascii="Arial" w:hAnsi="Arial" w:cs="Arial"/>
                <w:color w:val="auto"/>
              </w:rPr>
              <w:t xml:space="preserve"> </w:t>
            </w:r>
          </w:p>
          <w:p w:rsidR="00ED2B25" w:rsidRPr="00ED2B25" w:rsidRDefault="00ED2B25" w:rsidP="00ED2B25">
            <w:pPr>
              <w:pStyle w:val="Default"/>
              <w:numPr>
                <w:ilvl w:val="0"/>
                <w:numId w:val="34"/>
              </w:numPr>
              <w:rPr>
                <w:rFonts w:ascii="Arial" w:hAnsi="Arial" w:cs="Arial"/>
                <w:color w:val="auto"/>
              </w:rPr>
            </w:pPr>
            <w:r>
              <w:rPr>
                <w:rFonts w:ascii="Arial" w:hAnsi="Arial" w:cs="Arial"/>
                <w:color w:val="auto"/>
              </w:rPr>
              <w:t>Solar PV</w:t>
            </w:r>
          </w:p>
        </w:tc>
      </w:tr>
    </w:tbl>
    <w:p w:rsidR="00B71EB1" w:rsidRDefault="00B71EB1">
      <w:pPr>
        <w:rPr>
          <w:rFonts w:ascii="Arial" w:hAnsi="Arial" w:cs="Arial"/>
        </w:rPr>
      </w:pPr>
    </w:p>
    <w:p w:rsidR="00B71EB1" w:rsidRPr="00611AD9" w:rsidRDefault="00B71EB1">
      <w:pPr>
        <w:rPr>
          <w:rFonts w:ascii="Arial" w:hAnsi="Arial" w:cs="Arial"/>
          <w:b/>
          <w:sz w:val="24"/>
        </w:rPr>
      </w:pPr>
      <w:r w:rsidRPr="00611AD9">
        <w:rPr>
          <w:rFonts w:ascii="Arial" w:hAnsi="Arial" w:cs="Arial"/>
          <w:b/>
          <w:sz w:val="24"/>
        </w:rPr>
        <w:t>BE CLEAN:</w:t>
      </w:r>
    </w:p>
    <w:p w:rsidR="002A3B22" w:rsidRPr="006C25D1" w:rsidRDefault="002A3B22" w:rsidP="008478E9">
      <w:pPr>
        <w:spacing w:after="0" w:line="240" w:lineRule="auto"/>
        <w:rPr>
          <w:rFonts w:ascii="Arial" w:hAnsi="Arial" w:cs="Arial"/>
          <w:b/>
        </w:rPr>
      </w:pPr>
    </w:p>
    <w:tbl>
      <w:tblPr>
        <w:tblStyle w:val="TableGrid"/>
        <w:tblW w:w="0" w:type="auto"/>
        <w:tblLook w:val="04A0" w:firstRow="1" w:lastRow="0" w:firstColumn="1" w:lastColumn="0" w:noHBand="0" w:noVBand="1"/>
      </w:tblPr>
      <w:tblGrid>
        <w:gridCol w:w="3080"/>
        <w:gridCol w:w="6162"/>
      </w:tblGrid>
      <w:tr w:rsidR="00CD3258" w:rsidRPr="006C25D1" w:rsidTr="00CD3258">
        <w:tc>
          <w:tcPr>
            <w:tcW w:w="9242" w:type="dxa"/>
            <w:gridSpan w:val="2"/>
            <w:shd w:val="clear" w:color="auto" w:fill="000000" w:themeFill="text1"/>
          </w:tcPr>
          <w:p w:rsidR="00CD3258" w:rsidRPr="006C25D1" w:rsidRDefault="00CD3258" w:rsidP="00CD3258">
            <w:pPr>
              <w:pStyle w:val="Default"/>
              <w:rPr>
                <w:rFonts w:ascii="Arial" w:hAnsi="Arial" w:cs="Arial"/>
                <w:b/>
                <w:i/>
                <w:color w:val="FF0000"/>
                <w:sz w:val="22"/>
              </w:rPr>
            </w:pPr>
            <w:r w:rsidRPr="006C25D1">
              <w:rPr>
                <w:rFonts w:ascii="Arial" w:hAnsi="Arial" w:cs="Arial"/>
                <w:b/>
                <w:color w:val="FFFFFF" w:themeColor="background1"/>
                <w:sz w:val="22"/>
              </w:rPr>
              <w:t>Connection to an existing decentralised energy network:</w:t>
            </w:r>
          </w:p>
        </w:tc>
      </w:tr>
      <w:tr w:rsidR="002A3B22" w:rsidTr="00CD3258">
        <w:tc>
          <w:tcPr>
            <w:tcW w:w="3080" w:type="dxa"/>
            <w:shd w:val="clear" w:color="auto" w:fill="92CDDC" w:themeFill="accent5" w:themeFillTint="99"/>
          </w:tcPr>
          <w:p w:rsidR="002A3B22" w:rsidRPr="008478E9" w:rsidRDefault="002A3B22" w:rsidP="00B71EB1">
            <w:pPr>
              <w:rPr>
                <w:rFonts w:ascii="Arial" w:hAnsi="Arial" w:cs="Arial"/>
                <w:b/>
                <w:sz w:val="18"/>
                <w:szCs w:val="18"/>
              </w:rPr>
            </w:pPr>
            <w:r w:rsidRPr="008478E9">
              <w:rPr>
                <w:rFonts w:ascii="Arial" w:hAnsi="Arial" w:cs="Arial"/>
                <w:b/>
                <w:sz w:val="18"/>
                <w:szCs w:val="18"/>
              </w:rPr>
              <w:t>Proximity to existing decentralised energy networks and proposals to connect</w:t>
            </w:r>
          </w:p>
        </w:tc>
        <w:tc>
          <w:tcPr>
            <w:tcW w:w="6162" w:type="dxa"/>
          </w:tcPr>
          <w:p w:rsidR="00CD3258" w:rsidRPr="00ED2B25" w:rsidRDefault="00ED2B25" w:rsidP="00CD3258">
            <w:pPr>
              <w:pStyle w:val="Default"/>
              <w:rPr>
                <w:rFonts w:ascii="Arial" w:hAnsi="Arial" w:cs="Arial"/>
                <w:color w:val="auto"/>
              </w:rPr>
            </w:pPr>
            <w:r w:rsidRPr="00ED2B25">
              <w:rPr>
                <w:rFonts w:ascii="Arial" w:hAnsi="Arial" w:cs="Arial"/>
                <w:color w:val="auto"/>
              </w:rPr>
              <w:t xml:space="preserve">No decentralised energy network nearby. </w:t>
            </w:r>
          </w:p>
          <w:p w:rsidR="00CD3258" w:rsidRDefault="00CD3258">
            <w:pPr>
              <w:rPr>
                <w:rFonts w:ascii="Arial" w:hAnsi="Arial" w:cs="Arial"/>
                <w:i/>
                <w:color w:val="FF0000"/>
              </w:rPr>
            </w:pPr>
          </w:p>
          <w:p w:rsidR="00CD3258" w:rsidRDefault="00CD3258">
            <w:pPr>
              <w:rPr>
                <w:rFonts w:ascii="Arial" w:hAnsi="Arial" w:cs="Arial"/>
              </w:rPr>
            </w:pPr>
          </w:p>
        </w:tc>
      </w:tr>
      <w:tr w:rsidR="00CD3258" w:rsidTr="00CD3258">
        <w:tc>
          <w:tcPr>
            <w:tcW w:w="9242" w:type="dxa"/>
            <w:gridSpan w:val="2"/>
            <w:shd w:val="clear" w:color="auto" w:fill="000000" w:themeFill="text1"/>
          </w:tcPr>
          <w:p w:rsidR="00CD3258" w:rsidRPr="00CD3258" w:rsidRDefault="00CD3258" w:rsidP="00F137F5">
            <w:pPr>
              <w:pStyle w:val="Default"/>
              <w:rPr>
                <w:rFonts w:ascii="Arial" w:hAnsi="Arial" w:cs="Arial"/>
                <w:b/>
                <w:color w:val="FF0000"/>
                <w:sz w:val="22"/>
              </w:rPr>
            </w:pPr>
            <w:r w:rsidRPr="00CD3258">
              <w:rPr>
                <w:rFonts w:ascii="Arial" w:hAnsi="Arial" w:cs="Arial"/>
                <w:b/>
                <w:color w:val="FFFFFF" w:themeColor="background1"/>
                <w:sz w:val="22"/>
              </w:rPr>
              <w:lastRenderedPageBreak/>
              <w:t>Future proofing</w:t>
            </w:r>
            <w:r>
              <w:rPr>
                <w:rFonts w:ascii="Arial" w:hAnsi="Arial" w:cs="Arial"/>
                <w:b/>
                <w:color w:val="FFFFFF" w:themeColor="background1"/>
                <w:sz w:val="22"/>
              </w:rPr>
              <w:t>:</w:t>
            </w:r>
          </w:p>
        </w:tc>
      </w:tr>
      <w:tr w:rsidR="00CD3258" w:rsidTr="00CD3258">
        <w:tc>
          <w:tcPr>
            <w:tcW w:w="3080" w:type="dxa"/>
            <w:shd w:val="clear" w:color="auto" w:fill="92CDDC" w:themeFill="accent5" w:themeFillTint="99"/>
          </w:tcPr>
          <w:p w:rsidR="00CD3258" w:rsidRPr="008478E9" w:rsidRDefault="00CD3258" w:rsidP="005941A3">
            <w:pPr>
              <w:rPr>
                <w:rFonts w:ascii="Arial" w:hAnsi="Arial" w:cs="Arial"/>
                <w:b/>
                <w:sz w:val="18"/>
                <w:szCs w:val="18"/>
              </w:rPr>
            </w:pPr>
            <w:r w:rsidRPr="008478E9">
              <w:rPr>
                <w:rFonts w:ascii="Arial" w:hAnsi="Arial" w:cs="Arial"/>
                <w:b/>
                <w:sz w:val="18"/>
                <w:szCs w:val="18"/>
              </w:rPr>
              <w:t xml:space="preserve">Opportunities to connect to a future network </w:t>
            </w:r>
          </w:p>
        </w:tc>
        <w:tc>
          <w:tcPr>
            <w:tcW w:w="6162" w:type="dxa"/>
          </w:tcPr>
          <w:p w:rsidR="00CD3258" w:rsidRPr="00ED2B25" w:rsidRDefault="00ED2B25" w:rsidP="00CD3258">
            <w:pPr>
              <w:pStyle w:val="Default"/>
              <w:rPr>
                <w:rFonts w:ascii="Arial" w:hAnsi="Arial" w:cs="Arial"/>
                <w:color w:val="auto"/>
              </w:rPr>
            </w:pPr>
            <w:r w:rsidRPr="00ED2B25">
              <w:rPr>
                <w:rFonts w:ascii="Arial" w:hAnsi="Arial" w:cs="Arial"/>
                <w:color w:val="auto"/>
              </w:rPr>
              <w:t>Connection to an energy network not feasible for this scheme</w:t>
            </w:r>
          </w:p>
          <w:p w:rsidR="00CD3258" w:rsidRPr="00811839" w:rsidRDefault="00CD3258" w:rsidP="00CD3258">
            <w:pPr>
              <w:pStyle w:val="Default"/>
              <w:rPr>
                <w:rFonts w:ascii="Arial" w:hAnsi="Arial" w:cs="Arial"/>
                <w:i/>
                <w:color w:val="FF0000"/>
              </w:rPr>
            </w:pPr>
          </w:p>
        </w:tc>
      </w:tr>
      <w:tr w:rsidR="006C25D1" w:rsidTr="006C25D1">
        <w:tc>
          <w:tcPr>
            <w:tcW w:w="9242" w:type="dxa"/>
            <w:gridSpan w:val="2"/>
            <w:shd w:val="clear" w:color="auto" w:fill="000000" w:themeFill="text1"/>
          </w:tcPr>
          <w:p w:rsidR="006C25D1" w:rsidRPr="006C25D1" w:rsidRDefault="006C25D1" w:rsidP="005941A3">
            <w:pPr>
              <w:rPr>
                <w:rFonts w:ascii="Arial" w:hAnsi="Arial" w:cs="Arial"/>
                <w:b/>
                <w:i/>
                <w:color w:val="FF0000"/>
              </w:rPr>
            </w:pPr>
            <w:r w:rsidRPr="006C25D1">
              <w:rPr>
                <w:rFonts w:ascii="Arial" w:hAnsi="Arial" w:cs="Arial"/>
                <w:b/>
              </w:rPr>
              <w:t>On-site CHP</w:t>
            </w:r>
          </w:p>
        </w:tc>
      </w:tr>
      <w:tr w:rsidR="002A3B22" w:rsidTr="008478E9">
        <w:tc>
          <w:tcPr>
            <w:tcW w:w="3080" w:type="dxa"/>
            <w:shd w:val="clear" w:color="auto" w:fill="92CDDC" w:themeFill="accent5" w:themeFillTint="99"/>
          </w:tcPr>
          <w:p w:rsidR="002A3B22" w:rsidRPr="008478E9" w:rsidRDefault="002A3B22" w:rsidP="005941A3">
            <w:pPr>
              <w:rPr>
                <w:rFonts w:ascii="Arial" w:hAnsi="Arial" w:cs="Arial"/>
                <w:b/>
                <w:sz w:val="18"/>
                <w:szCs w:val="18"/>
              </w:rPr>
            </w:pPr>
            <w:r w:rsidRPr="008478E9">
              <w:rPr>
                <w:rFonts w:ascii="Arial" w:hAnsi="Arial" w:cs="Arial"/>
                <w:b/>
                <w:sz w:val="18"/>
                <w:szCs w:val="18"/>
              </w:rPr>
              <w:t>Suitability for on-site CHP</w:t>
            </w:r>
          </w:p>
        </w:tc>
        <w:tc>
          <w:tcPr>
            <w:tcW w:w="6162" w:type="dxa"/>
          </w:tcPr>
          <w:p w:rsidR="00ED2B25" w:rsidRPr="00ED2B25" w:rsidRDefault="00ED2B25" w:rsidP="00ED2B25">
            <w:pPr>
              <w:pStyle w:val="Default"/>
              <w:rPr>
                <w:rFonts w:ascii="Arial" w:hAnsi="Arial" w:cs="Arial"/>
                <w:color w:val="auto"/>
              </w:rPr>
            </w:pPr>
            <w:r>
              <w:rPr>
                <w:rFonts w:ascii="Arial" w:hAnsi="Arial" w:cs="Arial"/>
                <w:color w:val="auto"/>
              </w:rPr>
              <w:t>CHP</w:t>
            </w:r>
            <w:r w:rsidRPr="00ED2B25">
              <w:rPr>
                <w:rFonts w:ascii="Arial" w:hAnsi="Arial" w:cs="Arial"/>
                <w:color w:val="auto"/>
              </w:rPr>
              <w:t xml:space="preserve"> not feasible for this scheme</w:t>
            </w:r>
          </w:p>
          <w:p w:rsidR="0086056C" w:rsidRDefault="0086056C" w:rsidP="00ED2B25">
            <w:pPr>
              <w:rPr>
                <w:rFonts w:ascii="Arial" w:hAnsi="Arial" w:cs="Arial"/>
              </w:rPr>
            </w:pPr>
          </w:p>
        </w:tc>
      </w:tr>
    </w:tbl>
    <w:p w:rsidR="002A3B22" w:rsidRPr="004E163A" w:rsidRDefault="002A3B22" w:rsidP="00B71EB1">
      <w:pPr>
        <w:rPr>
          <w:rFonts w:ascii="Arial" w:hAnsi="Arial" w:cs="Arial"/>
          <w:b/>
        </w:rPr>
      </w:pPr>
    </w:p>
    <w:p w:rsidR="00B71EB1" w:rsidRPr="00611AD9" w:rsidRDefault="00B71EB1" w:rsidP="00B71EB1">
      <w:pPr>
        <w:rPr>
          <w:rFonts w:ascii="Arial" w:hAnsi="Arial" w:cs="Arial"/>
          <w:b/>
          <w:sz w:val="24"/>
        </w:rPr>
      </w:pPr>
      <w:r w:rsidRPr="00611AD9">
        <w:rPr>
          <w:rFonts w:ascii="Arial" w:hAnsi="Arial" w:cs="Arial"/>
          <w:b/>
          <w:sz w:val="24"/>
        </w:rPr>
        <w:t>BE GREEN</w:t>
      </w:r>
    </w:p>
    <w:tbl>
      <w:tblPr>
        <w:tblStyle w:val="TableGrid"/>
        <w:tblW w:w="0" w:type="auto"/>
        <w:tblLook w:val="04A0" w:firstRow="1" w:lastRow="0" w:firstColumn="1" w:lastColumn="0" w:noHBand="0" w:noVBand="1"/>
      </w:tblPr>
      <w:tblGrid>
        <w:gridCol w:w="3085"/>
        <w:gridCol w:w="6157"/>
      </w:tblGrid>
      <w:tr w:rsidR="00611AD9" w:rsidTr="00611AD9">
        <w:tc>
          <w:tcPr>
            <w:tcW w:w="9242" w:type="dxa"/>
            <w:gridSpan w:val="2"/>
            <w:shd w:val="clear" w:color="auto" w:fill="000000" w:themeFill="text1"/>
          </w:tcPr>
          <w:p w:rsidR="00611AD9" w:rsidRPr="00611AD9" w:rsidRDefault="00611AD9" w:rsidP="00611AD9">
            <w:pPr>
              <w:rPr>
                <w:rFonts w:ascii="Arial" w:hAnsi="Arial" w:cs="Arial"/>
                <w:b/>
                <w:color w:val="FF0000"/>
              </w:rPr>
            </w:pPr>
            <w:r w:rsidRPr="00611AD9">
              <w:rPr>
                <w:rFonts w:ascii="Arial" w:hAnsi="Arial" w:cs="Arial"/>
                <w:b/>
                <w:color w:val="FFFFFF" w:themeColor="background1"/>
              </w:rPr>
              <w:t>Proposed technologies</w:t>
            </w:r>
            <w:r>
              <w:rPr>
                <w:rFonts w:ascii="Arial" w:hAnsi="Arial" w:cs="Arial"/>
                <w:b/>
                <w:color w:val="FFFFFF" w:themeColor="background1"/>
              </w:rPr>
              <w:t>:</w:t>
            </w:r>
          </w:p>
        </w:tc>
      </w:tr>
      <w:tr w:rsidR="00AE093D" w:rsidTr="00177EDD">
        <w:tc>
          <w:tcPr>
            <w:tcW w:w="3085" w:type="dxa"/>
            <w:shd w:val="clear" w:color="auto" w:fill="92CDDC" w:themeFill="accent5" w:themeFillTint="99"/>
          </w:tcPr>
          <w:p w:rsidR="00AE093D" w:rsidRPr="00AE093D" w:rsidRDefault="00AE093D">
            <w:pPr>
              <w:rPr>
                <w:rFonts w:ascii="Arial" w:hAnsi="Arial" w:cs="Arial"/>
                <w:b/>
              </w:rPr>
            </w:pPr>
            <w:r w:rsidRPr="00AE093D">
              <w:rPr>
                <w:rFonts w:ascii="Arial" w:hAnsi="Arial" w:cs="Arial"/>
                <w:b/>
              </w:rPr>
              <w:t>Solar PV:</w:t>
            </w:r>
          </w:p>
          <w:p w:rsidR="00AE093D" w:rsidRPr="00AE093D" w:rsidRDefault="00AE093D" w:rsidP="00EB5A8F">
            <w:pPr>
              <w:rPr>
                <w:rFonts w:ascii="Arial" w:hAnsi="Arial" w:cs="Arial"/>
              </w:rPr>
            </w:pPr>
          </w:p>
        </w:tc>
        <w:tc>
          <w:tcPr>
            <w:tcW w:w="6157" w:type="dxa"/>
          </w:tcPr>
          <w:p w:rsidR="0047516A" w:rsidRPr="002E2240" w:rsidRDefault="002E2240" w:rsidP="000A7839">
            <w:pPr>
              <w:pStyle w:val="Default"/>
              <w:rPr>
                <w:rFonts w:ascii="Arial" w:hAnsi="Arial" w:cs="Arial"/>
                <w:color w:val="auto"/>
              </w:rPr>
            </w:pPr>
            <w:r>
              <w:rPr>
                <w:rFonts w:ascii="Arial" w:hAnsi="Arial" w:cs="Arial"/>
                <w:color w:val="auto"/>
              </w:rPr>
              <w:t xml:space="preserve">6 x </w:t>
            </w:r>
            <w:r w:rsidRPr="000A7839">
              <w:rPr>
                <w:rFonts w:ascii="Arial" w:hAnsi="Arial" w:cs="Arial"/>
                <w:color w:val="auto"/>
              </w:rPr>
              <w:t xml:space="preserve">250 </w:t>
            </w:r>
            <w:proofErr w:type="spellStart"/>
            <w:r w:rsidRPr="000A7839">
              <w:rPr>
                <w:rFonts w:ascii="Arial" w:hAnsi="Arial" w:cs="Arial"/>
                <w:color w:val="auto"/>
              </w:rPr>
              <w:t>Wp</w:t>
            </w:r>
            <w:proofErr w:type="spellEnd"/>
            <w:r w:rsidRPr="000A7839">
              <w:rPr>
                <w:rFonts w:ascii="Arial" w:hAnsi="Arial" w:cs="Arial"/>
                <w:color w:val="auto"/>
              </w:rPr>
              <w:t xml:space="preserve"> panels</w:t>
            </w:r>
            <w:r w:rsidRPr="000A7839">
              <w:rPr>
                <w:rFonts w:ascii="Arial" w:hAnsi="Arial" w:cs="Arial"/>
                <w:color w:val="auto"/>
              </w:rPr>
              <w:t xml:space="preserve"> </w:t>
            </w:r>
            <w:r w:rsidR="0047516A" w:rsidRPr="000A7839">
              <w:rPr>
                <w:rFonts w:ascii="Arial" w:hAnsi="Arial" w:cs="Arial"/>
                <w:color w:val="auto"/>
              </w:rPr>
              <w:t>to generate</w:t>
            </w:r>
            <w:r>
              <w:rPr>
                <w:rFonts w:ascii="Arial" w:hAnsi="Arial" w:cs="Arial"/>
                <w:color w:val="auto"/>
              </w:rPr>
              <w:t xml:space="preserve"> approximately 1,141 </w:t>
            </w:r>
            <w:r w:rsidR="0047516A" w:rsidRPr="000A7839">
              <w:rPr>
                <w:rFonts w:ascii="Arial" w:hAnsi="Arial" w:cs="Arial"/>
                <w:color w:val="auto"/>
              </w:rPr>
              <w:t>kWh of electricity per annum</w:t>
            </w:r>
            <w:r>
              <w:rPr>
                <w:rFonts w:ascii="Arial" w:hAnsi="Arial" w:cs="Arial"/>
                <w:color w:val="auto"/>
              </w:rPr>
              <w:t xml:space="preserve">. </w:t>
            </w:r>
          </w:p>
        </w:tc>
      </w:tr>
    </w:tbl>
    <w:p w:rsidR="00D42D25" w:rsidRPr="00D95E65" w:rsidRDefault="00D42D25">
      <w:pPr>
        <w:rPr>
          <w:rFonts w:ascii="Arial" w:hAnsi="Arial" w:cs="Arial"/>
          <w:b/>
        </w:rPr>
      </w:pPr>
    </w:p>
    <w:p w:rsidR="005941A3" w:rsidRDefault="005941A3">
      <w:pPr>
        <w:rPr>
          <w:rFonts w:ascii="Arial" w:hAnsi="Arial" w:cs="Arial"/>
          <w:b/>
        </w:rPr>
      </w:pPr>
    </w:p>
    <w:p w:rsidR="00D95E65" w:rsidRPr="00D95E65" w:rsidRDefault="00D95E65">
      <w:pPr>
        <w:rPr>
          <w:rFonts w:ascii="Arial" w:hAnsi="Arial" w:cs="Arial"/>
          <w:b/>
        </w:rPr>
      </w:pPr>
      <w:r w:rsidRPr="00D95E65">
        <w:rPr>
          <w:rFonts w:ascii="Arial" w:hAnsi="Arial" w:cs="Arial"/>
          <w:b/>
        </w:rPr>
        <w:t>SUSTAINABILITY PLAN</w:t>
      </w:r>
    </w:p>
    <w:tbl>
      <w:tblPr>
        <w:tblStyle w:val="TableGrid"/>
        <w:tblW w:w="9322" w:type="dxa"/>
        <w:tblLook w:val="04A0" w:firstRow="1" w:lastRow="0" w:firstColumn="1" w:lastColumn="0" w:noHBand="0" w:noVBand="1"/>
      </w:tblPr>
      <w:tblGrid>
        <w:gridCol w:w="2517"/>
        <w:gridCol w:w="6805"/>
      </w:tblGrid>
      <w:tr w:rsidR="00611AD9" w:rsidRPr="009F54D3" w:rsidTr="00611AD9">
        <w:tc>
          <w:tcPr>
            <w:tcW w:w="9322" w:type="dxa"/>
            <w:gridSpan w:val="2"/>
            <w:shd w:val="clear" w:color="auto" w:fill="000000" w:themeFill="text1"/>
          </w:tcPr>
          <w:p w:rsidR="00611AD9" w:rsidRPr="009F54D3" w:rsidRDefault="00611AD9" w:rsidP="005941A3">
            <w:pPr>
              <w:rPr>
                <w:rFonts w:ascii="Arial" w:hAnsi="Arial" w:cs="Arial"/>
                <w:sz w:val="18"/>
                <w:szCs w:val="18"/>
              </w:rPr>
            </w:pPr>
            <w:r w:rsidRPr="00611AD9">
              <w:rPr>
                <w:rFonts w:ascii="Arial" w:hAnsi="Arial" w:cs="Arial"/>
                <w:b/>
                <w:color w:val="FFFFFF" w:themeColor="background1"/>
              </w:rPr>
              <w:t>Summary of proposed measures</w:t>
            </w:r>
          </w:p>
        </w:tc>
      </w:tr>
      <w:tr w:rsidR="00771B75" w:rsidRPr="009F54D3" w:rsidTr="001B4AC2">
        <w:trPr>
          <w:trHeight w:val="808"/>
        </w:trPr>
        <w:tc>
          <w:tcPr>
            <w:tcW w:w="2517" w:type="dxa"/>
            <w:shd w:val="clear" w:color="auto" w:fill="92CDDC" w:themeFill="accent5" w:themeFillTint="99"/>
          </w:tcPr>
          <w:p w:rsidR="00771B75" w:rsidRDefault="00771B75" w:rsidP="005941A3">
            <w:pPr>
              <w:rPr>
                <w:rFonts w:ascii="Arial" w:hAnsi="Arial" w:cs="Arial"/>
                <w:b/>
                <w:sz w:val="18"/>
                <w:szCs w:val="18"/>
              </w:rPr>
            </w:pPr>
            <w:r>
              <w:rPr>
                <w:rFonts w:ascii="Arial" w:hAnsi="Arial" w:cs="Arial"/>
                <w:b/>
                <w:sz w:val="18"/>
                <w:szCs w:val="18"/>
              </w:rPr>
              <w:t xml:space="preserve">Cooling </w:t>
            </w:r>
            <w:r w:rsidR="00612491">
              <w:rPr>
                <w:rFonts w:ascii="Arial" w:hAnsi="Arial" w:cs="Arial"/>
                <w:b/>
                <w:sz w:val="18"/>
                <w:szCs w:val="18"/>
              </w:rPr>
              <w:t>hierarchy</w:t>
            </w:r>
          </w:p>
          <w:p w:rsidR="00811839" w:rsidRPr="0047516A" w:rsidRDefault="00811839" w:rsidP="0047516A">
            <w:pPr>
              <w:rPr>
                <w:rFonts w:ascii="Arial" w:hAnsi="Arial" w:cs="Arial"/>
                <w:sz w:val="18"/>
                <w:szCs w:val="18"/>
              </w:rPr>
            </w:pPr>
          </w:p>
        </w:tc>
        <w:tc>
          <w:tcPr>
            <w:tcW w:w="6805" w:type="dxa"/>
            <w:shd w:val="clear" w:color="auto" w:fill="auto"/>
          </w:tcPr>
          <w:p w:rsidR="00811839" w:rsidRPr="000A7839" w:rsidRDefault="000A7839" w:rsidP="000A7839">
            <w:pPr>
              <w:pStyle w:val="Default"/>
              <w:rPr>
                <w:rFonts w:ascii="Arial" w:hAnsi="Arial" w:cs="Arial"/>
                <w:color w:val="auto"/>
              </w:rPr>
            </w:pPr>
            <w:r w:rsidRPr="000A7839">
              <w:rPr>
                <w:rFonts w:ascii="Arial" w:hAnsi="Arial" w:cs="Arial"/>
                <w:color w:val="auto"/>
              </w:rPr>
              <w:t>Natural ventilation - n</w:t>
            </w:r>
            <w:r w:rsidR="002E2240">
              <w:rPr>
                <w:rFonts w:ascii="Arial" w:hAnsi="Arial" w:cs="Arial"/>
                <w:color w:val="auto"/>
              </w:rPr>
              <w:t xml:space="preserve">o mechanical cooling proposed. </w:t>
            </w:r>
            <w:r w:rsidR="0047516A" w:rsidRPr="000A7839">
              <w:rPr>
                <w:rFonts w:ascii="Arial" w:hAnsi="Arial" w:cs="Arial"/>
                <w:color w:val="auto"/>
              </w:rPr>
              <w:t xml:space="preserve"> </w:t>
            </w:r>
          </w:p>
        </w:tc>
      </w:tr>
      <w:tr w:rsidR="008478E9" w:rsidRPr="009F54D3" w:rsidTr="001B4AC2">
        <w:trPr>
          <w:trHeight w:val="808"/>
        </w:trPr>
        <w:tc>
          <w:tcPr>
            <w:tcW w:w="2517" w:type="dxa"/>
            <w:shd w:val="clear" w:color="auto" w:fill="92CDDC" w:themeFill="accent5" w:themeFillTint="99"/>
          </w:tcPr>
          <w:p w:rsidR="008478E9" w:rsidRPr="009F54D3" w:rsidRDefault="008478E9" w:rsidP="005941A3">
            <w:pPr>
              <w:rPr>
                <w:rFonts w:ascii="Arial" w:hAnsi="Arial" w:cs="Arial"/>
                <w:b/>
                <w:sz w:val="18"/>
                <w:szCs w:val="18"/>
              </w:rPr>
            </w:pPr>
          </w:p>
          <w:p w:rsidR="008478E9" w:rsidRPr="009F54D3" w:rsidRDefault="008478E9" w:rsidP="005941A3">
            <w:pPr>
              <w:rPr>
                <w:rFonts w:ascii="Arial" w:hAnsi="Arial" w:cs="Arial"/>
                <w:b/>
                <w:sz w:val="18"/>
                <w:szCs w:val="18"/>
              </w:rPr>
            </w:pPr>
            <w:r w:rsidRPr="009F54D3">
              <w:rPr>
                <w:rFonts w:ascii="Arial" w:hAnsi="Arial" w:cs="Arial"/>
                <w:b/>
                <w:sz w:val="18"/>
                <w:szCs w:val="18"/>
              </w:rPr>
              <w:t>Materials, sourcing and waste</w:t>
            </w:r>
          </w:p>
        </w:tc>
        <w:tc>
          <w:tcPr>
            <w:tcW w:w="6805" w:type="dxa"/>
            <w:shd w:val="clear" w:color="auto" w:fill="auto"/>
          </w:tcPr>
          <w:p w:rsidR="008478E9" w:rsidRPr="000A7839" w:rsidRDefault="000A7839" w:rsidP="000A7839">
            <w:pPr>
              <w:pStyle w:val="Default"/>
              <w:rPr>
                <w:rFonts w:ascii="Arial" w:hAnsi="Arial" w:cs="Arial"/>
                <w:color w:val="auto"/>
              </w:rPr>
            </w:pPr>
            <w:r w:rsidRPr="000A7839">
              <w:rPr>
                <w:rFonts w:ascii="Arial" w:hAnsi="Arial" w:cs="Arial"/>
                <w:color w:val="auto"/>
              </w:rPr>
              <w:t>Wherever possible, the new materials used will be sustainably sourced to achieve an A or A+ rating under the Green Guide. Recycled materials, and materials with low embodied energy will be specified wherever possible.</w:t>
            </w:r>
          </w:p>
        </w:tc>
      </w:tr>
      <w:tr w:rsidR="008478E9" w:rsidRPr="009F54D3" w:rsidTr="001B4AC2">
        <w:trPr>
          <w:trHeight w:val="710"/>
        </w:trPr>
        <w:tc>
          <w:tcPr>
            <w:tcW w:w="2517" w:type="dxa"/>
            <w:shd w:val="clear" w:color="auto" w:fill="92CDDC" w:themeFill="accent5" w:themeFillTint="99"/>
          </w:tcPr>
          <w:p w:rsidR="008478E9" w:rsidRPr="009F54D3" w:rsidRDefault="008478E9" w:rsidP="005941A3">
            <w:pPr>
              <w:rPr>
                <w:rFonts w:ascii="Arial" w:hAnsi="Arial" w:cs="Arial"/>
                <w:b/>
                <w:sz w:val="18"/>
                <w:szCs w:val="18"/>
              </w:rPr>
            </w:pPr>
          </w:p>
          <w:p w:rsidR="008478E9" w:rsidRPr="009F54D3" w:rsidRDefault="008478E9" w:rsidP="005941A3">
            <w:pPr>
              <w:rPr>
                <w:rFonts w:ascii="Arial" w:hAnsi="Arial" w:cs="Arial"/>
                <w:b/>
                <w:sz w:val="18"/>
                <w:szCs w:val="18"/>
              </w:rPr>
            </w:pPr>
            <w:r w:rsidRPr="009F54D3">
              <w:rPr>
                <w:rFonts w:ascii="Arial" w:hAnsi="Arial" w:cs="Arial"/>
                <w:b/>
                <w:sz w:val="18"/>
                <w:szCs w:val="18"/>
              </w:rPr>
              <w:t>Green infrastructure</w:t>
            </w:r>
            <w:r w:rsidR="001B4AC2">
              <w:rPr>
                <w:rFonts w:ascii="Arial" w:hAnsi="Arial" w:cs="Arial"/>
                <w:b/>
                <w:sz w:val="18"/>
                <w:szCs w:val="18"/>
              </w:rPr>
              <w:t xml:space="preserve"> and biodiversity (including green/brown roofs)</w:t>
            </w:r>
          </w:p>
        </w:tc>
        <w:tc>
          <w:tcPr>
            <w:tcW w:w="6805" w:type="dxa"/>
            <w:shd w:val="clear" w:color="auto" w:fill="auto"/>
          </w:tcPr>
          <w:p w:rsidR="008478E9" w:rsidRPr="000A7839" w:rsidRDefault="000A7839" w:rsidP="000A7839">
            <w:pPr>
              <w:pStyle w:val="Default"/>
              <w:rPr>
                <w:rFonts w:ascii="Arial" w:hAnsi="Arial" w:cs="Arial"/>
                <w:color w:val="auto"/>
              </w:rPr>
            </w:pPr>
            <w:r w:rsidRPr="000A7839">
              <w:rPr>
                <w:rFonts w:ascii="Arial" w:hAnsi="Arial" w:cs="Arial"/>
                <w:color w:val="auto"/>
              </w:rPr>
              <w:t xml:space="preserve">Green roof proposed. </w:t>
            </w:r>
            <w:r w:rsidR="002E2240">
              <w:rPr>
                <w:rFonts w:ascii="Arial" w:hAnsi="Arial" w:cs="Arial"/>
                <w:color w:val="auto"/>
              </w:rPr>
              <w:t xml:space="preserve">Details to be secure through condition. </w:t>
            </w:r>
          </w:p>
        </w:tc>
      </w:tr>
      <w:tr w:rsidR="008478E9" w:rsidRPr="009F54D3" w:rsidTr="001B4AC2">
        <w:trPr>
          <w:trHeight w:val="754"/>
        </w:trPr>
        <w:tc>
          <w:tcPr>
            <w:tcW w:w="2517" w:type="dxa"/>
            <w:shd w:val="clear" w:color="auto" w:fill="92CDDC" w:themeFill="accent5" w:themeFillTint="99"/>
          </w:tcPr>
          <w:p w:rsidR="008478E9" w:rsidRPr="009F54D3" w:rsidRDefault="008478E9" w:rsidP="005941A3">
            <w:pPr>
              <w:rPr>
                <w:rFonts w:ascii="Arial" w:hAnsi="Arial" w:cs="Arial"/>
                <w:b/>
                <w:sz w:val="18"/>
                <w:szCs w:val="18"/>
              </w:rPr>
            </w:pPr>
          </w:p>
          <w:p w:rsidR="008478E9" w:rsidRDefault="008478E9" w:rsidP="005941A3">
            <w:pPr>
              <w:rPr>
                <w:rFonts w:ascii="Arial" w:hAnsi="Arial" w:cs="Arial"/>
                <w:b/>
                <w:sz w:val="18"/>
                <w:szCs w:val="18"/>
              </w:rPr>
            </w:pPr>
            <w:r w:rsidRPr="009F54D3">
              <w:rPr>
                <w:rFonts w:ascii="Arial" w:hAnsi="Arial" w:cs="Arial"/>
                <w:b/>
                <w:sz w:val="18"/>
                <w:szCs w:val="18"/>
              </w:rPr>
              <w:t xml:space="preserve">Water efficiency and </w:t>
            </w:r>
            <w:proofErr w:type="spellStart"/>
            <w:r w:rsidRPr="009F54D3">
              <w:rPr>
                <w:rFonts w:ascii="Arial" w:hAnsi="Arial" w:cs="Arial"/>
                <w:b/>
                <w:sz w:val="18"/>
                <w:szCs w:val="18"/>
              </w:rPr>
              <w:t>SuDS</w:t>
            </w:r>
            <w:proofErr w:type="spellEnd"/>
            <w:r w:rsidR="001B4AC2">
              <w:rPr>
                <w:rFonts w:ascii="Arial" w:hAnsi="Arial" w:cs="Arial"/>
                <w:b/>
                <w:sz w:val="18"/>
                <w:szCs w:val="18"/>
              </w:rPr>
              <w:t xml:space="preserve"> (including rainwater and greywater harvesting)</w:t>
            </w:r>
          </w:p>
          <w:p w:rsidR="001B4AC2" w:rsidRPr="009F54D3" w:rsidRDefault="001B4AC2" w:rsidP="005941A3">
            <w:pPr>
              <w:rPr>
                <w:rFonts w:ascii="Arial" w:hAnsi="Arial" w:cs="Arial"/>
                <w:b/>
                <w:sz w:val="18"/>
                <w:szCs w:val="18"/>
              </w:rPr>
            </w:pPr>
          </w:p>
        </w:tc>
        <w:tc>
          <w:tcPr>
            <w:tcW w:w="6805" w:type="dxa"/>
            <w:shd w:val="clear" w:color="auto" w:fill="auto"/>
          </w:tcPr>
          <w:p w:rsidR="00C4724A" w:rsidRDefault="000A7839" w:rsidP="000A7839">
            <w:pPr>
              <w:pStyle w:val="Default"/>
              <w:rPr>
                <w:rFonts w:ascii="Arial" w:hAnsi="Arial" w:cs="Arial"/>
                <w:color w:val="auto"/>
              </w:rPr>
            </w:pPr>
            <w:r w:rsidRPr="000A7839">
              <w:rPr>
                <w:rFonts w:ascii="Arial" w:hAnsi="Arial" w:cs="Arial"/>
                <w:color w:val="auto"/>
              </w:rPr>
              <w:t xml:space="preserve">The water consumption in the proposed dwellings would be less than 105 litres per person per day. Water meter to be provided. </w:t>
            </w:r>
          </w:p>
          <w:p w:rsidR="00C4724A" w:rsidRDefault="00C4724A" w:rsidP="000A7839">
            <w:pPr>
              <w:pStyle w:val="Default"/>
              <w:rPr>
                <w:rFonts w:ascii="Arial" w:hAnsi="Arial" w:cs="Arial"/>
                <w:color w:val="auto"/>
              </w:rPr>
            </w:pPr>
          </w:p>
          <w:p w:rsidR="008478E9" w:rsidRPr="000A7839" w:rsidRDefault="000A7839" w:rsidP="000A7839">
            <w:pPr>
              <w:pStyle w:val="Default"/>
              <w:rPr>
                <w:rFonts w:ascii="Arial" w:hAnsi="Arial" w:cs="Arial"/>
                <w:color w:val="auto"/>
              </w:rPr>
            </w:pPr>
            <w:r w:rsidRPr="000A7839">
              <w:rPr>
                <w:rFonts w:ascii="Arial" w:hAnsi="Arial" w:cs="Arial"/>
                <w:color w:val="auto"/>
              </w:rPr>
              <w:t>Green roof will provide some run-off reduction</w:t>
            </w:r>
          </w:p>
        </w:tc>
      </w:tr>
      <w:tr w:rsidR="00771B75" w:rsidRPr="009F54D3" w:rsidTr="001B4AC2">
        <w:trPr>
          <w:trHeight w:val="558"/>
        </w:trPr>
        <w:tc>
          <w:tcPr>
            <w:tcW w:w="2517" w:type="dxa"/>
            <w:shd w:val="clear" w:color="auto" w:fill="92CDDC" w:themeFill="accent5" w:themeFillTint="99"/>
          </w:tcPr>
          <w:p w:rsidR="00771B75" w:rsidRPr="009F54D3" w:rsidRDefault="00771B75" w:rsidP="005941A3">
            <w:pPr>
              <w:rPr>
                <w:rFonts w:ascii="Arial" w:hAnsi="Arial" w:cs="Arial"/>
                <w:b/>
                <w:sz w:val="18"/>
                <w:szCs w:val="18"/>
              </w:rPr>
            </w:pPr>
          </w:p>
          <w:p w:rsidR="00771B75" w:rsidRPr="009F54D3" w:rsidRDefault="001B4AC2" w:rsidP="005941A3">
            <w:pPr>
              <w:rPr>
                <w:rFonts w:ascii="Arial" w:hAnsi="Arial" w:cs="Arial"/>
                <w:b/>
                <w:sz w:val="18"/>
                <w:szCs w:val="18"/>
              </w:rPr>
            </w:pPr>
            <w:r>
              <w:rPr>
                <w:rFonts w:ascii="Arial" w:hAnsi="Arial" w:cs="Arial"/>
                <w:b/>
                <w:sz w:val="18"/>
                <w:szCs w:val="18"/>
              </w:rPr>
              <w:t>Building Management Systems, m</w:t>
            </w:r>
            <w:r w:rsidR="00771B75" w:rsidRPr="009F54D3">
              <w:rPr>
                <w:rFonts w:ascii="Arial" w:hAnsi="Arial" w:cs="Arial"/>
                <w:b/>
                <w:sz w:val="18"/>
                <w:szCs w:val="18"/>
              </w:rPr>
              <w:t>etering, monitoring and management</w:t>
            </w:r>
          </w:p>
          <w:p w:rsidR="00771B75" w:rsidRPr="009F54D3" w:rsidRDefault="00771B75" w:rsidP="005941A3">
            <w:pPr>
              <w:rPr>
                <w:rFonts w:ascii="Arial" w:hAnsi="Arial" w:cs="Arial"/>
                <w:b/>
                <w:sz w:val="18"/>
                <w:szCs w:val="18"/>
              </w:rPr>
            </w:pPr>
          </w:p>
        </w:tc>
        <w:tc>
          <w:tcPr>
            <w:tcW w:w="6805" w:type="dxa"/>
            <w:shd w:val="clear" w:color="auto" w:fill="auto"/>
          </w:tcPr>
          <w:p w:rsidR="00771B75" w:rsidRPr="000A7839" w:rsidRDefault="000A7839" w:rsidP="000A7839">
            <w:pPr>
              <w:pStyle w:val="Default"/>
              <w:rPr>
                <w:rFonts w:ascii="Arial" w:hAnsi="Arial" w:cs="Arial"/>
                <w:color w:val="auto"/>
              </w:rPr>
            </w:pPr>
            <w:r w:rsidRPr="000A7839">
              <w:rPr>
                <w:rFonts w:ascii="Arial" w:hAnsi="Arial" w:cs="Arial"/>
                <w:color w:val="auto"/>
              </w:rPr>
              <w:t xml:space="preserve">Water meter. </w:t>
            </w:r>
          </w:p>
        </w:tc>
      </w:tr>
    </w:tbl>
    <w:p w:rsidR="008478E9" w:rsidRDefault="008478E9"/>
    <w:p w:rsidR="003B6387" w:rsidRPr="002441B5" w:rsidRDefault="003B6387" w:rsidP="003B6387">
      <w:pPr>
        <w:rPr>
          <w:rFonts w:ascii="Arial" w:hAnsi="Arial" w:cs="Arial"/>
          <w:b/>
          <w:i/>
          <w:color w:val="00B050"/>
        </w:rPr>
      </w:pPr>
      <w:r w:rsidRPr="002441B5">
        <w:rPr>
          <w:rFonts w:ascii="Arial" w:hAnsi="Arial" w:cs="Arial"/>
          <w:b/>
          <w:i/>
          <w:color w:val="00B050"/>
        </w:rPr>
        <w:t>NEW BUILD:</w:t>
      </w:r>
    </w:p>
    <w:p w:rsidR="003B6387" w:rsidRPr="002441B5" w:rsidRDefault="003B6387" w:rsidP="003B6387">
      <w:pPr>
        <w:rPr>
          <w:rFonts w:ascii="Arial" w:hAnsi="Arial" w:cs="Arial"/>
          <w:i/>
          <w:color w:val="00B050"/>
        </w:rPr>
      </w:pPr>
      <w:r w:rsidRPr="002441B5">
        <w:rPr>
          <w:rFonts w:ascii="Arial" w:hAnsi="Arial" w:cs="Arial"/>
          <w:b/>
          <w:i/>
          <w:color w:val="00B050"/>
        </w:rPr>
        <w:t>Water efficiency condition:</w:t>
      </w:r>
      <w:r w:rsidRPr="002441B5">
        <w:rPr>
          <w:rFonts w:ascii="Arial" w:hAnsi="Arial" w:cs="Arial"/>
          <w:i/>
          <w:color w:val="00B050"/>
        </w:rPr>
        <w:t xml:space="preserve"> </w:t>
      </w:r>
      <w:r w:rsidRPr="002441B5">
        <w:rPr>
          <w:rFonts w:ascii="Arial" w:hAnsi="Arial" w:cs="Arial"/>
          <w:i/>
          <w:iCs/>
          <w:color w:val="00B050"/>
        </w:rPr>
        <w:t xml:space="preserve">The development hereby approved shall achieve a maximum internal water use of 105litres/person/day, allowing </w:t>
      </w:r>
      <w:proofErr w:type="gramStart"/>
      <w:r w:rsidRPr="002441B5">
        <w:rPr>
          <w:rFonts w:ascii="Arial" w:hAnsi="Arial" w:cs="Arial"/>
          <w:i/>
          <w:iCs/>
          <w:color w:val="00B050"/>
        </w:rPr>
        <w:t>5 litres/person/day for external water use</w:t>
      </w:r>
      <w:proofErr w:type="gramEnd"/>
      <w:r w:rsidRPr="002441B5">
        <w:rPr>
          <w:rFonts w:ascii="Arial" w:hAnsi="Arial" w:cs="Arial"/>
          <w:i/>
          <w:iCs/>
          <w:color w:val="00B050"/>
        </w:rPr>
        <w:t>. Prior to occupation, evidence demonstrating that this has been achieved shall be submitted and approved by the Local Planning Authority</w:t>
      </w:r>
      <w:r w:rsidRPr="002441B5">
        <w:rPr>
          <w:rFonts w:ascii="Arial" w:hAnsi="Arial" w:cs="Arial"/>
          <w:i/>
          <w:color w:val="00B050"/>
        </w:rPr>
        <w:t>.</w:t>
      </w:r>
    </w:p>
    <w:p w:rsidR="003B6387" w:rsidRDefault="003B6387" w:rsidP="003B6387">
      <w:pPr>
        <w:rPr>
          <w:rFonts w:ascii="Arial" w:hAnsi="Arial" w:cs="Arial"/>
          <w:i/>
          <w:iCs/>
          <w:color w:val="00B050"/>
        </w:rPr>
      </w:pPr>
      <w:r w:rsidRPr="002441B5">
        <w:rPr>
          <w:rFonts w:ascii="Arial" w:hAnsi="Arial" w:cs="Arial"/>
          <w:i/>
          <w:iCs/>
          <w:color w:val="00B050"/>
        </w:rPr>
        <w:lastRenderedPageBreak/>
        <w:t>Reason: To ensure the development contributes to minimising the need for further water infrastructure in an area of water stress in accordance with policies CS13 (Tackling climate change through promoting higher environmental standards), DP22 (Promoting sustainable design and construction) and DP23 (Water)</w:t>
      </w:r>
    </w:p>
    <w:p w:rsidR="00C93303" w:rsidRPr="003B6387" w:rsidRDefault="00C93303" w:rsidP="003B6387">
      <w:pPr>
        <w:rPr>
          <w:rFonts w:ascii="Arial" w:hAnsi="Arial" w:cs="Arial"/>
          <w:i/>
          <w:iCs/>
          <w:color w:val="00B050"/>
        </w:rPr>
      </w:pPr>
    </w:p>
    <w:p w:rsidR="003B6387" w:rsidRDefault="003B6387" w:rsidP="003B6387">
      <w:pPr>
        <w:rPr>
          <w:rFonts w:ascii="Arial" w:hAnsi="Arial" w:cs="Arial"/>
          <w:b/>
          <w:i/>
          <w:color w:val="00B050"/>
          <w:u w:val="single"/>
        </w:rPr>
      </w:pPr>
      <w:r w:rsidRPr="002441B5">
        <w:rPr>
          <w:rFonts w:ascii="Arial" w:hAnsi="Arial" w:cs="Arial"/>
          <w:b/>
          <w:i/>
          <w:color w:val="00B050"/>
        </w:rPr>
        <w:t>Sustainabilit</w:t>
      </w:r>
      <w:r>
        <w:rPr>
          <w:rFonts w:ascii="Arial" w:hAnsi="Arial" w:cs="Arial"/>
          <w:b/>
          <w:i/>
          <w:color w:val="00B050"/>
        </w:rPr>
        <w:t>y in accordance with statement:</w:t>
      </w:r>
    </w:p>
    <w:p w:rsidR="003B6387" w:rsidRPr="00C4724A" w:rsidRDefault="003B6387" w:rsidP="003B6387">
      <w:pPr>
        <w:rPr>
          <w:rFonts w:ascii="Arial" w:hAnsi="Arial" w:cs="Arial"/>
          <w:i/>
          <w:iCs/>
          <w:color w:val="00B050"/>
          <w:highlight w:val="yellow"/>
        </w:rPr>
      </w:pPr>
      <w:r w:rsidRPr="002441B5">
        <w:rPr>
          <w:rFonts w:ascii="Arial" w:hAnsi="Arial" w:cs="Arial"/>
          <w:i/>
          <w:iCs/>
          <w:color w:val="00B050"/>
        </w:rPr>
        <w:t>The development hereby approved shall incorporate sustainable design principles and climate change adaptation measures into the design and construction of the development in accordance with the approved sustainability statement (</w:t>
      </w:r>
      <w:r w:rsidR="00C4724A" w:rsidRPr="00C4724A">
        <w:rPr>
          <w:rFonts w:ascii="Arial" w:hAnsi="Arial" w:cs="Arial"/>
          <w:i/>
          <w:iCs/>
          <w:color w:val="00B050"/>
        </w:rPr>
        <w:t>Sustainability Statement, by J Simpson of AJ Energy Consultants Limited, and dated 27 February 2017</w:t>
      </w:r>
      <w:r w:rsidRPr="002441B5">
        <w:rPr>
          <w:rFonts w:ascii="Arial" w:hAnsi="Arial" w:cs="Arial"/>
          <w:i/>
          <w:iCs/>
          <w:color w:val="00B050"/>
        </w:rPr>
        <w:t>). Prior to occupation, evidence demonstrating that the approved measures have been implemented shall be submitted and approved in writing by the Local Planning Authority.</w:t>
      </w:r>
    </w:p>
    <w:p w:rsidR="003B6387" w:rsidRDefault="003B6387" w:rsidP="003B6387">
      <w:pPr>
        <w:rPr>
          <w:rFonts w:ascii="Arial" w:hAnsi="Arial" w:cs="Arial"/>
          <w:i/>
          <w:color w:val="00B050"/>
        </w:rPr>
      </w:pPr>
      <w:r w:rsidRPr="002441B5">
        <w:rPr>
          <w:rFonts w:ascii="Arial" w:hAnsi="Arial" w:cs="Arial"/>
          <w:i/>
          <w:color w:val="00B050"/>
        </w:rPr>
        <w:t>Reason: To ensure the development contributes to minimising the effects of, and can adapt to a changing climate in accordance with policies CS13 (Tackling climate change through promoting higher environmental standards) and DP22 (Promoting sustainable design and construction).</w:t>
      </w:r>
    </w:p>
    <w:p w:rsidR="00C93303" w:rsidRPr="00C93303" w:rsidRDefault="00C93303" w:rsidP="003B6387">
      <w:pPr>
        <w:rPr>
          <w:rFonts w:ascii="Arial" w:hAnsi="Arial" w:cs="Arial"/>
          <w:i/>
          <w:color w:val="00B050"/>
        </w:rPr>
      </w:pPr>
    </w:p>
    <w:p w:rsidR="00CB79B0" w:rsidRPr="002441B5" w:rsidRDefault="00CB79B0" w:rsidP="00CB79B0">
      <w:pPr>
        <w:rPr>
          <w:rFonts w:ascii="Arial" w:hAnsi="Arial" w:cs="Arial"/>
          <w:b/>
          <w:i/>
          <w:color w:val="00B050"/>
        </w:rPr>
      </w:pPr>
      <w:r w:rsidRPr="002441B5">
        <w:rPr>
          <w:rFonts w:ascii="Arial" w:hAnsi="Arial" w:cs="Arial"/>
          <w:b/>
          <w:i/>
          <w:iCs/>
          <w:color w:val="00B050"/>
        </w:rPr>
        <w:t>Ener</w:t>
      </w:r>
      <w:r>
        <w:rPr>
          <w:rFonts w:ascii="Arial" w:hAnsi="Arial" w:cs="Arial"/>
          <w:b/>
          <w:i/>
          <w:iCs/>
          <w:color w:val="00B050"/>
        </w:rPr>
        <w:t>gy in accordance with statement</w:t>
      </w:r>
      <w:r w:rsidRPr="002441B5">
        <w:rPr>
          <w:rFonts w:ascii="Arial" w:hAnsi="Arial" w:cs="Arial"/>
          <w:b/>
          <w:i/>
          <w:color w:val="00B050"/>
        </w:rPr>
        <w:t>:</w:t>
      </w:r>
    </w:p>
    <w:p w:rsidR="003B6387" w:rsidRPr="003B6387" w:rsidRDefault="003B6387" w:rsidP="003B6387">
      <w:pPr>
        <w:rPr>
          <w:rFonts w:ascii="Arial" w:hAnsi="Arial" w:cs="Arial"/>
          <w:i/>
          <w:color w:val="00B050"/>
        </w:rPr>
      </w:pPr>
      <w:r w:rsidRPr="002441B5">
        <w:rPr>
          <w:rFonts w:ascii="Arial" w:hAnsi="Arial" w:cs="Arial"/>
          <w:i/>
          <w:color w:val="00B050"/>
        </w:rPr>
        <w:t>The development hereby approved shall be constructed in accordance with the approved energy statement [</w:t>
      </w:r>
      <w:r w:rsidR="00C4724A" w:rsidRPr="00C4724A">
        <w:rPr>
          <w:rFonts w:ascii="Arial" w:hAnsi="Arial" w:cs="Arial"/>
          <w:i/>
          <w:color w:val="00B050"/>
        </w:rPr>
        <w:t>Energy Assessment, by J Simpson of AJ Energy Consultants Limited, and dated 27 February 2017</w:t>
      </w:r>
      <w:r w:rsidR="000A7839">
        <w:rPr>
          <w:rFonts w:ascii="Arial" w:hAnsi="Arial" w:cs="Arial"/>
          <w:i/>
          <w:color w:val="00B050"/>
        </w:rPr>
        <w:t xml:space="preserve">] to achieve a </w:t>
      </w:r>
      <w:r w:rsidR="000A7839" w:rsidRPr="000A7839">
        <w:rPr>
          <w:rFonts w:ascii="Arial" w:hAnsi="Arial" w:cs="Arial"/>
          <w:i/>
          <w:color w:val="00B050"/>
        </w:rPr>
        <w:t>36.6</w:t>
      </w:r>
      <w:r w:rsidRPr="000A7839">
        <w:rPr>
          <w:rFonts w:ascii="Arial" w:hAnsi="Arial" w:cs="Arial"/>
          <w:i/>
          <w:color w:val="00B050"/>
        </w:rPr>
        <w:t xml:space="preserve">% reduction </w:t>
      </w:r>
      <w:r w:rsidRPr="002441B5">
        <w:rPr>
          <w:rFonts w:ascii="Arial" w:hAnsi="Arial" w:cs="Arial"/>
          <w:i/>
          <w:color w:val="00B050"/>
        </w:rPr>
        <w:t xml:space="preserve">in carbon dioxide emissions beyond Part L 2013 Building Regulations in line with the energy hierarchy, and a </w:t>
      </w:r>
      <w:r w:rsidR="000A7839" w:rsidRPr="000A7839">
        <w:rPr>
          <w:rFonts w:ascii="Arial" w:hAnsi="Arial" w:cs="Arial"/>
          <w:i/>
          <w:color w:val="00B050"/>
        </w:rPr>
        <w:t>25.5</w:t>
      </w:r>
      <w:r w:rsidRPr="000A7839">
        <w:rPr>
          <w:rFonts w:ascii="Arial" w:hAnsi="Arial" w:cs="Arial"/>
          <w:i/>
          <w:color w:val="00B050"/>
        </w:rPr>
        <w:t xml:space="preserve"> % reduction </w:t>
      </w:r>
      <w:r w:rsidRPr="002441B5">
        <w:rPr>
          <w:rFonts w:ascii="Arial" w:hAnsi="Arial" w:cs="Arial"/>
          <w:i/>
          <w:color w:val="00B050"/>
        </w:rPr>
        <w:t>in carbon dioxide emissions through renewable technologies.</w:t>
      </w:r>
    </w:p>
    <w:p w:rsidR="003B6387" w:rsidRPr="002441B5" w:rsidRDefault="003B6387" w:rsidP="003B6387">
      <w:pPr>
        <w:rPr>
          <w:rFonts w:ascii="Arial" w:hAnsi="Arial" w:cs="Arial"/>
          <w:i/>
          <w:iCs/>
          <w:color w:val="00B050"/>
        </w:rPr>
      </w:pPr>
      <w:r w:rsidRPr="002441B5">
        <w:rPr>
          <w:rFonts w:ascii="Arial" w:hAnsi="Arial" w:cs="Arial"/>
          <w:i/>
          <w:iCs/>
          <w:color w:val="00B050"/>
        </w:rPr>
        <w:t>Reason: To ensure the development contributes to minimising the effects of, and can adapt to a changing climate in accordance with policies CS13 (Tackling climate change through promoting higher environmental standards) and DP22 (Promoting sustainable design and construction).</w:t>
      </w:r>
    </w:p>
    <w:p w:rsidR="00CB79B0" w:rsidRPr="00CB79B0" w:rsidRDefault="00CB79B0" w:rsidP="00CB79B0">
      <w:pPr>
        <w:rPr>
          <w:rFonts w:ascii="Arial" w:hAnsi="Arial" w:cs="Arial"/>
          <w:i/>
          <w:iCs/>
          <w:color w:val="00B050"/>
        </w:rPr>
      </w:pPr>
      <w:r w:rsidRPr="00CB79B0">
        <w:rPr>
          <w:rFonts w:ascii="Arial" w:hAnsi="Arial" w:cs="Arial"/>
          <w:i/>
          <w:iCs/>
          <w:color w:val="00B050"/>
        </w:rPr>
        <w:t> </w:t>
      </w:r>
    </w:p>
    <w:p w:rsidR="00CB79B0" w:rsidRPr="00C93303" w:rsidRDefault="00CB79B0" w:rsidP="00CB79B0">
      <w:pPr>
        <w:rPr>
          <w:rFonts w:ascii="Arial" w:hAnsi="Arial" w:cs="Arial"/>
          <w:b/>
          <w:i/>
          <w:iCs/>
          <w:color w:val="00B050"/>
        </w:rPr>
      </w:pPr>
      <w:r w:rsidRPr="00C93303">
        <w:rPr>
          <w:rFonts w:ascii="Arial" w:hAnsi="Arial" w:cs="Arial"/>
          <w:b/>
          <w:i/>
          <w:iCs/>
          <w:color w:val="00B050"/>
        </w:rPr>
        <w:t>Solar PV</w:t>
      </w:r>
    </w:p>
    <w:p w:rsidR="00CB79B0" w:rsidRPr="00CB79B0" w:rsidRDefault="00CB79B0" w:rsidP="00CB79B0">
      <w:pPr>
        <w:rPr>
          <w:rFonts w:ascii="Arial" w:hAnsi="Arial" w:cs="Arial"/>
          <w:i/>
          <w:iCs/>
          <w:color w:val="00B050"/>
        </w:rPr>
      </w:pPr>
      <w:r w:rsidRPr="00CB79B0">
        <w:rPr>
          <w:rFonts w:ascii="Arial" w:hAnsi="Arial" w:cs="Arial"/>
          <w:i/>
          <w:iCs/>
          <w:color w:val="00B050"/>
        </w:rPr>
        <w:t>Prior to</w:t>
      </w:r>
      <w:r>
        <w:rPr>
          <w:rFonts w:ascii="Arial" w:hAnsi="Arial" w:cs="Arial"/>
          <w:i/>
          <w:iCs/>
          <w:color w:val="00B050"/>
        </w:rPr>
        <w:t xml:space="preserve"> </w:t>
      </w:r>
      <w:r w:rsidRPr="00C93303">
        <w:rPr>
          <w:rFonts w:ascii="Arial" w:hAnsi="Arial" w:cs="Arial"/>
          <w:i/>
          <w:iCs/>
          <w:color w:val="00B050"/>
        </w:rPr>
        <w:t>first occupation of the buildings</w:t>
      </w:r>
      <w:r w:rsidRPr="00CB79B0">
        <w:rPr>
          <w:rFonts w:ascii="Arial" w:hAnsi="Arial" w:cs="Arial"/>
          <w:i/>
          <w:iCs/>
          <w:color w:val="00B050"/>
        </w:rPr>
        <w:t>, detailed plans showing the location and extent of photovoltaic cells to be installed on the building shall have been</w:t>
      </w:r>
      <w:r>
        <w:rPr>
          <w:rFonts w:ascii="Arial" w:hAnsi="Arial" w:cs="Arial"/>
          <w:i/>
          <w:iCs/>
          <w:color w:val="00B050"/>
        </w:rPr>
        <w:t xml:space="preserve"> </w:t>
      </w:r>
      <w:r w:rsidRPr="00CB79B0">
        <w:rPr>
          <w:rFonts w:ascii="Arial" w:hAnsi="Arial" w:cs="Arial"/>
          <w:i/>
          <w:iCs/>
          <w:color w:val="00B050"/>
        </w:rPr>
        <w:t>submitted to and approved by the Local Planning Authority in writing. The measures shall include the installation of a meter to monitor the energy output from</w:t>
      </w:r>
      <w:r>
        <w:rPr>
          <w:rFonts w:ascii="Arial" w:hAnsi="Arial" w:cs="Arial"/>
          <w:i/>
          <w:iCs/>
          <w:color w:val="00B050"/>
        </w:rPr>
        <w:t xml:space="preserve"> </w:t>
      </w:r>
      <w:r w:rsidRPr="00CB79B0">
        <w:rPr>
          <w:rFonts w:ascii="Arial" w:hAnsi="Arial" w:cs="Arial"/>
          <w:i/>
          <w:iCs/>
          <w:color w:val="00B050"/>
        </w:rPr>
        <w:t>the approved renewable energy systems. The cells shall be installed in full accordance with the details approved by the Local Planning Authority and</w:t>
      </w:r>
      <w:r>
        <w:rPr>
          <w:rFonts w:ascii="Arial" w:hAnsi="Arial" w:cs="Arial"/>
          <w:i/>
          <w:iCs/>
          <w:color w:val="00B050"/>
        </w:rPr>
        <w:t xml:space="preserve"> </w:t>
      </w:r>
      <w:r w:rsidRPr="00CB79B0">
        <w:rPr>
          <w:rFonts w:ascii="Arial" w:hAnsi="Arial" w:cs="Arial"/>
          <w:i/>
          <w:iCs/>
          <w:color w:val="00B050"/>
        </w:rPr>
        <w:t>permanently retained and maintained thereafter.</w:t>
      </w:r>
    </w:p>
    <w:p w:rsidR="00CB79B0" w:rsidRDefault="00CB79B0">
      <w:pPr>
        <w:rPr>
          <w:rFonts w:ascii="Arial" w:hAnsi="Arial" w:cs="Arial"/>
          <w:i/>
          <w:iCs/>
          <w:color w:val="00B050"/>
        </w:rPr>
      </w:pPr>
      <w:r w:rsidRPr="00CB79B0">
        <w:rPr>
          <w:rFonts w:ascii="Arial" w:hAnsi="Arial" w:cs="Arial"/>
          <w:i/>
          <w:iCs/>
          <w:color w:val="00B050"/>
        </w:rPr>
        <w:t>Reason: To ensure the development provides adequate on-site renewable energy facilities in accordance with the requirements of policy CS13 of the London</w:t>
      </w:r>
      <w:r>
        <w:rPr>
          <w:rFonts w:ascii="Arial" w:hAnsi="Arial" w:cs="Arial"/>
          <w:i/>
          <w:iCs/>
          <w:color w:val="00B050"/>
        </w:rPr>
        <w:t xml:space="preserve"> </w:t>
      </w:r>
      <w:r w:rsidRPr="00CB79B0">
        <w:rPr>
          <w:rFonts w:ascii="Arial" w:hAnsi="Arial" w:cs="Arial"/>
          <w:i/>
          <w:iCs/>
          <w:color w:val="00B050"/>
        </w:rPr>
        <w:t>Borough of Camden Local Development Framework Core Strategy and policy DP22 of the London Borough of Ca</w:t>
      </w:r>
      <w:r>
        <w:rPr>
          <w:rFonts w:ascii="Arial" w:hAnsi="Arial" w:cs="Arial"/>
          <w:i/>
          <w:iCs/>
          <w:color w:val="00B050"/>
        </w:rPr>
        <w:t xml:space="preserve">mden Local Development Framework </w:t>
      </w:r>
      <w:r w:rsidRPr="00CB79B0">
        <w:rPr>
          <w:rFonts w:ascii="Arial" w:hAnsi="Arial" w:cs="Arial"/>
          <w:i/>
          <w:iCs/>
          <w:color w:val="00B050"/>
        </w:rPr>
        <w:t>Development Policies.</w:t>
      </w:r>
    </w:p>
    <w:p w:rsidR="002E2240" w:rsidRDefault="002E2240">
      <w:pPr>
        <w:rPr>
          <w:rFonts w:ascii="Arial" w:hAnsi="Arial" w:cs="Arial"/>
          <w:i/>
          <w:iCs/>
          <w:color w:val="00B050"/>
        </w:rPr>
      </w:pPr>
    </w:p>
    <w:p w:rsidR="00C4724A" w:rsidRPr="00C4724A" w:rsidRDefault="00C4724A" w:rsidP="00C4724A">
      <w:pPr>
        <w:spacing w:after="0" w:line="240" w:lineRule="auto"/>
        <w:rPr>
          <w:rFonts w:ascii="Arial" w:eastAsia="Times New Roman" w:hAnsi="Arial" w:cs="Arial"/>
          <w:color w:val="00B050"/>
          <w:lang w:eastAsia="en-GB"/>
        </w:rPr>
      </w:pPr>
      <w:r w:rsidRPr="00C4724A">
        <w:rPr>
          <w:rFonts w:ascii="Arial" w:eastAsia="Times New Roman" w:hAnsi="Arial" w:cs="Arial"/>
          <w:b/>
          <w:bCs/>
          <w:i/>
          <w:iCs/>
          <w:color w:val="00B050"/>
          <w:lang w:eastAsia="en-GB"/>
        </w:rPr>
        <w:t>Green Roof details</w:t>
      </w:r>
    </w:p>
    <w:p w:rsidR="00C4724A" w:rsidRPr="00C4724A" w:rsidRDefault="00C4724A" w:rsidP="00C4724A">
      <w:pPr>
        <w:spacing w:after="0" w:line="240" w:lineRule="auto"/>
        <w:rPr>
          <w:rFonts w:ascii="Arial" w:eastAsia="Times New Roman" w:hAnsi="Arial" w:cs="Arial"/>
          <w:color w:val="00B050"/>
          <w:lang w:eastAsia="en-GB"/>
        </w:rPr>
      </w:pPr>
      <w:r w:rsidRPr="00C4724A">
        <w:rPr>
          <w:rFonts w:ascii="Arial" w:eastAsia="Times New Roman" w:hAnsi="Arial" w:cs="Arial"/>
          <w:i/>
          <w:iCs/>
          <w:color w:val="00B050"/>
          <w:lang w:eastAsia="en-GB"/>
        </w:rPr>
        <w:t>Full details in respect of the green roof in the area indicated on the approved roof plan shall be submitted to and approved by the local planning authority before the relevant part of the development commences. Details of the green roof provided shall include: species, planting density, substrate and a section at scale 1:20 showing that adequate depth is available in terms of the construction and long term viability of the green roof, as well as details of the maintenance programme for green roof. The buildings shall not be occupied until the approved details have been implemented and these works shall be permanently retained and maintained thereafter.</w:t>
      </w:r>
    </w:p>
    <w:p w:rsidR="00C4724A" w:rsidRPr="00C4724A" w:rsidRDefault="00C4724A" w:rsidP="00C4724A">
      <w:pPr>
        <w:spacing w:after="0" w:line="240" w:lineRule="auto"/>
        <w:rPr>
          <w:rFonts w:ascii="Arial" w:eastAsia="Times New Roman" w:hAnsi="Arial" w:cs="Arial"/>
          <w:color w:val="00B050"/>
          <w:lang w:eastAsia="en-GB"/>
        </w:rPr>
      </w:pPr>
      <w:r w:rsidRPr="00C4724A">
        <w:rPr>
          <w:rFonts w:ascii="Arial" w:eastAsia="Times New Roman" w:hAnsi="Arial" w:cs="Arial"/>
          <w:color w:val="00B050"/>
          <w:lang w:eastAsia="en-GB"/>
        </w:rPr>
        <w:t> </w:t>
      </w:r>
    </w:p>
    <w:p w:rsidR="00C4724A" w:rsidRPr="00C4724A" w:rsidRDefault="00C4724A" w:rsidP="00C4724A">
      <w:pPr>
        <w:spacing w:after="0" w:line="240" w:lineRule="auto"/>
        <w:rPr>
          <w:rFonts w:ascii="Arial" w:eastAsia="Times New Roman" w:hAnsi="Arial" w:cs="Arial"/>
          <w:color w:val="00B050"/>
          <w:lang w:eastAsia="en-GB"/>
        </w:rPr>
      </w:pPr>
      <w:r w:rsidRPr="00C4724A">
        <w:rPr>
          <w:rFonts w:ascii="Arial" w:eastAsia="Times New Roman" w:hAnsi="Arial" w:cs="Arial"/>
          <w:i/>
          <w:iCs/>
          <w:color w:val="00B050"/>
          <w:lang w:eastAsia="en-GB"/>
        </w:rPr>
        <w:t>Reason: In order to ensure the development undertakes reasonable measures to take account of biodiversity and the water environment in accordance with policies CS13, CS15 and CS16 of the London Borough of Camden Local Development Framework Core Strategy and policies DP22, DP23 and DP32 of the London Borough of Camden Local Development Framework Development Policies.</w:t>
      </w:r>
    </w:p>
    <w:p w:rsidR="002E2240" w:rsidRPr="00C93303" w:rsidRDefault="002E2240">
      <w:pPr>
        <w:rPr>
          <w:rFonts w:ascii="Arial" w:hAnsi="Arial" w:cs="Arial"/>
          <w:i/>
          <w:iCs/>
          <w:color w:val="00B050"/>
        </w:rPr>
      </w:pPr>
      <w:bookmarkStart w:id="0" w:name="_GoBack"/>
      <w:bookmarkEnd w:id="0"/>
    </w:p>
    <w:sectPr w:rsidR="002E2240" w:rsidRPr="00C93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663"/>
    <w:multiLevelType w:val="hybridMultilevel"/>
    <w:tmpl w:val="362A3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1438BC"/>
    <w:multiLevelType w:val="hybridMultilevel"/>
    <w:tmpl w:val="93D017E8"/>
    <w:lvl w:ilvl="0" w:tplc="47142FA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D364F"/>
    <w:multiLevelType w:val="hybridMultilevel"/>
    <w:tmpl w:val="79B813A8"/>
    <w:lvl w:ilvl="0" w:tplc="682A7FE2">
      <w:start w:val="1"/>
      <w:numFmt w:val="decimal"/>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
    <w:nsid w:val="067F5813"/>
    <w:multiLevelType w:val="multilevel"/>
    <w:tmpl w:val="9E6C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067769"/>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081A711B"/>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0B641A6D"/>
    <w:multiLevelType w:val="hybridMultilevel"/>
    <w:tmpl w:val="DE52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2F4965"/>
    <w:multiLevelType w:val="hybridMultilevel"/>
    <w:tmpl w:val="A69C27D0"/>
    <w:lvl w:ilvl="0" w:tplc="D46251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517CBF"/>
    <w:multiLevelType w:val="multilevel"/>
    <w:tmpl w:val="ED3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525084"/>
    <w:multiLevelType w:val="multilevel"/>
    <w:tmpl w:val="B798D444"/>
    <w:lvl w:ilvl="0">
      <w:start w:val="1"/>
      <w:numFmt w:val="decimal"/>
      <w:lvlText w:val="%1."/>
      <w:lvlJc w:val="left"/>
      <w:pPr>
        <w:tabs>
          <w:tab w:val="num" w:pos="720"/>
        </w:tabs>
        <w:ind w:left="720" w:hanging="360"/>
      </w:pPr>
    </w:lvl>
    <w:lvl w:ilvl="1">
      <w:start w:val="1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F838FE"/>
    <w:multiLevelType w:val="multilevel"/>
    <w:tmpl w:val="5DBECC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F711E"/>
    <w:multiLevelType w:val="multilevel"/>
    <w:tmpl w:val="AE5A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181B06"/>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nsid w:val="32842B9E"/>
    <w:multiLevelType w:val="hybridMultilevel"/>
    <w:tmpl w:val="0C546A42"/>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F14201"/>
    <w:multiLevelType w:val="multilevel"/>
    <w:tmpl w:val="9E6C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952EF"/>
    <w:multiLevelType w:val="hybridMultilevel"/>
    <w:tmpl w:val="B7746AA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9032AF"/>
    <w:multiLevelType w:val="hybridMultilevel"/>
    <w:tmpl w:val="3E8870C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251FB2"/>
    <w:multiLevelType w:val="hybridMultilevel"/>
    <w:tmpl w:val="339897A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F62022"/>
    <w:multiLevelType w:val="hybridMultilevel"/>
    <w:tmpl w:val="C8E0DD7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B32D6A"/>
    <w:multiLevelType w:val="multilevel"/>
    <w:tmpl w:val="B798D444"/>
    <w:lvl w:ilvl="0">
      <w:start w:val="1"/>
      <w:numFmt w:val="decimal"/>
      <w:lvlText w:val="%1."/>
      <w:lvlJc w:val="left"/>
      <w:pPr>
        <w:tabs>
          <w:tab w:val="num" w:pos="720"/>
        </w:tabs>
        <w:ind w:left="720" w:hanging="360"/>
      </w:pPr>
    </w:lvl>
    <w:lvl w:ilvl="1">
      <w:start w:val="1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DE3820"/>
    <w:multiLevelType w:val="multilevel"/>
    <w:tmpl w:val="5DBECCB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C2037AE"/>
    <w:multiLevelType w:val="multilevel"/>
    <w:tmpl w:val="3F12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DE202E"/>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5C8D5975"/>
    <w:multiLevelType w:val="hybridMultilevel"/>
    <w:tmpl w:val="96AA9274"/>
    <w:lvl w:ilvl="0" w:tplc="22047C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733F77"/>
    <w:multiLevelType w:val="hybridMultilevel"/>
    <w:tmpl w:val="FE52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EF78B5"/>
    <w:multiLevelType w:val="hybridMultilevel"/>
    <w:tmpl w:val="1326161E"/>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6C7C8B"/>
    <w:multiLevelType w:val="hybridMultilevel"/>
    <w:tmpl w:val="5B4842D2"/>
    <w:lvl w:ilvl="0" w:tplc="47142FA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3632DF"/>
    <w:multiLevelType w:val="multilevel"/>
    <w:tmpl w:val="8994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632A03"/>
    <w:multiLevelType w:val="multilevel"/>
    <w:tmpl w:val="DB2CA1C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76171DDB"/>
    <w:multiLevelType w:val="multilevel"/>
    <w:tmpl w:val="3F12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410504"/>
    <w:multiLevelType w:val="hybridMultilevel"/>
    <w:tmpl w:val="3DE27F90"/>
    <w:lvl w:ilvl="0" w:tplc="47142FA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E024D3"/>
    <w:multiLevelType w:val="multilevel"/>
    <w:tmpl w:val="1FB27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lvlOverride w:ilvl="0">
      <w:startOverride w:val="1"/>
    </w:lvlOverride>
  </w:num>
  <w:num w:numId="2">
    <w:abstractNumId w:val="27"/>
    <w:lvlOverride w:ilvl="0">
      <w:startOverride w:val="2"/>
    </w:lvlOverride>
  </w:num>
  <w:num w:numId="3">
    <w:abstractNumId w:val="10"/>
    <w:lvlOverride w:ilvl="0">
      <w:startOverride w:val="3"/>
    </w:lvlOverride>
  </w:num>
  <w:num w:numId="4">
    <w:abstractNumId w:val="11"/>
  </w:num>
  <w:num w:numId="5">
    <w:abstractNumId w:val="8"/>
  </w:num>
  <w:num w:numId="6">
    <w:abstractNumId w:val="31"/>
  </w:num>
  <w:num w:numId="7">
    <w:abstractNumId w:val="14"/>
    <w:lvlOverride w:ilvl="0">
      <w:startOverride w:val="4"/>
    </w:lvlOverride>
  </w:num>
  <w:num w:numId="8">
    <w:abstractNumId w:val="19"/>
    <w:lvlOverride w:ilvl="0">
      <w:startOverride w:val="6"/>
    </w:lvlOverride>
  </w:num>
  <w:num w:numId="9">
    <w:abstractNumId w:val="29"/>
    <w:lvlOverride w:ilvl="0">
      <w:startOverride w:val="7"/>
    </w:lvlOverride>
  </w:num>
  <w:num w:numId="10">
    <w:abstractNumId w:val="20"/>
  </w:num>
  <w:num w:numId="11">
    <w:abstractNumId w:val="3"/>
  </w:num>
  <w:num w:numId="12">
    <w:abstractNumId w:val="9"/>
  </w:num>
  <w:num w:numId="13">
    <w:abstractNumId w:val="21"/>
  </w:num>
  <w:num w:numId="14">
    <w:abstractNumId w:val="6"/>
  </w:num>
  <w:num w:numId="15">
    <w:abstractNumId w:val="26"/>
  </w:num>
  <w:num w:numId="16">
    <w:abstractNumId w:val="1"/>
  </w:num>
  <w:num w:numId="17">
    <w:abstractNumId w:val="30"/>
  </w:num>
  <w:num w:numId="18">
    <w:abstractNumId w:val="25"/>
  </w:num>
  <w:num w:numId="19">
    <w:abstractNumId w:val="15"/>
  </w:num>
  <w:num w:numId="20">
    <w:abstractNumId w:val="13"/>
  </w:num>
  <w:num w:numId="21">
    <w:abstractNumId w:val="18"/>
  </w:num>
  <w:num w:numId="22">
    <w:abstractNumId w:val="17"/>
  </w:num>
  <w:num w:numId="23">
    <w:abstractNumId w:val="16"/>
  </w:num>
  <w:num w:numId="24">
    <w:abstractNumId w:val="7"/>
  </w:num>
  <w:num w:numId="25">
    <w:abstractNumId w:val="23"/>
  </w:num>
  <w:num w:numId="2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5"/>
  </w:num>
  <w:num w:numId="31">
    <w:abstractNumId w:val="4"/>
  </w:num>
  <w:num w:numId="32">
    <w:abstractNumId w:val="22"/>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0C"/>
    <w:rsid w:val="000146FE"/>
    <w:rsid w:val="000167D2"/>
    <w:rsid w:val="0004302C"/>
    <w:rsid w:val="000A7839"/>
    <w:rsid w:val="00177EDD"/>
    <w:rsid w:val="001A0964"/>
    <w:rsid w:val="001B4AC2"/>
    <w:rsid w:val="00212F5D"/>
    <w:rsid w:val="0026205D"/>
    <w:rsid w:val="00270D6C"/>
    <w:rsid w:val="00274BEC"/>
    <w:rsid w:val="0027654F"/>
    <w:rsid w:val="002A3B22"/>
    <w:rsid w:val="002E2240"/>
    <w:rsid w:val="00353BDC"/>
    <w:rsid w:val="003B6387"/>
    <w:rsid w:val="003C7E6A"/>
    <w:rsid w:val="0047516A"/>
    <w:rsid w:val="004E1149"/>
    <w:rsid w:val="004E163A"/>
    <w:rsid w:val="00512DF6"/>
    <w:rsid w:val="00524B61"/>
    <w:rsid w:val="00544A95"/>
    <w:rsid w:val="005941A3"/>
    <w:rsid w:val="00602701"/>
    <w:rsid w:val="00602B71"/>
    <w:rsid w:val="00611AD9"/>
    <w:rsid w:val="00612491"/>
    <w:rsid w:val="0063723D"/>
    <w:rsid w:val="0065380D"/>
    <w:rsid w:val="006C25D1"/>
    <w:rsid w:val="006E2664"/>
    <w:rsid w:val="00723979"/>
    <w:rsid w:val="00764FD2"/>
    <w:rsid w:val="00771B75"/>
    <w:rsid w:val="00811839"/>
    <w:rsid w:val="008478E9"/>
    <w:rsid w:val="0086056C"/>
    <w:rsid w:val="00951C5A"/>
    <w:rsid w:val="00A043C6"/>
    <w:rsid w:val="00A42555"/>
    <w:rsid w:val="00A45369"/>
    <w:rsid w:val="00A974E1"/>
    <w:rsid w:val="00AE093D"/>
    <w:rsid w:val="00B13F56"/>
    <w:rsid w:val="00B71EB1"/>
    <w:rsid w:val="00BA73A9"/>
    <w:rsid w:val="00BD5E6D"/>
    <w:rsid w:val="00C31D6D"/>
    <w:rsid w:val="00C4724A"/>
    <w:rsid w:val="00C81DDF"/>
    <w:rsid w:val="00C93303"/>
    <w:rsid w:val="00CB79B0"/>
    <w:rsid w:val="00CD3258"/>
    <w:rsid w:val="00D01AC6"/>
    <w:rsid w:val="00D0327D"/>
    <w:rsid w:val="00D42D25"/>
    <w:rsid w:val="00D763D5"/>
    <w:rsid w:val="00D95E65"/>
    <w:rsid w:val="00DB172E"/>
    <w:rsid w:val="00E719FB"/>
    <w:rsid w:val="00E9188C"/>
    <w:rsid w:val="00E9697D"/>
    <w:rsid w:val="00EB5A8F"/>
    <w:rsid w:val="00EC0BCA"/>
    <w:rsid w:val="00EC19FF"/>
    <w:rsid w:val="00ED2B25"/>
    <w:rsid w:val="00EE720C"/>
    <w:rsid w:val="00F03C58"/>
    <w:rsid w:val="00F0475E"/>
    <w:rsid w:val="00F137F5"/>
    <w:rsid w:val="00F82B11"/>
    <w:rsid w:val="00F83FA5"/>
    <w:rsid w:val="00FB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64"/>
    <w:rPr>
      <w:rFonts w:ascii="Tahoma" w:hAnsi="Tahoma" w:cs="Tahoma"/>
      <w:sz w:val="16"/>
      <w:szCs w:val="16"/>
    </w:rPr>
  </w:style>
  <w:style w:type="paragraph" w:styleId="ListParagraph">
    <w:name w:val="List Paragraph"/>
    <w:basedOn w:val="Normal"/>
    <w:uiPriority w:val="34"/>
    <w:qFormat/>
    <w:rsid w:val="004E163A"/>
    <w:pPr>
      <w:ind w:left="720"/>
      <w:contextualSpacing/>
    </w:pPr>
  </w:style>
  <w:style w:type="character" w:styleId="Hyperlink">
    <w:name w:val="Hyperlink"/>
    <w:basedOn w:val="DefaultParagraphFont"/>
    <w:uiPriority w:val="99"/>
    <w:unhideWhenUsed/>
    <w:rsid w:val="004E1149"/>
    <w:rPr>
      <w:color w:val="0000FF" w:themeColor="hyperlink"/>
      <w:u w:val="single"/>
    </w:rPr>
  </w:style>
  <w:style w:type="character" w:styleId="CommentReference">
    <w:name w:val="annotation reference"/>
    <w:basedOn w:val="DefaultParagraphFont"/>
    <w:uiPriority w:val="99"/>
    <w:semiHidden/>
    <w:unhideWhenUsed/>
    <w:rsid w:val="000146FE"/>
    <w:rPr>
      <w:sz w:val="16"/>
      <w:szCs w:val="16"/>
    </w:rPr>
  </w:style>
  <w:style w:type="paragraph" w:styleId="CommentText">
    <w:name w:val="annotation text"/>
    <w:basedOn w:val="Normal"/>
    <w:link w:val="CommentTextChar"/>
    <w:uiPriority w:val="99"/>
    <w:semiHidden/>
    <w:unhideWhenUsed/>
    <w:rsid w:val="000146F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146FE"/>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CB79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974E1"/>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1">
    <w:name w:val="Light List Accent 1"/>
    <w:basedOn w:val="TableNormal"/>
    <w:uiPriority w:val="61"/>
    <w:rsid w:val="00CD32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64"/>
    <w:rPr>
      <w:rFonts w:ascii="Tahoma" w:hAnsi="Tahoma" w:cs="Tahoma"/>
      <w:sz w:val="16"/>
      <w:szCs w:val="16"/>
    </w:rPr>
  </w:style>
  <w:style w:type="paragraph" w:styleId="ListParagraph">
    <w:name w:val="List Paragraph"/>
    <w:basedOn w:val="Normal"/>
    <w:uiPriority w:val="34"/>
    <w:qFormat/>
    <w:rsid w:val="004E163A"/>
    <w:pPr>
      <w:ind w:left="720"/>
      <w:contextualSpacing/>
    </w:pPr>
  </w:style>
  <w:style w:type="character" w:styleId="Hyperlink">
    <w:name w:val="Hyperlink"/>
    <w:basedOn w:val="DefaultParagraphFont"/>
    <w:uiPriority w:val="99"/>
    <w:unhideWhenUsed/>
    <w:rsid w:val="004E1149"/>
    <w:rPr>
      <w:color w:val="0000FF" w:themeColor="hyperlink"/>
      <w:u w:val="single"/>
    </w:rPr>
  </w:style>
  <w:style w:type="character" w:styleId="CommentReference">
    <w:name w:val="annotation reference"/>
    <w:basedOn w:val="DefaultParagraphFont"/>
    <w:uiPriority w:val="99"/>
    <w:semiHidden/>
    <w:unhideWhenUsed/>
    <w:rsid w:val="000146FE"/>
    <w:rPr>
      <w:sz w:val="16"/>
      <w:szCs w:val="16"/>
    </w:rPr>
  </w:style>
  <w:style w:type="paragraph" w:styleId="CommentText">
    <w:name w:val="annotation text"/>
    <w:basedOn w:val="Normal"/>
    <w:link w:val="CommentTextChar"/>
    <w:uiPriority w:val="99"/>
    <w:semiHidden/>
    <w:unhideWhenUsed/>
    <w:rsid w:val="000146F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146FE"/>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CB79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974E1"/>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1">
    <w:name w:val="Light List Accent 1"/>
    <w:basedOn w:val="TableNormal"/>
    <w:uiPriority w:val="61"/>
    <w:rsid w:val="00CD32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1203">
      <w:bodyDiv w:val="1"/>
      <w:marLeft w:val="0"/>
      <w:marRight w:val="0"/>
      <w:marTop w:val="0"/>
      <w:marBottom w:val="0"/>
      <w:divBdr>
        <w:top w:val="none" w:sz="0" w:space="0" w:color="auto"/>
        <w:left w:val="none" w:sz="0" w:space="0" w:color="auto"/>
        <w:bottom w:val="none" w:sz="0" w:space="0" w:color="auto"/>
        <w:right w:val="none" w:sz="0" w:space="0" w:color="auto"/>
      </w:divBdr>
    </w:div>
    <w:div w:id="739408353">
      <w:bodyDiv w:val="1"/>
      <w:marLeft w:val="0"/>
      <w:marRight w:val="0"/>
      <w:marTop w:val="0"/>
      <w:marBottom w:val="0"/>
      <w:divBdr>
        <w:top w:val="none" w:sz="0" w:space="0" w:color="auto"/>
        <w:left w:val="none" w:sz="0" w:space="0" w:color="auto"/>
        <w:bottom w:val="none" w:sz="0" w:space="0" w:color="auto"/>
        <w:right w:val="none" w:sz="0" w:space="0" w:color="auto"/>
      </w:divBdr>
    </w:div>
    <w:div w:id="862935369">
      <w:bodyDiv w:val="1"/>
      <w:marLeft w:val="0"/>
      <w:marRight w:val="0"/>
      <w:marTop w:val="0"/>
      <w:marBottom w:val="0"/>
      <w:divBdr>
        <w:top w:val="none" w:sz="0" w:space="0" w:color="auto"/>
        <w:left w:val="none" w:sz="0" w:space="0" w:color="auto"/>
        <w:bottom w:val="none" w:sz="0" w:space="0" w:color="auto"/>
        <w:right w:val="none" w:sz="0" w:space="0" w:color="auto"/>
      </w:divBdr>
    </w:div>
    <w:div w:id="914122795">
      <w:bodyDiv w:val="1"/>
      <w:marLeft w:val="0"/>
      <w:marRight w:val="0"/>
      <w:marTop w:val="0"/>
      <w:marBottom w:val="0"/>
      <w:divBdr>
        <w:top w:val="none" w:sz="0" w:space="0" w:color="auto"/>
        <w:left w:val="none" w:sz="0" w:space="0" w:color="auto"/>
        <w:bottom w:val="none" w:sz="0" w:space="0" w:color="auto"/>
        <w:right w:val="none" w:sz="0" w:space="0" w:color="auto"/>
      </w:divBdr>
    </w:div>
    <w:div w:id="1215965897">
      <w:bodyDiv w:val="1"/>
      <w:marLeft w:val="0"/>
      <w:marRight w:val="0"/>
      <w:marTop w:val="0"/>
      <w:marBottom w:val="0"/>
      <w:divBdr>
        <w:top w:val="none" w:sz="0" w:space="0" w:color="auto"/>
        <w:left w:val="none" w:sz="0" w:space="0" w:color="auto"/>
        <w:bottom w:val="none" w:sz="0" w:space="0" w:color="auto"/>
        <w:right w:val="none" w:sz="0" w:space="0" w:color="auto"/>
      </w:divBdr>
    </w:div>
    <w:div w:id="19861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0BF3-64D5-41CD-93DF-A002B902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Ana</dc:creator>
  <cp:lastModifiedBy>Lopez, Ana</cp:lastModifiedBy>
  <cp:revision>35</cp:revision>
  <dcterms:created xsi:type="dcterms:W3CDTF">2016-11-10T14:54:00Z</dcterms:created>
  <dcterms:modified xsi:type="dcterms:W3CDTF">2017-02-28T16:23:00Z</dcterms:modified>
</cp:coreProperties>
</file>