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20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843"/>
        <w:gridCol w:w="709"/>
        <w:gridCol w:w="425"/>
        <w:gridCol w:w="1843"/>
        <w:gridCol w:w="708"/>
        <w:gridCol w:w="2098"/>
        <w:gridCol w:w="737"/>
      </w:tblGrid>
      <w:tr w:rsidR="00891BD1" w:rsidTr="00092B53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891BD1" w:rsidRDefault="00891BD1" w:rsidP="00092B53">
            <w:pPr>
              <w:pStyle w:val="Heading4"/>
              <w:rPr>
                <w:rFonts w:ascii="Arial" w:hAnsi="Arial" w:cs="Arial"/>
                <w:sz w:val="32"/>
                <w:szCs w:val="32"/>
              </w:rPr>
            </w:pPr>
          </w:p>
          <w:p w:rsidR="00891BD1" w:rsidRDefault="00891BD1" w:rsidP="00092B5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CONSULTATION SUMMARY </w:t>
            </w:r>
          </w:p>
          <w:p w:rsidR="00891BD1" w:rsidRDefault="00891BD1" w:rsidP="00092B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1BD1" w:rsidTr="00092B53">
        <w:trPr>
          <w:cantSplit/>
          <w:trHeight w:val="7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91BD1" w:rsidRDefault="00891BD1" w:rsidP="00092B53">
            <w:pPr>
              <w:pStyle w:val="Heading4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891BD1" w:rsidTr="00092B53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891BD1" w:rsidRDefault="00891BD1" w:rsidP="00092B53">
            <w:pPr>
              <w:pStyle w:val="Heading4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Case reference number(s) </w:t>
            </w:r>
          </w:p>
        </w:tc>
      </w:tr>
      <w:tr w:rsidR="00891BD1" w:rsidTr="00092B53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91BD1" w:rsidRDefault="00891BD1" w:rsidP="00891BD1">
            <w:pPr>
              <w:pStyle w:val="Heading4"/>
              <w:ind w:left="0"/>
              <w:jc w:val="both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</w:rPr>
              <w:t>2016/5611/P</w:t>
            </w:r>
            <w:r>
              <w:rPr>
                <w:rFonts w:ascii="Arial" w:hAnsi="Arial" w:cs="Arial"/>
              </w:rPr>
              <w:br/>
            </w:r>
          </w:p>
        </w:tc>
      </w:tr>
      <w:tr w:rsidR="00891BD1" w:rsidTr="00092B53">
        <w:tc>
          <w:tcPr>
            <w:tcW w:w="5669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FFFFFF"/>
            </w:tcBorders>
            <w:shd w:val="clear" w:color="auto" w:fill="000000"/>
            <w:vAlign w:val="center"/>
            <w:hideMark/>
          </w:tcPr>
          <w:p w:rsidR="00891BD1" w:rsidRDefault="00891BD1" w:rsidP="00092B53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 xml:space="preserve">Case Officer: </w:t>
            </w:r>
          </w:p>
        </w:tc>
        <w:tc>
          <w:tcPr>
            <w:tcW w:w="5386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891BD1" w:rsidRDefault="00891BD1" w:rsidP="00092B53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 xml:space="preserve">Application Address: </w:t>
            </w:r>
          </w:p>
        </w:tc>
      </w:tr>
      <w:tr w:rsidR="00891BD1" w:rsidTr="00092B53">
        <w:trPr>
          <w:trHeight w:val="465"/>
        </w:trPr>
        <w:tc>
          <w:tcPr>
            <w:tcW w:w="56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Evelyn Jones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1BD1" w:rsidRDefault="00891BD1" w:rsidP="00092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 Flat</w:t>
            </w:r>
          </w:p>
          <w:p w:rsidR="00891BD1" w:rsidRDefault="00891BD1" w:rsidP="00891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Carlingford Road</w:t>
            </w:r>
          </w:p>
          <w:p w:rsidR="00891BD1" w:rsidRDefault="00891BD1" w:rsidP="00891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NW3 1RX</w:t>
            </w:r>
            <w:r>
              <w:rPr>
                <w:rFonts w:ascii="Arial" w:hAnsi="Arial" w:cs="Arial"/>
              </w:rPr>
              <w:br/>
            </w:r>
          </w:p>
        </w:tc>
      </w:tr>
      <w:tr w:rsidR="00891BD1" w:rsidTr="00092B53"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891BD1" w:rsidRDefault="00891BD1" w:rsidP="00092B53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>Proposal(s)</w:t>
            </w:r>
          </w:p>
        </w:tc>
      </w:tr>
      <w:tr w:rsidR="00891BD1" w:rsidTr="00092B53">
        <w:trPr>
          <w:trHeight w:val="137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Single storey rear extension. </w:t>
            </w:r>
          </w:p>
        </w:tc>
      </w:tr>
      <w:tr w:rsidR="00891BD1" w:rsidTr="00092B53">
        <w:trPr>
          <w:trHeight w:val="318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891BD1" w:rsidRDefault="00891BD1" w:rsidP="00092B53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t xml:space="preserve">Representations </w:t>
            </w:r>
          </w:p>
          <w:p w:rsidR="00891BD1" w:rsidRDefault="00891BD1" w:rsidP="00092B53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</w:p>
        </w:tc>
      </w:tr>
      <w:tr w:rsidR="00891BD1" w:rsidTr="00092B53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1BD1" w:rsidRPr="000F6AD7" w:rsidRDefault="00891BD1" w:rsidP="00092B53">
            <w:pPr>
              <w:pStyle w:val="Heading2"/>
              <w:rPr>
                <w:rFonts w:cs="Arial"/>
                <w:color w:val="FFFFFF"/>
                <w:szCs w:val="24"/>
                <w:highlight w:val="darkBlue"/>
              </w:rPr>
            </w:pPr>
            <w:r>
              <w:rPr>
                <w:rFonts w:cs="Arial"/>
                <w:szCs w:val="24"/>
              </w:rPr>
              <w:t xml:space="preserve">Consultations: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notified</w:t>
            </w:r>
          </w:p>
          <w:p w:rsidR="00891BD1" w:rsidRPr="000F6AD7" w:rsidRDefault="00891BD1" w:rsidP="00092B53">
            <w:pPr>
              <w:rPr>
                <w:rFonts w:ascii="Arial" w:hAnsi="Arial" w:cs="Arial"/>
                <w:color w:val="FFFFFF"/>
                <w:sz w:val="24"/>
                <w:szCs w:val="24"/>
                <w:highlight w:val="darkBlu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1" w:rsidRPr="000F6AD7" w:rsidRDefault="00891BD1" w:rsidP="00092B53">
            <w:pPr>
              <w:rPr>
                <w:rFonts w:ascii="Arial" w:hAnsi="Arial" w:cs="Arial"/>
                <w:b/>
                <w:bCs/>
                <w:sz w:val="24"/>
                <w:szCs w:val="24"/>
                <w:highlight w:val="darkBlue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responses</w:t>
            </w:r>
          </w:p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BD1" w:rsidRPr="000F6AD7" w:rsidRDefault="00891BD1" w:rsidP="00092B53">
            <w:pPr>
              <w:rPr>
                <w:rFonts w:ascii="Arial" w:hAnsi="Arial" w:cs="Arial"/>
                <w:color w:val="FFFFFF"/>
                <w:sz w:val="24"/>
                <w:szCs w:val="24"/>
                <w:highlight w:val="darkBlu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1" w:rsidRDefault="00891BD1" w:rsidP="00092B5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891BD1" w:rsidRDefault="00891BD1" w:rsidP="00092B53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:rsidR="00891BD1" w:rsidRDefault="00891BD1" w:rsidP="00092B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objections</w:t>
            </w:r>
          </w:p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comments</w:t>
            </w:r>
          </w:p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support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91BD1" w:rsidTr="00092B53">
        <w:trPr>
          <w:trHeight w:val="1425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D1" w:rsidRDefault="00891BD1" w:rsidP="00092B53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Summary of representations </w:t>
            </w:r>
          </w:p>
          <w:p w:rsidR="00891BD1" w:rsidRDefault="00891BD1" w:rsidP="00092B53">
            <w:pPr>
              <w:pStyle w:val="Heading2"/>
              <w:rPr>
                <w:rFonts w:cs="Arial"/>
                <w:szCs w:val="24"/>
              </w:rPr>
            </w:pPr>
          </w:p>
          <w:p w:rsidR="00891BD1" w:rsidRDefault="00891BD1" w:rsidP="00092B53">
            <w:pPr>
              <w:pStyle w:val="Heading2"/>
              <w:rPr>
                <w:rFonts w:cs="Arial"/>
                <w:szCs w:val="24"/>
              </w:rPr>
            </w:pPr>
          </w:p>
          <w:p w:rsidR="00891BD1" w:rsidRDefault="00891BD1" w:rsidP="00092B53">
            <w:pPr>
              <w:pStyle w:val="Heading2"/>
              <w:rPr>
                <w:rFonts w:cs="Arial"/>
                <w:szCs w:val="24"/>
              </w:rPr>
            </w:pPr>
          </w:p>
          <w:p w:rsidR="00891BD1" w:rsidRDefault="00891BD1" w:rsidP="00092B53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>
              <w:rPr>
                <w:rFonts w:cs="Arial"/>
                <w:i/>
                <w:szCs w:val="24"/>
              </w:rPr>
              <w:t>Officer response(s) in italics</w:t>
            </w:r>
            <w:r>
              <w:rPr>
                <w:rFonts w:cs="Arial"/>
                <w:szCs w:val="24"/>
              </w:rPr>
              <w:t>)</w:t>
            </w:r>
          </w:p>
          <w:p w:rsidR="00891BD1" w:rsidRDefault="00891BD1" w:rsidP="00092B53">
            <w:pPr>
              <w:rPr>
                <w:sz w:val="24"/>
                <w:szCs w:val="24"/>
              </w:rPr>
            </w:pPr>
          </w:p>
          <w:p w:rsidR="00891BD1" w:rsidRDefault="00891BD1" w:rsidP="00092B53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owner/occupier of No’s 18B and 16A have made the following comments:</w:t>
            </w:r>
          </w:p>
          <w:p w:rsidR="00891BD1" w:rsidRDefault="00891BD1" w:rsidP="00891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increase in noise from construction of the development. </w:t>
            </w:r>
          </w:p>
          <w:p w:rsidR="00891BD1" w:rsidRDefault="00891BD1" w:rsidP="00891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Concerns over potential windows and a loss of privacy </w:t>
            </w:r>
          </w:p>
          <w:p w:rsidR="00891BD1" w:rsidRPr="00891BD1" w:rsidRDefault="00B9141C" w:rsidP="00891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Concerns that the development would potentially encroach on land at </w:t>
            </w:r>
            <w:r w:rsidR="000A7861">
              <w:rPr>
                <w:rFonts w:ascii="Arial" w:hAnsi="Arial" w:cs="Arial"/>
                <w:sz w:val="24"/>
                <w:szCs w:val="24"/>
              </w:rPr>
              <w:t xml:space="preserve">no.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BD1" w:rsidRDefault="00891BD1" w:rsidP="0009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comments</w:t>
            </w:r>
          </w:p>
          <w:p w:rsidR="00891BD1" w:rsidRDefault="00916DE0" w:rsidP="00092B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Any</w:t>
            </w:r>
            <w:r w:rsidR="00B9141C">
              <w:rPr>
                <w:rFonts w:ascii="Arial" w:hAnsi="Arial" w:cs="Arial"/>
                <w:i/>
                <w:sz w:val="24"/>
                <w:szCs w:val="24"/>
              </w:rPr>
              <w:t xml:space="preserve"> construction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would be temporary and are expected as part of </w:t>
            </w: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development. </w:t>
            </w:r>
            <w:r>
              <w:rPr>
                <w:sz w:val="24"/>
              </w:rPr>
              <w:t xml:space="preserve"> </w:t>
            </w:r>
            <w:r w:rsidRPr="00916DE0">
              <w:rPr>
                <w:rFonts w:ascii="Arial" w:hAnsi="Arial" w:cs="Arial"/>
                <w:i/>
                <w:sz w:val="24"/>
              </w:rPr>
              <w:t>Noise from demolition and construction works is subject to control under the Control of Pollution Act 1974</w:t>
            </w:r>
            <w:r w:rsidRPr="00916DE0">
              <w:rPr>
                <w:rFonts w:ascii="Arial" w:hAnsi="Arial" w:cs="Arial"/>
                <w:i/>
                <w:sz w:val="24"/>
              </w:rPr>
              <w:t xml:space="preserve"> and would be a matter for Environmental Health</w:t>
            </w:r>
            <w:r w:rsidR="00B9141C" w:rsidRPr="00916DE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9141C" w:rsidRDefault="00B9141C" w:rsidP="00092B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There are no proposed windows in the plans and any inserted would be liable for enforcement action.</w:t>
            </w:r>
            <w:bookmarkStart w:id="0" w:name="_GoBack"/>
            <w:bookmarkEnd w:id="0"/>
          </w:p>
          <w:p w:rsidR="00B9141C" w:rsidRPr="000F6AD7" w:rsidRDefault="00B9141C" w:rsidP="000A786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The plans do not show the building to encroach over the boundary of number 16 and this would also be liable for enforcement action if this </w:t>
            </w:r>
            <w:r w:rsidR="000A7861">
              <w:rPr>
                <w:rFonts w:ascii="Arial" w:hAnsi="Arial" w:cs="Arial"/>
                <w:i/>
                <w:sz w:val="24"/>
                <w:szCs w:val="24"/>
              </w:rPr>
              <w:t>were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the case</w:t>
            </w:r>
            <w:r w:rsidR="00916DE0">
              <w:rPr>
                <w:rFonts w:ascii="Arial" w:hAnsi="Arial" w:cs="Arial"/>
                <w:i/>
                <w:sz w:val="24"/>
                <w:szCs w:val="24"/>
              </w:rPr>
              <w:t xml:space="preserve"> as the development would not conform to the approved plans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916DE0">
              <w:rPr>
                <w:rFonts w:ascii="Arial" w:hAnsi="Arial" w:cs="Arial"/>
                <w:i/>
                <w:sz w:val="24"/>
                <w:szCs w:val="24"/>
              </w:rPr>
              <w:t xml:space="preserve"> Matters of private property disputes are not material planning considerations and are civil matters.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891BD1" w:rsidTr="00092B53">
        <w:trPr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891BD1" w:rsidRDefault="00891BD1" w:rsidP="00092B53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lastRenderedPageBreak/>
              <w:t xml:space="preserve">Recommendation:- </w:t>
            </w:r>
          </w:p>
          <w:p w:rsidR="00891BD1" w:rsidRDefault="00891BD1" w:rsidP="00092B53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</w:p>
          <w:p w:rsidR="00891BD1" w:rsidRDefault="00B9141C" w:rsidP="00B9141C">
            <w:pPr>
              <w:pStyle w:val="Heading2"/>
              <w:rPr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t>Grant planning permission</w:t>
            </w:r>
            <w:r>
              <w:rPr>
                <w:highlight w:val="black"/>
              </w:rPr>
              <w:t xml:space="preserve"> </w:t>
            </w:r>
          </w:p>
        </w:tc>
      </w:tr>
    </w:tbl>
    <w:p w:rsidR="00891BD1" w:rsidRDefault="00891BD1" w:rsidP="00891BD1">
      <w:pPr>
        <w:rPr>
          <w:rFonts w:ascii="Arial" w:hAnsi="Arial" w:cs="Arial"/>
          <w:sz w:val="24"/>
          <w:szCs w:val="24"/>
        </w:rPr>
      </w:pPr>
    </w:p>
    <w:p w:rsidR="00891BD1" w:rsidRPr="000F6AD7" w:rsidRDefault="00891BD1" w:rsidP="00891BD1"/>
    <w:p w:rsidR="006B3F35" w:rsidRDefault="006B3F35"/>
    <w:sectPr w:rsidR="006B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2BB9"/>
    <w:multiLevelType w:val="hybridMultilevel"/>
    <w:tmpl w:val="1E76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1"/>
    <w:rsid w:val="000A7861"/>
    <w:rsid w:val="006B3F35"/>
    <w:rsid w:val="00891BD1"/>
    <w:rsid w:val="00916DE0"/>
    <w:rsid w:val="00B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891BD1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91BD1"/>
    <w:pPr>
      <w:keepNext/>
      <w:spacing w:after="240" w:line="240" w:lineRule="auto"/>
      <w:ind w:left="851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BD1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91BD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91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891BD1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91BD1"/>
    <w:pPr>
      <w:keepNext/>
      <w:spacing w:after="240" w:line="240" w:lineRule="auto"/>
      <w:ind w:left="851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BD1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91BD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9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Evelyn</dc:creator>
  <cp:lastModifiedBy>Jonathan McClue</cp:lastModifiedBy>
  <cp:revision>3</cp:revision>
  <dcterms:created xsi:type="dcterms:W3CDTF">2016-12-12T16:30:00Z</dcterms:created>
  <dcterms:modified xsi:type="dcterms:W3CDTF">2016-12-13T15:40:00Z</dcterms:modified>
</cp:coreProperties>
</file>