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C7D" w:rsidRDefault="00864C7D" w:rsidP="00060F19">
      <w:pPr>
        <w:pStyle w:val="PlainText"/>
        <w:rPr>
          <w:b/>
        </w:rPr>
      </w:pPr>
    </w:p>
    <w:p w:rsidR="00864C7D" w:rsidRDefault="00864C7D" w:rsidP="00060F19">
      <w:pPr>
        <w:pStyle w:val="PlainText"/>
        <w:rPr>
          <w:b/>
        </w:rPr>
      </w:pPr>
      <w:r w:rsidRPr="000E1B96">
        <w:rPr>
          <w:b/>
        </w:rPr>
        <w:t xml:space="preserve">Lead Local Flood Authority </w:t>
      </w:r>
      <w:r>
        <w:rPr>
          <w:b/>
        </w:rPr>
        <w:t>comments</w:t>
      </w:r>
    </w:p>
    <w:p w:rsidR="00864C7D" w:rsidRDefault="00864C7D" w:rsidP="00060F19">
      <w:pPr>
        <w:pStyle w:val="PlainText"/>
        <w:rPr>
          <w:b/>
        </w:rPr>
      </w:pPr>
    </w:p>
    <w:p w:rsidR="00864C7D" w:rsidRDefault="00864C7D" w:rsidP="00864C7D">
      <w:pPr>
        <w:rPr>
          <w:rFonts w:ascii="Arial" w:hAnsi="Arial" w:cs="Arial"/>
          <w:b/>
        </w:rPr>
      </w:pPr>
    </w:p>
    <w:tbl>
      <w:tblPr>
        <w:tblStyle w:val="TableGrid"/>
        <w:tblpPr w:leftFromText="180" w:rightFromText="180" w:vertAnchor="page" w:horzAnchor="margin" w:tblpY="2545"/>
        <w:tblW w:w="0" w:type="auto"/>
        <w:tblLook w:val="04A0" w:firstRow="1" w:lastRow="0" w:firstColumn="1" w:lastColumn="0" w:noHBand="0" w:noVBand="1"/>
      </w:tblPr>
      <w:tblGrid>
        <w:gridCol w:w="4077"/>
        <w:gridCol w:w="5165"/>
      </w:tblGrid>
      <w:tr w:rsidR="00864C7D" w:rsidRPr="00864C7D" w:rsidTr="00864C7D">
        <w:tc>
          <w:tcPr>
            <w:tcW w:w="4077" w:type="dxa"/>
          </w:tcPr>
          <w:p w:rsidR="00864C7D" w:rsidRPr="00864C7D" w:rsidRDefault="00864C7D" w:rsidP="00864C7D">
            <w:pPr>
              <w:rPr>
                <w:rFonts w:ascii="Arial" w:hAnsi="Arial" w:cs="Arial"/>
              </w:rPr>
            </w:pPr>
            <w:r w:rsidRPr="00864C7D">
              <w:rPr>
                <w:rFonts w:ascii="Arial" w:hAnsi="Arial" w:cs="Arial"/>
              </w:rPr>
              <w:t>Scheme Address</w:t>
            </w:r>
          </w:p>
        </w:tc>
        <w:tc>
          <w:tcPr>
            <w:tcW w:w="5165" w:type="dxa"/>
          </w:tcPr>
          <w:p w:rsidR="00B8309D" w:rsidRPr="00B8309D" w:rsidRDefault="00B8309D" w:rsidP="00B8309D">
            <w:pPr>
              <w:rPr>
                <w:rFonts w:ascii="Arial" w:hAnsi="Arial" w:cs="Arial"/>
              </w:rPr>
            </w:pPr>
            <w:r w:rsidRPr="00B8309D">
              <w:rPr>
                <w:rFonts w:ascii="Arial" w:hAnsi="Arial" w:cs="Arial"/>
              </w:rPr>
              <w:t xml:space="preserve">Former 5-6 Eton Garages </w:t>
            </w:r>
          </w:p>
          <w:p w:rsidR="00B8309D" w:rsidRPr="00B8309D" w:rsidRDefault="00B8309D" w:rsidP="00B8309D">
            <w:pPr>
              <w:rPr>
                <w:rFonts w:ascii="Arial" w:hAnsi="Arial" w:cs="Arial"/>
              </w:rPr>
            </w:pPr>
            <w:r w:rsidRPr="00B8309D">
              <w:rPr>
                <w:rFonts w:ascii="Arial" w:hAnsi="Arial" w:cs="Arial"/>
              </w:rPr>
              <w:t>London</w:t>
            </w:r>
          </w:p>
          <w:p w:rsidR="00864C7D" w:rsidRPr="00864C7D" w:rsidRDefault="00B8309D" w:rsidP="00B8309D">
            <w:pPr>
              <w:rPr>
                <w:rFonts w:ascii="Arial" w:hAnsi="Arial" w:cs="Arial"/>
              </w:rPr>
            </w:pPr>
            <w:r w:rsidRPr="00B8309D">
              <w:rPr>
                <w:rFonts w:ascii="Arial" w:hAnsi="Arial" w:cs="Arial"/>
              </w:rPr>
              <w:t>NW3 4PE</w:t>
            </w:r>
          </w:p>
        </w:tc>
      </w:tr>
      <w:tr w:rsidR="00864C7D" w:rsidRPr="00864C7D" w:rsidTr="00864C7D">
        <w:tc>
          <w:tcPr>
            <w:tcW w:w="4077" w:type="dxa"/>
          </w:tcPr>
          <w:p w:rsidR="00864C7D" w:rsidRPr="00864C7D" w:rsidRDefault="00864C7D" w:rsidP="00864C7D">
            <w:pPr>
              <w:rPr>
                <w:rFonts w:ascii="Arial" w:hAnsi="Arial" w:cs="Arial"/>
              </w:rPr>
            </w:pPr>
            <w:r w:rsidRPr="00864C7D">
              <w:rPr>
                <w:rFonts w:ascii="Arial" w:hAnsi="Arial" w:cs="Arial"/>
              </w:rPr>
              <w:t>Planning Reference</w:t>
            </w:r>
          </w:p>
        </w:tc>
        <w:tc>
          <w:tcPr>
            <w:tcW w:w="5165" w:type="dxa"/>
          </w:tcPr>
          <w:p w:rsidR="00864C7D" w:rsidRPr="00864C7D" w:rsidRDefault="00B8309D" w:rsidP="00864C7D">
            <w:pPr>
              <w:rPr>
                <w:rFonts w:ascii="Arial" w:hAnsi="Arial" w:cs="Arial"/>
              </w:rPr>
            </w:pPr>
            <w:r w:rsidRPr="00B8309D">
              <w:rPr>
                <w:rFonts w:ascii="Arial" w:hAnsi="Arial" w:cs="Arial"/>
              </w:rPr>
              <w:t>2016/3872/P</w:t>
            </w:r>
          </w:p>
        </w:tc>
      </w:tr>
      <w:tr w:rsidR="00864C7D" w:rsidRPr="00864C7D" w:rsidTr="00864C7D">
        <w:tc>
          <w:tcPr>
            <w:tcW w:w="4077" w:type="dxa"/>
          </w:tcPr>
          <w:p w:rsidR="00864C7D" w:rsidRPr="00864C7D" w:rsidRDefault="00864C7D" w:rsidP="00864C7D">
            <w:pPr>
              <w:rPr>
                <w:rFonts w:ascii="Arial" w:hAnsi="Arial" w:cs="Arial"/>
              </w:rPr>
            </w:pPr>
            <w:r w:rsidRPr="00864C7D">
              <w:rPr>
                <w:rFonts w:ascii="Arial" w:hAnsi="Arial" w:cs="Arial"/>
              </w:rPr>
              <w:t>Date</w:t>
            </w:r>
          </w:p>
        </w:tc>
        <w:tc>
          <w:tcPr>
            <w:tcW w:w="5165" w:type="dxa"/>
          </w:tcPr>
          <w:p w:rsidR="00864C7D" w:rsidRPr="00864C7D" w:rsidRDefault="00B8309D" w:rsidP="00864C7D">
            <w:pPr>
              <w:rPr>
                <w:rFonts w:ascii="Arial" w:hAnsi="Arial" w:cs="Arial"/>
              </w:rPr>
            </w:pPr>
            <w:r>
              <w:rPr>
                <w:rFonts w:ascii="Arial" w:hAnsi="Arial" w:cs="Arial"/>
              </w:rPr>
              <w:t>22/09/2016</w:t>
            </w:r>
          </w:p>
        </w:tc>
      </w:tr>
    </w:tbl>
    <w:p w:rsidR="00864C7D" w:rsidRPr="00864C7D" w:rsidRDefault="00864C7D" w:rsidP="00864C7D">
      <w:pPr>
        <w:rPr>
          <w:rFonts w:ascii="Arial" w:hAnsi="Arial" w:cs="Arial"/>
          <w:b/>
          <w:noProof/>
          <w:lang w:eastAsia="en-GB"/>
        </w:rPr>
      </w:pPr>
      <w:r>
        <w:rPr>
          <w:rFonts w:ascii="Arial" w:hAnsi="Arial" w:cs="Arial"/>
          <w:b/>
          <w:noProof/>
          <w:lang w:eastAsia="en-GB"/>
        </w:rPr>
        <w:t xml:space="preserve"> </w:t>
      </w:r>
      <w:r>
        <w:rPr>
          <w:rFonts w:ascii="Arial" w:hAnsi="Arial" w:cs="Arial"/>
          <w:b/>
          <w:noProof/>
          <w:lang w:eastAsia="en-GB"/>
        </w:rPr>
        <w:drawing>
          <wp:anchor distT="0" distB="0" distL="114300" distR="114300" simplePos="0" relativeHeight="251659264" behindDoc="0" locked="0" layoutInCell="1" allowOverlap="1" wp14:anchorId="52404857" wp14:editId="07240A66">
            <wp:simplePos x="914400" y="1098550"/>
            <wp:positionH relativeFrom="margin">
              <wp:align>right</wp:align>
            </wp:positionH>
            <wp:positionV relativeFrom="margin">
              <wp:align>top</wp:align>
            </wp:positionV>
            <wp:extent cx="1593850" cy="320040"/>
            <wp:effectExtent l="0" t="0" r="635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logo-new.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96153" cy="320613"/>
                    </a:xfrm>
                    <a:prstGeom prst="rect">
                      <a:avLst/>
                    </a:prstGeom>
                  </pic:spPr>
                </pic:pic>
              </a:graphicData>
            </a:graphic>
            <wp14:sizeRelH relativeFrom="margin">
              <wp14:pctWidth>0</wp14:pctWidth>
            </wp14:sizeRelH>
            <wp14:sizeRelV relativeFrom="margin">
              <wp14:pctHeight>0</wp14:pctHeight>
            </wp14:sizeRelV>
          </wp:anchor>
        </w:drawing>
      </w:r>
    </w:p>
    <w:p w:rsidR="00060F19" w:rsidRDefault="00060F19" w:rsidP="00060F19">
      <w:pPr>
        <w:pStyle w:val="PlainText"/>
      </w:pPr>
      <w:r>
        <w:t xml:space="preserve">This site </w:t>
      </w:r>
      <w:r w:rsidR="00B8309D" w:rsidRPr="00B8309D">
        <w:rPr>
          <w:u w:val="single"/>
        </w:rPr>
        <w:t>does not</w:t>
      </w:r>
      <w:r w:rsidR="00B8309D">
        <w:t xml:space="preserve"> fall</w:t>
      </w:r>
      <w:r>
        <w:t xml:space="preserve"> within one of our Local Flood Risk Zones as defined within figure 6 of the SFRA (below). </w:t>
      </w:r>
    </w:p>
    <w:p w:rsidR="00060F19" w:rsidRDefault="00060F19" w:rsidP="00060F19">
      <w:pPr>
        <w:pStyle w:val="PlainText"/>
        <w:rPr>
          <w:lang w:eastAsia="en-GB"/>
        </w:rPr>
      </w:pPr>
    </w:p>
    <w:p w:rsidR="00060F19" w:rsidRDefault="00864C7D" w:rsidP="00060F19">
      <w:pPr>
        <w:pStyle w:val="PlainText"/>
      </w:pPr>
      <w:r>
        <w:rPr>
          <w:noProof/>
          <w:lang w:eastAsia="en-GB"/>
        </w:rPr>
        <w:drawing>
          <wp:inline distT="0" distB="0" distL="0" distR="0" wp14:anchorId="474D63DE" wp14:editId="7EFD25AB">
            <wp:extent cx="4593843" cy="3261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877" t="11752" r="2778" b="7185"/>
                    <a:stretch/>
                  </pic:blipFill>
                  <pic:spPr bwMode="auto">
                    <a:xfrm>
                      <a:off x="0" y="0"/>
                      <a:ext cx="4597150" cy="3263708"/>
                    </a:xfrm>
                    <a:prstGeom prst="rect">
                      <a:avLst/>
                    </a:prstGeom>
                    <a:ln>
                      <a:noFill/>
                    </a:ln>
                    <a:extLst>
                      <a:ext uri="{53640926-AAD7-44D8-BBD7-CCE9431645EC}">
                        <a14:shadowObscured xmlns:a14="http://schemas.microsoft.com/office/drawing/2010/main"/>
                      </a:ext>
                    </a:extLst>
                  </pic:spPr>
                </pic:pic>
              </a:graphicData>
            </a:graphic>
          </wp:inline>
        </w:drawing>
      </w:r>
    </w:p>
    <w:p w:rsidR="00060F19" w:rsidRDefault="00060F19" w:rsidP="00060F19">
      <w:pPr>
        <w:pStyle w:val="PlainText"/>
      </w:pPr>
    </w:p>
    <w:p w:rsidR="006A0FCF" w:rsidRDefault="00C85527" w:rsidP="006A0FCF">
      <w:pPr>
        <w:pStyle w:val="PlainText"/>
      </w:pPr>
      <w:r>
        <w:t>The</w:t>
      </w:r>
      <w:r w:rsidR="006A0FCF" w:rsidRPr="006A0FCF">
        <w:t xml:space="preserve"> site is</w:t>
      </w:r>
      <w:r>
        <w:t xml:space="preserve"> not</w:t>
      </w:r>
      <w:r w:rsidR="006A0FCF" w:rsidRPr="006A0FCF">
        <w:t xml:space="preserve"> in an area identified in Camden’s Strategic Flood Risk Assessment as being at risk of surface water flooding</w:t>
      </w:r>
      <w:r>
        <w:t xml:space="preserve">, but it is </w:t>
      </w:r>
      <w:r w:rsidR="00B8309D">
        <w:t>adjacent to site which have previously ex</w:t>
      </w:r>
      <w:r>
        <w:t xml:space="preserve">perience surface water flooding. </w:t>
      </w:r>
    </w:p>
    <w:p w:rsidR="006A0FCF" w:rsidRPr="006A0FCF" w:rsidRDefault="006A0FCF" w:rsidP="006A0FCF">
      <w:pPr>
        <w:pStyle w:val="PlainText"/>
      </w:pPr>
    </w:p>
    <w:p w:rsidR="006A0FCF" w:rsidRDefault="00B8309D" w:rsidP="00060F19">
      <w:pPr>
        <w:pStyle w:val="PlainText"/>
      </w:pPr>
      <w:r>
        <w:rPr>
          <w:noProof/>
          <w:lang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3562350</wp:posOffset>
                </wp:positionH>
                <wp:positionV relativeFrom="paragraph">
                  <wp:posOffset>1924051</wp:posOffset>
                </wp:positionV>
                <wp:extent cx="295275" cy="304800"/>
                <wp:effectExtent l="0" t="0" r="28575" b="19050"/>
                <wp:wrapNone/>
                <wp:docPr id="6" name="Oval 6"/>
                <wp:cNvGraphicFramePr/>
                <a:graphic xmlns:a="http://schemas.openxmlformats.org/drawingml/2006/main">
                  <a:graphicData uri="http://schemas.microsoft.com/office/word/2010/wordprocessingShape">
                    <wps:wsp>
                      <wps:cNvSpPr/>
                      <wps:spPr>
                        <a:xfrm>
                          <a:off x="0" y="0"/>
                          <a:ext cx="29527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280.5pt;margin-top:151.5pt;width:23.2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4o5lAIAAIIFAAAOAAAAZHJzL2Uyb0RvYy54bWysVE1v2zAMvQ/YfxB0X+1kSdcGdYqgRYYB&#10;RVusHXpWZCk2IIuapMTJfv1I+aPBWuwwLAdFFMlH8pnk1fWhMWyvfKjBFnxylnOmrISyttuC/3he&#10;f7rgLERhS2HAqoIfVeDXy48frlq3UFOowJTKMwSxYdG6glcxukWWBVmpRoQzcMqiUoNvRETRb7PS&#10;ixbRG5NN8/w8a8GXzoNUIeDrbafky4SvtZLxQeugIjMFx9xiOn06N3Rmyyux2Hrhqlr2aYh/yKIR&#10;tcWgI9StiILtfP0GqqmlhwA6nkloMtC6lirVgNVM8j+qeaqEU6kWJCe4kabw/2Dl/f7Rs7os+Dln&#10;VjT4iR72wrBzYqZ1YYEGT+7R91LAK5V50L6hfyyAHRKbx5FNdYhM4uP0cj79MudMoupzPrvIE9vZ&#10;q7PzIX5V0DC6FFwZU7tA9YqF2N+FiDHRerCiZwvr2pj0zYylhwCmLuktCX67uTGeYf4FX69z/FEV&#10;iHFihhK5ZlRbV026xaNRhGHsd6WRD8o/ZZI6UY2wQkpl46RTVaJUXbT5aTDqXfJIoRMgIWvMcsTu&#10;AQbLDmTA7nLu7clVpUYenfO/JdY5jx4pMtg4Oje1Bf8egMGq+sid/UBSRw2xtIHyiN3ioRuj4OS6&#10;xk93J0J8FB7nBicMd0F8wEMbaAsO/Y2zCvyv997JHtsZtZy1OIcFDz93wivOzDeLjX45mc1ocJMw&#10;m3+ZouBPNZtTjd01N4Bff4Jbx8l0Jftohqv20LzgylhRVFQJKzF2wWX0g3ATu/2AS0eq1SqZ4bA6&#10;Ee/sk5METqxSXz4fXoR3ff9GbPx7GGb2TQ93tuRpYbWLoOvU4K+89nzjoKfG6ZcSbZJTOVm9rs7l&#10;bwAAAP//AwBQSwMEFAAGAAgAAAAhAAySx83eAAAACwEAAA8AAABkcnMvZG93bnJldi54bWxMT8tO&#10;wzAQvCPxD9YicaN2U5KiEKeilTgAJwrq2Y23SVR7HcVuG/h6lhPcdnZG86hWk3fijGPsA2mYzxQI&#10;pCbYnloNnx/Pdw8gYjJkjQuEGr4wwqq+vqpMacOF3vG8Ta1gE4ql0dClNJRSxqZDb+IsDEjMHcLo&#10;TWI4ttKO5sLm3slMqUJ60xMndGbATYfNcXvynPu2vs+yXbbOj+5782oO+WDDi9a3N9PTI4iEU/oT&#10;w299rg41d9qHE9konIa8mPOWpGGhFnywolDLHMSePzlTsq7k/w31DwAAAP//AwBQSwECLQAUAAYA&#10;CAAAACEAtoM4kv4AAADhAQAAEwAAAAAAAAAAAAAAAAAAAAAAW0NvbnRlbnRfVHlwZXNdLnhtbFBL&#10;AQItABQABgAIAAAAIQA4/SH/1gAAAJQBAAALAAAAAAAAAAAAAAAAAC8BAABfcmVscy8ucmVsc1BL&#10;AQItABQABgAIAAAAIQB6P4o5lAIAAIIFAAAOAAAAAAAAAAAAAAAAAC4CAABkcnMvZTJvRG9jLnht&#10;bFBLAQItABQABgAIAAAAIQAMksfN3gAAAAsBAAAPAAAAAAAAAAAAAAAAAO4EAABkcnMvZG93bnJl&#10;di54bWxQSwUGAAAAAAQABADzAAAA+QUAAAAA&#10;" filled="f" strokecolor="red" strokeweight="2pt"/>
            </w:pict>
          </mc:Fallback>
        </mc:AlternateContent>
      </w:r>
      <w:r>
        <w:rPr>
          <w:noProof/>
          <w:lang w:eastAsia="en-GB"/>
        </w:rPr>
        <w:drawing>
          <wp:inline distT="0" distB="0" distL="0" distR="0">
            <wp:extent cx="5731510" cy="4017899"/>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017899"/>
                    </a:xfrm>
                    <a:prstGeom prst="rect">
                      <a:avLst/>
                    </a:prstGeom>
                    <a:noFill/>
                    <a:ln>
                      <a:noFill/>
                    </a:ln>
                  </pic:spPr>
                </pic:pic>
              </a:graphicData>
            </a:graphic>
          </wp:inline>
        </w:drawing>
      </w:r>
    </w:p>
    <w:p w:rsidR="006A0FCF" w:rsidRPr="00886739" w:rsidRDefault="006A0FCF" w:rsidP="00060F19">
      <w:pPr>
        <w:pStyle w:val="PlainText"/>
        <w:rPr>
          <w:color w:val="4F81BD" w:themeColor="accent1"/>
        </w:rPr>
      </w:pPr>
    </w:p>
    <w:p w:rsidR="00886739" w:rsidRPr="00886739" w:rsidRDefault="00060F19" w:rsidP="00886739">
      <w:pPr>
        <w:autoSpaceDE w:val="0"/>
        <w:autoSpaceDN w:val="0"/>
        <w:adjustRightInd w:val="0"/>
        <w:rPr>
          <w:rFonts w:ascii="Arial" w:hAnsi="Arial" w:cs="Arial"/>
          <w:color w:val="4F81BD" w:themeColor="accent1"/>
          <w:sz w:val="24"/>
          <w:szCs w:val="24"/>
        </w:rPr>
      </w:pPr>
      <w:r w:rsidRPr="00886739">
        <w:rPr>
          <w:rFonts w:ascii="Arial" w:hAnsi="Arial" w:cs="Arial"/>
          <w:color w:val="4F81BD" w:themeColor="accent1"/>
          <w:sz w:val="24"/>
          <w:szCs w:val="24"/>
        </w:rPr>
        <w:t xml:space="preserve">DP23 </w:t>
      </w:r>
      <w:r w:rsidR="00886739" w:rsidRPr="00886739">
        <w:rPr>
          <w:rFonts w:ascii="Arial" w:hAnsi="Arial" w:cs="Arial"/>
          <w:color w:val="4F81BD" w:themeColor="accent1"/>
          <w:sz w:val="24"/>
          <w:szCs w:val="24"/>
        </w:rPr>
        <w:t>requires that where</w:t>
      </w:r>
      <w:r w:rsidRPr="00886739">
        <w:rPr>
          <w:rFonts w:ascii="Arial" w:hAnsi="Arial" w:cs="Arial"/>
          <w:color w:val="4F81BD" w:themeColor="accent1"/>
          <w:sz w:val="24"/>
          <w:szCs w:val="24"/>
        </w:rPr>
        <w:t xml:space="preserve"> a site is known to have a particular drainage issue, development should not place additional strain on</w:t>
      </w:r>
      <w:r w:rsidR="00886739" w:rsidRPr="00886739">
        <w:rPr>
          <w:rFonts w:ascii="Arial" w:hAnsi="Arial" w:cs="Arial"/>
          <w:color w:val="4F81BD" w:themeColor="accent1"/>
          <w:sz w:val="24"/>
          <w:szCs w:val="24"/>
        </w:rPr>
        <w:t xml:space="preserve"> adjoining sites or</w:t>
      </w:r>
      <w:r w:rsidRPr="00886739">
        <w:rPr>
          <w:rFonts w:ascii="Arial" w:hAnsi="Arial" w:cs="Arial"/>
          <w:color w:val="4F81BD" w:themeColor="accent1"/>
          <w:sz w:val="24"/>
          <w:szCs w:val="24"/>
        </w:rPr>
        <w:t xml:space="preserve"> the existing drainage infrastructure.</w:t>
      </w:r>
      <w:r w:rsidR="00886739" w:rsidRPr="00886739">
        <w:rPr>
          <w:rFonts w:ascii="Arial" w:hAnsi="Arial" w:cs="Arial"/>
          <w:color w:val="4F81BD" w:themeColor="accent1"/>
          <w:sz w:val="24"/>
          <w:szCs w:val="24"/>
        </w:rPr>
        <w:t xml:space="preserve"> It also requires that the development is designed to cope with being flooded.</w:t>
      </w:r>
    </w:p>
    <w:p w:rsidR="00060F19" w:rsidRPr="006A0FCF" w:rsidRDefault="00060F19" w:rsidP="00060F19">
      <w:pPr>
        <w:autoSpaceDE w:val="0"/>
        <w:autoSpaceDN w:val="0"/>
        <w:rPr>
          <w:rFonts w:ascii="Arial" w:hAnsi="Arial" w:cs="Arial"/>
          <w:color w:val="4F81BD" w:themeColor="accent1"/>
          <w:sz w:val="24"/>
          <w:szCs w:val="24"/>
        </w:rPr>
      </w:pPr>
    </w:p>
    <w:p w:rsidR="00060F19" w:rsidRPr="006A0FCF" w:rsidRDefault="00060F19" w:rsidP="00060F19">
      <w:pPr>
        <w:autoSpaceDE w:val="0"/>
        <w:autoSpaceDN w:val="0"/>
        <w:rPr>
          <w:rFonts w:ascii="Arial" w:hAnsi="Arial" w:cs="Arial"/>
          <w:color w:val="4F81BD" w:themeColor="accent1"/>
          <w:sz w:val="24"/>
          <w:szCs w:val="24"/>
        </w:rPr>
      </w:pPr>
      <w:r w:rsidRPr="006A0FCF">
        <w:rPr>
          <w:rFonts w:ascii="Arial" w:hAnsi="Arial" w:cs="Arial"/>
          <w:color w:val="4F81BD" w:themeColor="accent1"/>
          <w:sz w:val="24"/>
          <w:szCs w:val="24"/>
        </w:rPr>
        <w:t xml:space="preserve">The policy requires developments to reduce </w:t>
      </w:r>
      <w:r w:rsidRPr="00190E14">
        <w:rPr>
          <w:rFonts w:ascii="Arial" w:hAnsi="Arial" w:cs="Arial"/>
          <w:color w:val="4F81BD" w:themeColor="accent1"/>
          <w:sz w:val="24"/>
          <w:szCs w:val="24"/>
        </w:rPr>
        <w:t>their water consumption</w:t>
      </w:r>
      <w:r w:rsidRPr="006A0FCF">
        <w:rPr>
          <w:rFonts w:ascii="Arial" w:hAnsi="Arial" w:cs="Arial"/>
          <w:color w:val="4F81BD" w:themeColor="accent1"/>
          <w:sz w:val="24"/>
          <w:szCs w:val="24"/>
        </w:rPr>
        <w:t>, the pressure on the combined sewer network and the risk of flooding by:</w:t>
      </w:r>
    </w:p>
    <w:p w:rsidR="006A0FCF" w:rsidRPr="006A0FCF" w:rsidRDefault="006A0FCF" w:rsidP="00060F19">
      <w:pPr>
        <w:autoSpaceDE w:val="0"/>
        <w:autoSpaceDN w:val="0"/>
        <w:rPr>
          <w:rFonts w:ascii="Arial" w:hAnsi="Arial" w:cs="Arial"/>
          <w:color w:val="4F81BD" w:themeColor="accent1"/>
          <w:sz w:val="24"/>
          <w:szCs w:val="24"/>
        </w:rPr>
      </w:pPr>
    </w:p>
    <w:p w:rsidR="006A0FCF" w:rsidRPr="006A0FCF" w:rsidRDefault="00060F19" w:rsidP="006A0FCF">
      <w:pPr>
        <w:pStyle w:val="ListParagraph"/>
        <w:numPr>
          <w:ilvl w:val="0"/>
          <w:numId w:val="1"/>
        </w:numPr>
        <w:autoSpaceDE w:val="0"/>
        <w:autoSpaceDN w:val="0"/>
        <w:rPr>
          <w:rFonts w:ascii="Arial" w:hAnsi="Arial" w:cs="Arial"/>
          <w:color w:val="4F81BD" w:themeColor="accent1"/>
          <w:sz w:val="24"/>
          <w:szCs w:val="24"/>
        </w:rPr>
      </w:pPr>
      <w:r w:rsidRPr="006A0FCF">
        <w:rPr>
          <w:rFonts w:ascii="Arial" w:hAnsi="Arial" w:cs="Arial"/>
          <w:color w:val="4F81BD" w:themeColor="accent1"/>
          <w:sz w:val="24"/>
          <w:szCs w:val="24"/>
        </w:rPr>
        <w:t>incorporating water efficient features and equipment and capturing, retaining and re-using surface water and grey water on-site;</w:t>
      </w:r>
    </w:p>
    <w:p w:rsidR="006A0FCF" w:rsidRPr="006A0FCF" w:rsidRDefault="006A0FCF" w:rsidP="006A0FCF">
      <w:pPr>
        <w:pStyle w:val="ListParagraph"/>
        <w:autoSpaceDE w:val="0"/>
        <w:autoSpaceDN w:val="0"/>
        <w:rPr>
          <w:rFonts w:ascii="Arial" w:hAnsi="Arial" w:cs="Arial"/>
          <w:color w:val="4F81BD" w:themeColor="accent1"/>
          <w:sz w:val="24"/>
          <w:szCs w:val="24"/>
        </w:rPr>
      </w:pPr>
    </w:p>
    <w:p w:rsidR="006A0FCF" w:rsidRPr="006A0FCF" w:rsidRDefault="00060F19" w:rsidP="006A0FCF">
      <w:pPr>
        <w:pStyle w:val="ListParagraph"/>
        <w:numPr>
          <w:ilvl w:val="0"/>
          <w:numId w:val="1"/>
        </w:numPr>
        <w:autoSpaceDE w:val="0"/>
        <w:autoSpaceDN w:val="0"/>
        <w:adjustRightInd w:val="0"/>
        <w:rPr>
          <w:rFonts w:ascii="Arial" w:hAnsi="Arial" w:cs="Arial"/>
          <w:color w:val="4F81BD" w:themeColor="accent1"/>
          <w:sz w:val="24"/>
          <w:szCs w:val="24"/>
        </w:rPr>
      </w:pPr>
      <w:r w:rsidRPr="006A0FCF">
        <w:rPr>
          <w:rFonts w:ascii="Arial" w:hAnsi="Arial" w:cs="Arial"/>
          <w:color w:val="4F81BD" w:themeColor="accent1"/>
          <w:sz w:val="24"/>
          <w:szCs w:val="24"/>
        </w:rPr>
        <w:t>limiting the amount and rate of run-off and waste water entering the combined storm water and sewer network through the methods outlined in part a) and other sustainable urban drainage methods to reduce the risk of flooding</w:t>
      </w:r>
    </w:p>
    <w:p w:rsidR="006A0FCF" w:rsidRPr="006A0FCF" w:rsidRDefault="006A0FCF" w:rsidP="006A0FCF">
      <w:pPr>
        <w:pStyle w:val="ListParagraph"/>
        <w:autoSpaceDE w:val="0"/>
        <w:autoSpaceDN w:val="0"/>
        <w:adjustRightInd w:val="0"/>
        <w:rPr>
          <w:rFonts w:ascii="Arial" w:hAnsi="Arial" w:cs="Arial"/>
          <w:color w:val="4F81BD" w:themeColor="accent1"/>
          <w:sz w:val="24"/>
          <w:szCs w:val="24"/>
        </w:rPr>
      </w:pPr>
    </w:p>
    <w:p w:rsidR="00060F19" w:rsidRPr="006A0FCF" w:rsidRDefault="006A0FCF" w:rsidP="006A0FCF">
      <w:pPr>
        <w:pStyle w:val="ListParagraph"/>
        <w:numPr>
          <w:ilvl w:val="0"/>
          <w:numId w:val="1"/>
        </w:numPr>
        <w:autoSpaceDE w:val="0"/>
        <w:autoSpaceDN w:val="0"/>
        <w:adjustRightInd w:val="0"/>
        <w:rPr>
          <w:rFonts w:ascii="Arial" w:hAnsi="Arial" w:cs="Arial"/>
          <w:color w:val="4F81BD" w:themeColor="accent1"/>
          <w:sz w:val="24"/>
          <w:szCs w:val="24"/>
        </w:rPr>
      </w:pPr>
      <w:r w:rsidRPr="006A0FCF">
        <w:rPr>
          <w:rFonts w:ascii="Arial" w:hAnsi="Arial" w:cs="Arial"/>
          <w:color w:val="4F81BD" w:themeColor="accent1"/>
          <w:sz w:val="24"/>
          <w:szCs w:val="24"/>
        </w:rPr>
        <w:t>reducing the pressure placed on the combined storm water and sewer network from foul water and surface water run-off and ensuring developments in the areas identified.... as being at risk of surface water flooding are designed to cope with the potential flooding</w:t>
      </w:r>
    </w:p>
    <w:p w:rsidR="00060F19" w:rsidRDefault="00060F19" w:rsidP="00060F19">
      <w:pPr>
        <w:pStyle w:val="PlainText"/>
      </w:pPr>
    </w:p>
    <w:p w:rsidR="00A14416" w:rsidRDefault="00A14416" w:rsidP="00A14416">
      <w:pPr>
        <w:rPr>
          <w:rFonts w:ascii="Arial" w:hAnsi="Arial" w:cs="Arial"/>
          <w:i/>
          <w:sz w:val="24"/>
          <w:szCs w:val="24"/>
        </w:rPr>
      </w:pPr>
      <w:r w:rsidRPr="006A0FCF">
        <w:rPr>
          <w:rFonts w:ascii="Arial" w:hAnsi="Arial" w:cs="Arial"/>
          <w:i/>
          <w:sz w:val="24"/>
          <w:szCs w:val="24"/>
        </w:rPr>
        <w:t>Action for applicant: The applicant must demonstrate how methods outlined in a), b) and c) above will be included in the proposals to ensure</w:t>
      </w:r>
      <w:r>
        <w:rPr>
          <w:rFonts w:ascii="Arial" w:hAnsi="Arial" w:cs="Arial"/>
          <w:i/>
          <w:sz w:val="24"/>
          <w:szCs w:val="24"/>
        </w:rPr>
        <w:t>:</w:t>
      </w:r>
    </w:p>
    <w:p w:rsidR="00A14416" w:rsidRDefault="00A14416" w:rsidP="00A14416">
      <w:pPr>
        <w:pStyle w:val="ListParagraph"/>
        <w:numPr>
          <w:ilvl w:val="1"/>
          <w:numId w:val="5"/>
        </w:numPr>
        <w:tabs>
          <w:tab w:val="clear" w:pos="1440"/>
          <w:tab w:val="num" w:pos="709"/>
        </w:tabs>
        <w:ind w:left="709" w:hanging="283"/>
        <w:rPr>
          <w:rFonts w:ascii="Arial" w:hAnsi="Arial" w:cs="Arial"/>
          <w:i/>
          <w:sz w:val="24"/>
          <w:szCs w:val="24"/>
        </w:rPr>
      </w:pPr>
      <w:r w:rsidRPr="00FF148A">
        <w:rPr>
          <w:rFonts w:ascii="Arial" w:hAnsi="Arial" w:cs="Arial"/>
          <w:i/>
          <w:sz w:val="24"/>
          <w:szCs w:val="24"/>
        </w:rPr>
        <w:t>there is no additional strain on adjoining sites or the existing drainage infrastructure</w:t>
      </w:r>
    </w:p>
    <w:p w:rsidR="00A14416" w:rsidRPr="00FF148A" w:rsidRDefault="00A14416" w:rsidP="00A14416">
      <w:pPr>
        <w:pStyle w:val="ListParagraph"/>
        <w:numPr>
          <w:ilvl w:val="1"/>
          <w:numId w:val="5"/>
        </w:numPr>
        <w:tabs>
          <w:tab w:val="clear" w:pos="1440"/>
          <w:tab w:val="num" w:pos="709"/>
        </w:tabs>
        <w:ind w:left="709" w:hanging="283"/>
        <w:rPr>
          <w:rFonts w:ascii="Arial" w:hAnsi="Arial" w:cs="Arial"/>
          <w:i/>
          <w:sz w:val="24"/>
          <w:szCs w:val="24"/>
        </w:rPr>
      </w:pPr>
      <w:proofErr w:type="gramStart"/>
      <w:r>
        <w:rPr>
          <w:rFonts w:ascii="Arial" w:hAnsi="Arial" w:cs="Arial"/>
          <w:i/>
          <w:sz w:val="24"/>
          <w:szCs w:val="24"/>
        </w:rPr>
        <w:t>the</w:t>
      </w:r>
      <w:proofErr w:type="gramEnd"/>
      <w:r>
        <w:rPr>
          <w:rFonts w:ascii="Arial" w:hAnsi="Arial" w:cs="Arial"/>
          <w:i/>
          <w:sz w:val="24"/>
          <w:szCs w:val="24"/>
        </w:rPr>
        <w:t xml:space="preserve"> </w:t>
      </w:r>
      <w:r w:rsidRPr="00FF148A">
        <w:rPr>
          <w:rFonts w:ascii="Arial" w:hAnsi="Arial" w:cs="Arial"/>
          <w:i/>
          <w:sz w:val="24"/>
          <w:szCs w:val="24"/>
        </w:rPr>
        <w:t>development will cope with being flooded</w:t>
      </w:r>
      <w:r>
        <w:rPr>
          <w:rFonts w:ascii="Arial" w:hAnsi="Arial" w:cs="Arial"/>
          <w:i/>
          <w:sz w:val="24"/>
          <w:szCs w:val="24"/>
        </w:rPr>
        <w:t>. E.g. by:</w:t>
      </w:r>
    </w:p>
    <w:p w:rsidR="00A14416" w:rsidRPr="001429C9" w:rsidRDefault="00A14416" w:rsidP="00A14416">
      <w:pPr>
        <w:numPr>
          <w:ilvl w:val="1"/>
          <w:numId w:val="6"/>
        </w:numPr>
        <w:rPr>
          <w:rFonts w:ascii="Arial" w:hAnsi="Arial" w:cs="Arial"/>
          <w:i/>
          <w:sz w:val="24"/>
          <w:szCs w:val="24"/>
        </w:rPr>
      </w:pPr>
      <w:r>
        <w:rPr>
          <w:rFonts w:ascii="Arial" w:hAnsi="Arial" w:cs="Arial"/>
          <w:i/>
          <w:sz w:val="24"/>
          <w:szCs w:val="24"/>
        </w:rPr>
        <w:t>No self-</w:t>
      </w:r>
      <w:r w:rsidRPr="001429C9">
        <w:rPr>
          <w:rFonts w:ascii="Arial" w:hAnsi="Arial" w:cs="Arial"/>
          <w:i/>
          <w:sz w:val="24"/>
          <w:szCs w:val="24"/>
        </w:rPr>
        <w:t>contained basement dwellings</w:t>
      </w:r>
    </w:p>
    <w:p w:rsidR="00A14416" w:rsidRPr="001429C9" w:rsidRDefault="00A14416" w:rsidP="00A14416">
      <w:pPr>
        <w:numPr>
          <w:ilvl w:val="1"/>
          <w:numId w:val="6"/>
        </w:numPr>
        <w:rPr>
          <w:rFonts w:ascii="Arial" w:hAnsi="Arial" w:cs="Arial"/>
          <w:i/>
          <w:sz w:val="24"/>
          <w:szCs w:val="24"/>
        </w:rPr>
      </w:pPr>
      <w:r w:rsidRPr="001429C9">
        <w:rPr>
          <w:rFonts w:ascii="Arial" w:hAnsi="Arial" w:cs="Arial"/>
          <w:i/>
          <w:sz w:val="24"/>
          <w:szCs w:val="24"/>
        </w:rPr>
        <w:lastRenderedPageBreak/>
        <w:t>Limit</w:t>
      </w:r>
      <w:r>
        <w:rPr>
          <w:rFonts w:ascii="Arial" w:hAnsi="Arial" w:cs="Arial"/>
          <w:i/>
          <w:sz w:val="24"/>
          <w:szCs w:val="24"/>
        </w:rPr>
        <w:t>ing</w:t>
      </w:r>
      <w:r w:rsidRPr="001429C9">
        <w:rPr>
          <w:rFonts w:ascii="Arial" w:hAnsi="Arial" w:cs="Arial"/>
          <w:i/>
          <w:sz w:val="24"/>
          <w:szCs w:val="24"/>
        </w:rPr>
        <w:t xml:space="preserve"> flood waters entering an</w:t>
      </w:r>
      <w:r>
        <w:rPr>
          <w:rFonts w:ascii="Arial" w:hAnsi="Arial" w:cs="Arial"/>
          <w:i/>
          <w:sz w:val="24"/>
          <w:szCs w:val="24"/>
        </w:rPr>
        <w:t>d damaging the building fabric; or</w:t>
      </w:r>
    </w:p>
    <w:p w:rsidR="00A14416" w:rsidRDefault="00A14416" w:rsidP="00A14416">
      <w:pPr>
        <w:numPr>
          <w:ilvl w:val="1"/>
          <w:numId w:val="6"/>
        </w:numPr>
        <w:rPr>
          <w:rFonts w:ascii="Arial" w:hAnsi="Arial" w:cs="Arial"/>
          <w:i/>
          <w:sz w:val="24"/>
          <w:szCs w:val="24"/>
        </w:rPr>
      </w:pPr>
      <w:r w:rsidRPr="001429C9">
        <w:rPr>
          <w:rFonts w:ascii="Arial" w:hAnsi="Arial" w:cs="Arial"/>
          <w:i/>
          <w:sz w:val="24"/>
          <w:szCs w:val="24"/>
        </w:rPr>
        <w:t>Allow</w:t>
      </w:r>
      <w:r>
        <w:rPr>
          <w:rFonts w:ascii="Arial" w:hAnsi="Arial" w:cs="Arial"/>
          <w:i/>
          <w:sz w:val="24"/>
          <w:szCs w:val="24"/>
        </w:rPr>
        <w:t>ing</w:t>
      </w:r>
      <w:r w:rsidRPr="001429C9">
        <w:rPr>
          <w:rFonts w:ascii="Arial" w:hAnsi="Arial" w:cs="Arial"/>
          <w:i/>
          <w:sz w:val="24"/>
          <w:szCs w:val="24"/>
        </w:rPr>
        <w:t xml:space="preserve"> flood water to enter the building but limit</w:t>
      </w:r>
      <w:r>
        <w:rPr>
          <w:rFonts w:ascii="Arial" w:hAnsi="Arial" w:cs="Arial"/>
          <w:i/>
          <w:sz w:val="24"/>
          <w:szCs w:val="24"/>
        </w:rPr>
        <w:t>ing</w:t>
      </w:r>
      <w:r w:rsidRPr="001429C9">
        <w:rPr>
          <w:rFonts w:ascii="Arial" w:hAnsi="Arial" w:cs="Arial"/>
          <w:i/>
          <w:sz w:val="24"/>
          <w:szCs w:val="24"/>
        </w:rPr>
        <w:t xml:space="preserve"> the damage it will cause</w:t>
      </w:r>
    </w:p>
    <w:p w:rsidR="00A14416" w:rsidRDefault="00A14416" w:rsidP="00A14416">
      <w:pPr>
        <w:ind w:left="567"/>
        <w:rPr>
          <w:rFonts w:ascii="Arial" w:hAnsi="Arial" w:cs="Arial"/>
          <w:i/>
          <w:sz w:val="24"/>
          <w:szCs w:val="24"/>
        </w:rPr>
      </w:pPr>
    </w:p>
    <w:p w:rsidR="00A14416" w:rsidRDefault="00A14416" w:rsidP="00A14416">
      <w:pPr>
        <w:rPr>
          <w:rFonts w:ascii="Arial" w:hAnsi="Arial" w:cs="Arial"/>
          <w:i/>
          <w:sz w:val="24"/>
          <w:szCs w:val="24"/>
        </w:rPr>
      </w:pPr>
      <w:r w:rsidRPr="00CA488C">
        <w:rPr>
          <w:rFonts w:ascii="Arial" w:hAnsi="Arial" w:cs="Arial"/>
          <w:i/>
          <w:sz w:val="24"/>
          <w:szCs w:val="24"/>
        </w:rPr>
        <w:t>Consideration</w:t>
      </w:r>
      <w:r>
        <w:rPr>
          <w:rFonts w:ascii="Arial" w:hAnsi="Arial" w:cs="Arial"/>
          <w:i/>
          <w:sz w:val="24"/>
          <w:szCs w:val="24"/>
        </w:rPr>
        <w:t xml:space="preserve"> of</w:t>
      </w:r>
      <w:r w:rsidRPr="00CA488C">
        <w:rPr>
          <w:rFonts w:ascii="Arial" w:hAnsi="Arial" w:cs="Arial"/>
          <w:i/>
          <w:sz w:val="24"/>
          <w:szCs w:val="24"/>
        </w:rPr>
        <w:t xml:space="preserve"> the cumulative impact of small prior approvals in high risk areas</w:t>
      </w:r>
      <w:r>
        <w:rPr>
          <w:rFonts w:ascii="Arial" w:hAnsi="Arial" w:cs="Arial"/>
          <w:i/>
          <w:sz w:val="24"/>
          <w:szCs w:val="24"/>
        </w:rPr>
        <w:t xml:space="preserve"> should be borne in mind (Residential use typically has a much higher water use than offices, resulting on increased impact on the sewer system due to generation of more waste water)</w:t>
      </w:r>
      <w:r w:rsidRPr="00CA488C">
        <w:rPr>
          <w:rFonts w:ascii="Arial" w:hAnsi="Arial" w:cs="Arial"/>
          <w:i/>
          <w:sz w:val="24"/>
          <w:szCs w:val="24"/>
        </w:rPr>
        <w:t xml:space="preserve">. </w:t>
      </w:r>
    </w:p>
    <w:p w:rsidR="00A14416" w:rsidRDefault="00A14416" w:rsidP="00A14416">
      <w:pPr>
        <w:rPr>
          <w:rFonts w:ascii="Arial" w:hAnsi="Arial" w:cs="Arial"/>
          <w:i/>
          <w:sz w:val="24"/>
          <w:szCs w:val="24"/>
        </w:rPr>
      </w:pPr>
    </w:p>
    <w:p w:rsidR="00A14416" w:rsidRDefault="00A14416" w:rsidP="00A14416">
      <w:pPr>
        <w:rPr>
          <w:rFonts w:ascii="Arial" w:hAnsi="Arial" w:cs="Arial"/>
          <w:i/>
          <w:sz w:val="24"/>
          <w:szCs w:val="24"/>
        </w:rPr>
      </w:pPr>
    </w:p>
    <w:p w:rsidR="00A14416" w:rsidRPr="00C85527" w:rsidRDefault="00A14416" w:rsidP="00A14416">
      <w:pPr>
        <w:rPr>
          <w:rFonts w:ascii="Arial" w:hAnsi="Arial" w:cs="Arial"/>
          <w:b/>
          <w:i/>
          <w:color w:val="00B050"/>
          <w:sz w:val="24"/>
          <w:szCs w:val="24"/>
        </w:rPr>
      </w:pPr>
      <w:r w:rsidRPr="00C85527">
        <w:rPr>
          <w:rFonts w:ascii="Arial" w:hAnsi="Arial" w:cs="Arial"/>
          <w:b/>
          <w:i/>
          <w:color w:val="00B050"/>
          <w:sz w:val="24"/>
          <w:szCs w:val="24"/>
        </w:rPr>
        <w:t xml:space="preserve">Recommended Condition: </w:t>
      </w:r>
    </w:p>
    <w:p w:rsidR="00A14416" w:rsidRPr="00C85527" w:rsidRDefault="00A14416" w:rsidP="00A14416">
      <w:pPr>
        <w:rPr>
          <w:rFonts w:ascii="Arial" w:hAnsi="Arial" w:cs="Arial"/>
          <w:i/>
          <w:color w:val="00B050"/>
          <w:sz w:val="24"/>
          <w:szCs w:val="24"/>
        </w:rPr>
      </w:pPr>
    </w:p>
    <w:p w:rsidR="00A14416" w:rsidRPr="00C85527" w:rsidRDefault="00A14416" w:rsidP="00A14416">
      <w:pPr>
        <w:rPr>
          <w:rFonts w:ascii="Arial" w:hAnsi="Arial" w:cs="Arial"/>
          <w:i/>
          <w:iCs/>
          <w:color w:val="00B050"/>
          <w:sz w:val="24"/>
          <w:szCs w:val="24"/>
        </w:rPr>
      </w:pPr>
      <w:r w:rsidRPr="00C85527">
        <w:rPr>
          <w:rFonts w:ascii="Arial" w:hAnsi="Arial" w:cs="Arial"/>
          <w:i/>
          <w:iCs/>
          <w:color w:val="00B050"/>
          <w:sz w:val="24"/>
          <w:szCs w:val="24"/>
        </w:rPr>
        <w:t xml:space="preserve">Prior to commencement, full details to demonstrate: </w:t>
      </w:r>
    </w:p>
    <w:p w:rsidR="00A14416" w:rsidRPr="00C85527" w:rsidRDefault="00A14416" w:rsidP="00A14416">
      <w:pPr>
        <w:pStyle w:val="ListParagraph"/>
        <w:numPr>
          <w:ilvl w:val="0"/>
          <w:numId w:val="2"/>
        </w:numPr>
        <w:rPr>
          <w:rFonts w:ascii="Arial" w:hAnsi="Arial" w:cs="Arial"/>
          <w:i/>
          <w:iCs/>
          <w:color w:val="00B050"/>
          <w:sz w:val="24"/>
          <w:szCs w:val="24"/>
        </w:rPr>
      </w:pPr>
      <w:r w:rsidRPr="00C85527">
        <w:rPr>
          <w:rFonts w:ascii="Arial" w:hAnsi="Arial" w:cs="Arial"/>
          <w:i/>
          <w:iCs/>
          <w:color w:val="00B050"/>
          <w:sz w:val="24"/>
          <w:szCs w:val="24"/>
        </w:rPr>
        <w:t>the proposed internal water efficiency and/or water recycling equipment to ensure that the development will pose no additional strain on adjoining sites or the existing drainage infrastructure; and</w:t>
      </w:r>
    </w:p>
    <w:p w:rsidR="00A14416" w:rsidRPr="00C85527" w:rsidRDefault="00A14416" w:rsidP="00A14416">
      <w:pPr>
        <w:pStyle w:val="ListParagraph"/>
        <w:numPr>
          <w:ilvl w:val="0"/>
          <w:numId w:val="2"/>
        </w:numPr>
        <w:contextualSpacing w:val="0"/>
        <w:rPr>
          <w:rFonts w:ascii="Arial" w:hAnsi="Arial" w:cs="Arial"/>
          <w:i/>
          <w:iCs/>
          <w:color w:val="00B050"/>
          <w:sz w:val="24"/>
          <w:szCs w:val="24"/>
        </w:rPr>
      </w:pPr>
      <w:r w:rsidRPr="00C85527">
        <w:rPr>
          <w:rFonts w:ascii="Arial" w:hAnsi="Arial" w:cs="Arial"/>
          <w:i/>
          <w:iCs/>
          <w:color w:val="00B050"/>
          <w:sz w:val="24"/>
          <w:szCs w:val="24"/>
        </w:rPr>
        <w:t>the proposed internal measures to ensure the development has been designed to cope with potential flooding;</w:t>
      </w:r>
    </w:p>
    <w:p w:rsidR="00A14416" w:rsidRPr="00C85527" w:rsidRDefault="00A14416" w:rsidP="00A14416">
      <w:pPr>
        <w:rPr>
          <w:rFonts w:ascii="Arial" w:hAnsi="Arial" w:cs="Arial"/>
          <w:i/>
          <w:iCs/>
          <w:color w:val="00B050"/>
          <w:sz w:val="24"/>
          <w:szCs w:val="24"/>
        </w:rPr>
      </w:pPr>
      <w:r w:rsidRPr="00C85527">
        <w:rPr>
          <w:rFonts w:ascii="Arial" w:hAnsi="Arial" w:cs="Arial"/>
          <w:i/>
          <w:iCs/>
          <w:color w:val="00B050"/>
          <w:sz w:val="24"/>
          <w:szCs w:val="24"/>
        </w:rPr>
        <w:t>Should be submitted to the Local Planning Authority and approved in writing.</w:t>
      </w:r>
    </w:p>
    <w:p w:rsidR="00A14416" w:rsidRDefault="00A14416" w:rsidP="00A14416">
      <w:pPr>
        <w:rPr>
          <w:rFonts w:ascii="Arial" w:hAnsi="Arial" w:cs="Arial"/>
          <w:i/>
          <w:sz w:val="24"/>
          <w:szCs w:val="24"/>
        </w:rPr>
      </w:pPr>
    </w:p>
    <w:p w:rsidR="006A0FCF" w:rsidRDefault="006A0FCF" w:rsidP="00060F19">
      <w:pPr>
        <w:rPr>
          <w:rFonts w:ascii="Arial" w:hAnsi="Arial" w:cs="Arial"/>
          <w:sz w:val="24"/>
          <w:szCs w:val="24"/>
        </w:rPr>
      </w:pPr>
      <w:bookmarkStart w:id="0" w:name="_GoBack"/>
      <w:bookmarkEnd w:id="0"/>
    </w:p>
    <w:sectPr w:rsidR="006A0F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805F8"/>
    <w:multiLevelType w:val="hybridMultilevel"/>
    <w:tmpl w:val="D55CC9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E585D38"/>
    <w:multiLevelType w:val="hybridMultilevel"/>
    <w:tmpl w:val="D35866C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40EB36AC"/>
    <w:multiLevelType w:val="hybridMultilevel"/>
    <w:tmpl w:val="D35866C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4FED74DD"/>
    <w:multiLevelType w:val="hybridMultilevel"/>
    <w:tmpl w:val="2A5A3C28"/>
    <w:lvl w:ilvl="0" w:tplc="6914993E">
      <w:start w:val="1"/>
      <w:numFmt w:val="bullet"/>
      <w:lvlText w:val="-"/>
      <w:lvlJc w:val="left"/>
      <w:pPr>
        <w:tabs>
          <w:tab w:val="num" w:pos="720"/>
        </w:tabs>
        <w:ind w:left="720" w:hanging="360"/>
      </w:pPr>
      <w:rPr>
        <w:rFonts w:ascii="Times New Roman" w:hAnsi="Times New Roman" w:hint="default"/>
      </w:rPr>
    </w:lvl>
    <w:lvl w:ilvl="1" w:tplc="5FD834F2">
      <w:start w:val="1"/>
      <w:numFmt w:val="bullet"/>
      <w:lvlText w:val="-"/>
      <w:lvlJc w:val="left"/>
      <w:pPr>
        <w:tabs>
          <w:tab w:val="num" w:pos="1440"/>
        </w:tabs>
        <w:ind w:left="1440" w:hanging="360"/>
      </w:pPr>
      <w:rPr>
        <w:rFonts w:ascii="Times New Roman" w:hAnsi="Times New Roman" w:hint="default"/>
      </w:rPr>
    </w:lvl>
    <w:lvl w:ilvl="2" w:tplc="A0DE0396" w:tentative="1">
      <w:start w:val="1"/>
      <w:numFmt w:val="bullet"/>
      <w:lvlText w:val="-"/>
      <w:lvlJc w:val="left"/>
      <w:pPr>
        <w:tabs>
          <w:tab w:val="num" w:pos="2160"/>
        </w:tabs>
        <w:ind w:left="2160" w:hanging="360"/>
      </w:pPr>
      <w:rPr>
        <w:rFonts w:ascii="Times New Roman" w:hAnsi="Times New Roman" w:hint="default"/>
      </w:rPr>
    </w:lvl>
    <w:lvl w:ilvl="3" w:tplc="F0D48F28" w:tentative="1">
      <w:start w:val="1"/>
      <w:numFmt w:val="bullet"/>
      <w:lvlText w:val="-"/>
      <w:lvlJc w:val="left"/>
      <w:pPr>
        <w:tabs>
          <w:tab w:val="num" w:pos="2880"/>
        </w:tabs>
        <w:ind w:left="2880" w:hanging="360"/>
      </w:pPr>
      <w:rPr>
        <w:rFonts w:ascii="Times New Roman" w:hAnsi="Times New Roman" w:hint="default"/>
      </w:rPr>
    </w:lvl>
    <w:lvl w:ilvl="4" w:tplc="6F4AFDA0" w:tentative="1">
      <w:start w:val="1"/>
      <w:numFmt w:val="bullet"/>
      <w:lvlText w:val="-"/>
      <w:lvlJc w:val="left"/>
      <w:pPr>
        <w:tabs>
          <w:tab w:val="num" w:pos="3600"/>
        </w:tabs>
        <w:ind w:left="3600" w:hanging="360"/>
      </w:pPr>
      <w:rPr>
        <w:rFonts w:ascii="Times New Roman" w:hAnsi="Times New Roman" w:hint="default"/>
      </w:rPr>
    </w:lvl>
    <w:lvl w:ilvl="5" w:tplc="86B8B016" w:tentative="1">
      <w:start w:val="1"/>
      <w:numFmt w:val="bullet"/>
      <w:lvlText w:val="-"/>
      <w:lvlJc w:val="left"/>
      <w:pPr>
        <w:tabs>
          <w:tab w:val="num" w:pos="4320"/>
        </w:tabs>
        <w:ind w:left="4320" w:hanging="360"/>
      </w:pPr>
      <w:rPr>
        <w:rFonts w:ascii="Times New Roman" w:hAnsi="Times New Roman" w:hint="default"/>
      </w:rPr>
    </w:lvl>
    <w:lvl w:ilvl="6" w:tplc="BF1047EA" w:tentative="1">
      <w:start w:val="1"/>
      <w:numFmt w:val="bullet"/>
      <w:lvlText w:val="-"/>
      <w:lvlJc w:val="left"/>
      <w:pPr>
        <w:tabs>
          <w:tab w:val="num" w:pos="5040"/>
        </w:tabs>
        <w:ind w:left="5040" w:hanging="360"/>
      </w:pPr>
      <w:rPr>
        <w:rFonts w:ascii="Times New Roman" w:hAnsi="Times New Roman" w:hint="default"/>
      </w:rPr>
    </w:lvl>
    <w:lvl w:ilvl="7" w:tplc="65B66934" w:tentative="1">
      <w:start w:val="1"/>
      <w:numFmt w:val="bullet"/>
      <w:lvlText w:val="-"/>
      <w:lvlJc w:val="left"/>
      <w:pPr>
        <w:tabs>
          <w:tab w:val="num" w:pos="5760"/>
        </w:tabs>
        <w:ind w:left="5760" w:hanging="360"/>
      </w:pPr>
      <w:rPr>
        <w:rFonts w:ascii="Times New Roman" w:hAnsi="Times New Roman" w:hint="default"/>
      </w:rPr>
    </w:lvl>
    <w:lvl w:ilvl="8" w:tplc="607E2646" w:tentative="1">
      <w:start w:val="1"/>
      <w:numFmt w:val="bullet"/>
      <w:lvlText w:val="-"/>
      <w:lvlJc w:val="left"/>
      <w:pPr>
        <w:tabs>
          <w:tab w:val="num" w:pos="6480"/>
        </w:tabs>
        <w:ind w:left="6480" w:hanging="360"/>
      </w:pPr>
      <w:rPr>
        <w:rFonts w:ascii="Times New Roman" w:hAnsi="Times New Roman" w:hint="default"/>
      </w:rPr>
    </w:lvl>
  </w:abstractNum>
  <w:abstractNum w:abstractNumId="4">
    <w:nsid w:val="5F9E029A"/>
    <w:multiLevelType w:val="hybridMultilevel"/>
    <w:tmpl w:val="0ADCE3A2"/>
    <w:lvl w:ilvl="0" w:tplc="6914993E">
      <w:start w:val="1"/>
      <w:numFmt w:val="bullet"/>
      <w:lvlText w:val="-"/>
      <w:lvlJc w:val="left"/>
      <w:pPr>
        <w:tabs>
          <w:tab w:val="num" w:pos="720"/>
        </w:tabs>
        <w:ind w:left="720" w:hanging="360"/>
      </w:pPr>
      <w:rPr>
        <w:rFonts w:ascii="Times New Roman" w:hAnsi="Times New Roman" w:hint="default"/>
      </w:rPr>
    </w:lvl>
    <w:lvl w:ilvl="1" w:tplc="5FD834F2">
      <w:start w:val="1"/>
      <w:numFmt w:val="bullet"/>
      <w:lvlText w:val="-"/>
      <w:lvlJc w:val="left"/>
      <w:pPr>
        <w:tabs>
          <w:tab w:val="num" w:pos="1440"/>
        </w:tabs>
        <w:ind w:left="1440" w:hanging="360"/>
      </w:pPr>
      <w:rPr>
        <w:rFonts w:ascii="Times New Roman" w:hAnsi="Times New Roman" w:hint="default"/>
      </w:rPr>
    </w:lvl>
    <w:lvl w:ilvl="2" w:tplc="A0DE0396" w:tentative="1">
      <w:start w:val="1"/>
      <w:numFmt w:val="bullet"/>
      <w:lvlText w:val="-"/>
      <w:lvlJc w:val="left"/>
      <w:pPr>
        <w:tabs>
          <w:tab w:val="num" w:pos="2160"/>
        </w:tabs>
        <w:ind w:left="2160" w:hanging="360"/>
      </w:pPr>
      <w:rPr>
        <w:rFonts w:ascii="Times New Roman" w:hAnsi="Times New Roman" w:hint="default"/>
      </w:rPr>
    </w:lvl>
    <w:lvl w:ilvl="3" w:tplc="F0D48F28" w:tentative="1">
      <w:start w:val="1"/>
      <w:numFmt w:val="bullet"/>
      <w:lvlText w:val="-"/>
      <w:lvlJc w:val="left"/>
      <w:pPr>
        <w:tabs>
          <w:tab w:val="num" w:pos="2880"/>
        </w:tabs>
        <w:ind w:left="2880" w:hanging="360"/>
      </w:pPr>
      <w:rPr>
        <w:rFonts w:ascii="Times New Roman" w:hAnsi="Times New Roman" w:hint="default"/>
      </w:rPr>
    </w:lvl>
    <w:lvl w:ilvl="4" w:tplc="6F4AFDA0" w:tentative="1">
      <w:start w:val="1"/>
      <w:numFmt w:val="bullet"/>
      <w:lvlText w:val="-"/>
      <w:lvlJc w:val="left"/>
      <w:pPr>
        <w:tabs>
          <w:tab w:val="num" w:pos="3600"/>
        </w:tabs>
        <w:ind w:left="3600" w:hanging="360"/>
      </w:pPr>
      <w:rPr>
        <w:rFonts w:ascii="Times New Roman" w:hAnsi="Times New Roman" w:hint="default"/>
      </w:rPr>
    </w:lvl>
    <w:lvl w:ilvl="5" w:tplc="86B8B016" w:tentative="1">
      <w:start w:val="1"/>
      <w:numFmt w:val="bullet"/>
      <w:lvlText w:val="-"/>
      <w:lvlJc w:val="left"/>
      <w:pPr>
        <w:tabs>
          <w:tab w:val="num" w:pos="4320"/>
        </w:tabs>
        <w:ind w:left="4320" w:hanging="360"/>
      </w:pPr>
      <w:rPr>
        <w:rFonts w:ascii="Times New Roman" w:hAnsi="Times New Roman" w:hint="default"/>
      </w:rPr>
    </w:lvl>
    <w:lvl w:ilvl="6" w:tplc="BF1047EA" w:tentative="1">
      <w:start w:val="1"/>
      <w:numFmt w:val="bullet"/>
      <w:lvlText w:val="-"/>
      <w:lvlJc w:val="left"/>
      <w:pPr>
        <w:tabs>
          <w:tab w:val="num" w:pos="5040"/>
        </w:tabs>
        <w:ind w:left="5040" w:hanging="360"/>
      </w:pPr>
      <w:rPr>
        <w:rFonts w:ascii="Times New Roman" w:hAnsi="Times New Roman" w:hint="default"/>
      </w:rPr>
    </w:lvl>
    <w:lvl w:ilvl="7" w:tplc="65B66934" w:tentative="1">
      <w:start w:val="1"/>
      <w:numFmt w:val="bullet"/>
      <w:lvlText w:val="-"/>
      <w:lvlJc w:val="left"/>
      <w:pPr>
        <w:tabs>
          <w:tab w:val="num" w:pos="5760"/>
        </w:tabs>
        <w:ind w:left="5760" w:hanging="360"/>
      </w:pPr>
      <w:rPr>
        <w:rFonts w:ascii="Times New Roman" w:hAnsi="Times New Roman" w:hint="default"/>
      </w:rPr>
    </w:lvl>
    <w:lvl w:ilvl="8" w:tplc="607E2646" w:tentative="1">
      <w:start w:val="1"/>
      <w:numFmt w:val="bullet"/>
      <w:lvlText w:val="-"/>
      <w:lvlJc w:val="left"/>
      <w:pPr>
        <w:tabs>
          <w:tab w:val="num" w:pos="6480"/>
        </w:tabs>
        <w:ind w:left="6480" w:hanging="360"/>
      </w:pPr>
      <w:rPr>
        <w:rFonts w:ascii="Times New Roman" w:hAnsi="Times New Roman" w:hint="default"/>
      </w:rPr>
    </w:lvl>
  </w:abstractNum>
  <w:abstractNum w:abstractNumId="5">
    <w:nsid w:val="744E1DFA"/>
    <w:multiLevelType w:val="hybridMultilevel"/>
    <w:tmpl w:val="D35866C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F19"/>
    <w:rsid w:val="00060F19"/>
    <w:rsid w:val="001429C9"/>
    <w:rsid w:val="00190E14"/>
    <w:rsid w:val="002026A1"/>
    <w:rsid w:val="004066CD"/>
    <w:rsid w:val="006A0FCF"/>
    <w:rsid w:val="00864C7D"/>
    <w:rsid w:val="00886739"/>
    <w:rsid w:val="008C12F9"/>
    <w:rsid w:val="009703F8"/>
    <w:rsid w:val="00A14416"/>
    <w:rsid w:val="00AA3972"/>
    <w:rsid w:val="00AD0222"/>
    <w:rsid w:val="00B8309D"/>
    <w:rsid w:val="00C85527"/>
    <w:rsid w:val="00CA488C"/>
    <w:rsid w:val="00DB484F"/>
    <w:rsid w:val="00E04115"/>
    <w:rsid w:val="00F20E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F19"/>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060F19"/>
    <w:rPr>
      <w:rFonts w:ascii="Arial" w:hAnsi="Arial" w:cs="Arial"/>
      <w:sz w:val="24"/>
      <w:szCs w:val="24"/>
    </w:rPr>
  </w:style>
  <w:style w:type="character" w:customStyle="1" w:styleId="PlainTextChar">
    <w:name w:val="Plain Text Char"/>
    <w:basedOn w:val="DefaultParagraphFont"/>
    <w:link w:val="PlainText"/>
    <w:uiPriority w:val="99"/>
    <w:semiHidden/>
    <w:rsid w:val="00060F19"/>
    <w:rPr>
      <w:rFonts w:ascii="Arial" w:hAnsi="Arial" w:cs="Arial"/>
      <w:sz w:val="24"/>
      <w:szCs w:val="24"/>
    </w:rPr>
  </w:style>
  <w:style w:type="paragraph" w:styleId="BalloonText">
    <w:name w:val="Balloon Text"/>
    <w:basedOn w:val="Normal"/>
    <w:link w:val="BalloonTextChar"/>
    <w:uiPriority w:val="99"/>
    <w:semiHidden/>
    <w:unhideWhenUsed/>
    <w:rsid w:val="00060F19"/>
    <w:rPr>
      <w:rFonts w:ascii="Tahoma" w:hAnsi="Tahoma" w:cs="Tahoma"/>
      <w:sz w:val="16"/>
      <w:szCs w:val="16"/>
    </w:rPr>
  </w:style>
  <w:style w:type="character" w:customStyle="1" w:styleId="BalloonTextChar">
    <w:name w:val="Balloon Text Char"/>
    <w:basedOn w:val="DefaultParagraphFont"/>
    <w:link w:val="BalloonText"/>
    <w:uiPriority w:val="99"/>
    <w:semiHidden/>
    <w:rsid w:val="00060F19"/>
    <w:rPr>
      <w:rFonts w:ascii="Tahoma" w:hAnsi="Tahoma" w:cs="Tahoma"/>
      <w:sz w:val="16"/>
      <w:szCs w:val="16"/>
    </w:rPr>
  </w:style>
  <w:style w:type="character" w:styleId="Hyperlink">
    <w:name w:val="Hyperlink"/>
    <w:basedOn w:val="DefaultParagraphFont"/>
    <w:uiPriority w:val="99"/>
    <w:unhideWhenUsed/>
    <w:rsid w:val="006A0FCF"/>
    <w:rPr>
      <w:color w:val="0000FF" w:themeColor="hyperlink"/>
      <w:u w:val="single"/>
    </w:rPr>
  </w:style>
  <w:style w:type="paragraph" w:styleId="ListParagraph">
    <w:name w:val="List Paragraph"/>
    <w:basedOn w:val="Normal"/>
    <w:uiPriority w:val="34"/>
    <w:qFormat/>
    <w:rsid w:val="006A0FCF"/>
    <w:pPr>
      <w:ind w:left="720"/>
      <w:contextualSpacing/>
    </w:pPr>
  </w:style>
  <w:style w:type="table" w:styleId="TableGrid">
    <w:name w:val="Table Grid"/>
    <w:basedOn w:val="TableNormal"/>
    <w:uiPriority w:val="59"/>
    <w:rsid w:val="00864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F19"/>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060F19"/>
    <w:rPr>
      <w:rFonts w:ascii="Arial" w:hAnsi="Arial" w:cs="Arial"/>
      <w:sz w:val="24"/>
      <w:szCs w:val="24"/>
    </w:rPr>
  </w:style>
  <w:style w:type="character" w:customStyle="1" w:styleId="PlainTextChar">
    <w:name w:val="Plain Text Char"/>
    <w:basedOn w:val="DefaultParagraphFont"/>
    <w:link w:val="PlainText"/>
    <w:uiPriority w:val="99"/>
    <w:semiHidden/>
    <w:rsid w:val="00060F19"/>
    <w:rPr>
      <w:rFonts w:ascii="Arial" w:hAnsi="Arial" w:cs="Arial"/>
      <w:sz w:val="24"/>
      <w:szCs w:val="24"/>
    </w:rPr>
  </w:style>
  <w:style w:type="paragraph" w:styleId="BalloonText">
    <w:name w:val="Balloon Text"/>
    <w:basedOn w:val="Normal"/>
    <w:link w:val="BalloonTextChar"/>
    <w:uiPriority w:val="99"/>
    <w:semiHidden/>
    <w:unhideWhenUsed/>
    <w:rsid w:val="00060F19"/>
    <w:rPr>
      <w:rFonts w:ascii="Tahoma" w:hAnsi="Tahoma" w:cs="Tahoma"/>
      <w:sz w:val="16"/>
      <w:szCs w:val="16"/>
    </w:rPr>
  </w:style>
  <w:style w:type="character" w:customStyle="1" w:styleId="BalloonTextChar">
    <w:name w:val="Balloon Text Char"/>
    <w:basedOn w:val="DefaultParagraphFont"/>
    <w:link w:val="BalloonText"/>
    <w:uiPriority w:val="99"/>
    <w:semiHidden/>
    <w:rsid w:val="00060F19"/>
    <w:rPr>
      <w:rFonts w:ascii="Tahoma" w:hAnsi="Tahoma" w:cs="Tahoma"/>
      <w:sz w:val="16"/>
      <w:szCs w:val="16"/>
    </w:rPr>
  </w:style>
  <w:style w:type="character" w:styleId="Hyperlink">
    <w:name w:val="Hyperlink"/>
    <w:basedOn w:val="DefaultParagraphFont"/>
    <w:uiPriority w:val="99"/>
    <w:unhideWhenUsed/>
    <w:rsid w:val="006A0FCF"/>
    <w:rPr>
      <w:color w:val="0000FF" w:themeColor="hyperlink"/>
      <w:u w:val="single"/>
    </w:rPr>
  </w:style>
  <w:style w:type="paragraph" w:styleId="ListParagraph">
    <w:name w:val="List Paragraph"/>
    <w:basedOn w:val="Normal"/>
    <w:uiPriority w:val="34"/>
    <w:qFormat/>
    <w:rsid w:val="006A0FCF"/>
    <w:pPr>
      <w:ind w:left="720"/>
      <w:contextualSpacing/>
    </w:pPr>
  </w:style>
  <w:style w:type="table" w:styleId="TableGrid">
    <w:name w:val="Table Grid"/>
    <w:basedOn w:val="TableNormal"/>
    <w:uiPriority w:val="59"/>
    <w:rsid w:val="00864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067104">
      <w:bodyDiv w:val="1"/>
      <w:marLeft w:val="0"/>
      <w:marRight w:val="0"/>
      <w:marTop w:val="0"/>
      <w:marBottom w:val="0"/>
      <w:divBdr>
        <w:top w:val="none" w:sz="0" w:space="0" w:color="auto"/>
        <w:left w:val="none" w:sz="0" w:space="0" w:color="auto"/>
        <w:bottom w:val="none" w:sz="0" w:space="0" w:color="auto"/>
        <w:right w:val="none" w:sz="0" w:space="0" w:color="auto"/>
      </w:divBdr>
    </w:div>
    <w:div w:id="1296446959">
      <w:bodyDiv w:val="1"/>
      <w:marLeft w:val="0"/>
      <w:marRight w:val="0"/>
      <w:marTop w:val="0"/>
      <w:marBottom w:val="0"/>
      <w:divBdr>
        <w:top w:val="none" w:sz="0" w:space="0" w:color="auto"/>
        <w:left w:val="none" w:sz="0" w:space="0" w:color="auto"/>
        <w:bottom w:val="none" w:sz="0" w:space="0" w:color="auto"/>
        <w:right w:val="none" w:sz="0" w:space="0" w:color="auto"/>
      </w:divBdr>
    </w:div>
    <w:div w:id="2145393598">
      <w:bodyDiv w:val="1"/>
      <w:marLeft w:val="0"/>
      <w:marRight w:val="0"/>
      <w:marTop w:val="0"/>
      <w:marBottom w:val="0"/>
      <w:divBdr>
        <w:top w:val="none" w:sz="0" w:space="0" w:color="auto"/>
        <w:left w:val="none" w:sz="0" w:space="0" w:color="auto"/>
        <w:bottom w:val="none" w:sz="0" w:space="0" w:color="auto"/>
        <w:right w:val="none" w:sz="0" w:space="0" w:color="auto"/>
      </w:divBdr>
      <w:divsChild>
        <w:div w:id="417286494">
          <w:marLeft w:val="1627"/>
          <w:marRight w:val="0"/>
          <w:marTop w:val="77"/>
          <w:marBottom w:val="0"/>
          <w:divBdr>
            <w:top w:val="none" w:sz="0" w:space="0" w:color="auto"/>
            <w:left w:val="none" w:sz="0" w:space="0" w:color="auto"/>
            <w:bottom w:val="none" w:sz="0" w:space="0" w:color="auto"/>
            <w:right w:val="none" w:sz="0" w:space="0" w:color="auto"/>
          </w:divBdr>
        </w:div>
        <w:div w:id="707871353">
          <w:marLeft w:val="1627"/>
          <w:marRight w:val="0"/>
          <w:marTop w:val="77"/>
          <w:marBottom w:val="0"/>
          <w:divBdr>
            <w:top w:val="none" w:sz="0" w:space="0" w:color="auto"/>
            <w:left w:val="none" w:sz="0" w:space="0" w:color="auto"/>
            <w:bottom w:val="none" w:sz="0" w:space="0" w:color="auto"/>
            <w:right w:val="none" w:sz="0" w:space="0" w:color="auto"/>
          </w:divBdr>
        </w:div>
        <w:div w:id="879514625">
          <w:marLeft w:val="1627"/>
          <w:marRight w:val="0"/>
          <w:marTop w:val="77"/>
          <w:marBottom w:val="0"/>
          <w:divBdr>
            <w:top w:val="none" w:sz="0" w:space="0" w:color="auto"/>
            <w:left w:val="none" w:sz="0" w:space="0" w:color="auto"/>
            <w:bottom w:val="none" w:sz="0" w:space="0" w:color="auto"/>
            <w:right w:val="none" w:sz="0" w:space="0" w:color="auto"/>
          </w:divBdr>
        </w:div>
        <w:div w:id="1826781436">
          <w:marLeft w:val="1627"/>
          <w:marRight w:val="0"/>
          <w:marTop w:val="77"/>
          <w:marBottom w:val="0"/>
          <w:divBdr>
            <w:top w:val="none" w:sz="0" w:space="0" w:color="auto"/>
            <w:left w:val="none" w:sz="0" w:space="0" w:color="auto"/>
            <w:bottom w:val="none" w:sz="0" w:space="0" w:color="auto"/>
            <w:right w:val="none" w:sz="0" w:space="0" w:color="auto"/>
          </w:divBdr>
        </w:div>
        <w:div w:id="1292053750">
          <w:marLeft w:val="1627"/>
          <w:marRight w:val="0"/>
          <w:marTop w:val="77"/>
          <w:marBottom w:val="0"/>
          <w:divBdr>
            <w:top w:val="none" w:sz="0" w:space="0" w:color="auto"/>
            <w:left w:val="none" w:sz="0" w:space="0" w:color="auto"/>
            <w:bottom w:val="none" w:sz="0" w:space="0" w:color="auto"/>
            <w:right w:val="none" w:sz="0" w:space="0" w:color="auto"/>
          </w:divBdr>
        </w:div>
        <w:div w:id="1962420511">
          <w:marLeft w:val="446"/>
          <w:marRight w:val="0"/>
          <w:marTop w:val="77"/>
          <w:marBottom w:val="0"/>
          <w:divBdr>
            <w:top w:val="none" w:sz="0" w:space="0" w:color="auto"/>
            <w:left w:val="none" w:sz="0" w:space="0" w:color="auto"/>
            <w:bottom w:val="none" w:sz="0" w:space="0" w:color="auto"/>
            <w:right w:val="none" w:sz="0" w:space="0" w:color="auto"/>
          </w:divBdr>
        </w:div>
        <w:div w:id="345719606">
          <w:marLeft w:val="446"/>
          <w:marRight w:val="0"/>
          <w:marTop w:val="7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3</Pages>
  <Words>404</Words>
  <Characters>2306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London Borough of Camden</Company>
  <LinksUpToDate>false</LinksUpToDate>
  <CharactersWithSpaces>2705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Farthing, Amy</dc:creator>
  <cp:lastModifiedBy>Lopez, Ana</cp:lastModifiedBy>
  <cp:revision>12</cp:revision>
  <dcterms:created xsi:type="dcterms:W3CDTF">2015-06-08T10:46:00Z</dcterms:created>
  <dcterms:modified xsi:type="dcterms:W3CDTF">2016-09-22T14:27:00Z</dcterms:modified>
</cp:coreProperties>
</file>