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BD" w:rsidRPr="00A2288D" w:rsidRDefault="00F83ABD" w:rsidP="00F83ABD">
      <w:pPr>
        <w:tabs>
          <w:tab w:val="left" w:pos="2127"/>
        </w:tabs>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0"/>
        <w:gridCol w:w="2158"/>
        <w:gridCol w:w="284"/>
        <w:gridCol w:w="3318"/>
        <w:gridCol w:w="84"/>
        <w:gridCol w:w="1275"/>
      </w:tblGrid>
      <w:tr w:rsidR="00F83ABD" w:rsidRPr="00A2288D" w:rsidTr="00C151D7">
        <w:trPr>
          <w:cantSplit/>
          <w:trHeight w:val="345"/>
        </w:trPr>
        <w:tc>
          <w:tcPr>
            <w:tcW w:w="1980" w:type="dxa"/>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pPr>
              <w:tabs>
                <w:tab w:val="left" w:pos="2127"/>
              </w:tabs>
              <w:rPr>
                <w:rFonts w:ascii="Arial" w:hAnsi="Arial" w:cs="Arial"/>
                <w:b/>
              </w:rPr>
            </w:pPr>
            <w:r w:rsidRPr="00A2288D">
              <w:rPr>
                <w:rFonts w:ascii="Arial" w:hAnsi="Arial" w:cs="Arial"/>
                <w:b/>
              </w:rPr>
              <w:t>Address:</w:t>
            </w:r>
            <w:r w:rsidRPr="00A2288D">
              <w:rPr>
                <w:rFonts w:ascii="Arial" w:hAnsi="Arial" w:cs="Arial"/>
              </w:rPr>
              <w:t xml:space="preserve"> </w:t>
            </w:r>
          </w:p>
        </w:tc>
        <w:tc>
          <w:tcPr>
            <w:tcW w:w="6480" w:type="dxa"/>
            <w:gridSpan w:val="4"/>
            <w:tcBorders>
              <w:top w:val="single" w:sz="4" w:space="0" w:color="auto"/>
              <w:left w:val="single" w:sz="4" w:space="0" w:color="auto"/>
              <w:bottom w:val="single" w:sz="4" w:space="0" w:color="auto"/>
              <w:right w:val="single" w:sz="4" w:space="0" w:color="auto"/>
            </w:tcBorders>
            <w:vAlign w:val="center"/>
            <w:hideMark/>
          </w:tcPr>
          <w:p w:rsidR="00F83ABD" w:rsidRPr="00A2288D" w:rsidRDefault="00FF4297">
            <w:pPr>
              <w:tabs>
                <w:tab w:val="left" w:pos="2127"/>
              </w:tabs>
              <w:rPr>
                <w:rFonts w:ascii="Arial" w:hAnsi="Arial" w:cs="Arial"/>
                <w:b/>
              </w:rPr>
            </w:pPr>
            <w:r w:rsidRPr="00A2288D">
              <w:rPr>
                <w:rFonts w:ascii="Arial" w:hAnsi="Arial" w:cs="Arial"/>
                <w:b/>
              </w:rPr>
              <w:t>4 Chamberlain Street</w:t>
            </w:r>
          </w:p>
          <w:p w:rsidR="00F83ABD" w:rsidRPr="00A2288D" w:rsidRDefault="00F83ABD">
            <w:pPr>
              <w:tabs>
                <w:tab w:val="left" w:pos="2127"/>
              </w:tabs>
              <w:rPr>
                <w:rFonts w:ascii="Arial" w:hAnsi="Arial" w:cs="Arial"/>
                <w:b/>
              </w:rPr>
            </w:pPr>
            <w:r w:rsidRPr="00A2288D">
              <w:rPr>
                <w:rFonts w:ascii="Arial" w:hAnsi="Arial" w:cs="Arial"/>
                <w:b/>
              </w:rPr>
              <w:t xml:space="preserve">London </w:t>
            </w:r>
          </w:p>
          <w:p w:rsidR="00F83ABD" w:rsidRPr="00A2288D" w:rsidRDefault="00F83ABD">
            <w:pPr>
              <w:tabs>
                <w:tab w:val="left" w:pos="2127"/>
              </w:tabs>
              <w:rPr>
                <w:rFonts w:ascii="Arial" w:hAnsi="Arial" w:cs="Arial"/>
                <w:b/>
              </w:rPr>
            </w:pPr>
            <w:r w:rsidRPr="00A2288D">
              <w:rPr>
                <w:rFonts w:ascii="Arial" w:hAnsi="Arial" w:cs="Arial"/>
                <w:b/>
              </w:rPr>
              <w:t>NW</w:t>
            </w:r>
            <w:r w:rsidR="00FF4297" w:rsidRPr="00A2288D">
              <w:rPr>
                <w:rFonts w:ascii="Arial" w:hAnsi="Arial" w:cs="Arial"/>
                <w:b/>
              </w:rPr>
              <w:t>1 8XB</w:t>
            </w:r>
          </w:p>
        </w:tc>
        <w:tc>
          <w:tcPr>
            <w:tcW w:w="1359" w:type="dxa"/>
            <w:gridSpan w:val="2"/>
            <w:vMerge w:val="restart"/>
            <w:tcBorders>
              <w:top w:val="single" w:sz="4" w:space="0" w:color="auto"/>
              <w:left w:val="nil"/>
              <w:bottom w:val="single" w:sz="4" w:space="0" w:color="auto"/>
              <w:right w:val="single" w:sz="4" w:space="0" w:color="auto"/>
            </w:tcBorders>
            <w:vAlign w:val="center"/>
          </w:tcPr>
          <w:p w:rsidR="00F83ABD" w:rsidRPr="00C151D7" w:rsidRDefault="00C151D7">
            <w:pPr>
              <w:tabs>
                <w:tab w:val="left" w:pos="2127"/>
              </w:tabs>
              <w:jc w:val="center"/>
              <w:rPr>
                <w:rFonts w:ascii="Arial" w:hAnsi="Arial" w:cs="Arial"/>
                <w:b/>
                <w:sz w:val="72"/>
                <w:szCs w:val="72"/>
              </w:rPr>
            </w:pPr>
            <w:r w:rsidRPr="00C151D7">
              <w:rPr>
                <w:rFonts w:ascii="Arial" w:hAnsi="Arial" w:cs="Arial"/>
                <w:b/>
                <w:sz w:val="72"/>
                <w:szCs w:val="72"/>
              </w:rPr>
              <w:t>6</w:t>
            </w:r>
          </w:p>
        </w:tc>
      </w:tr>
      <w:tr w:rsidR="00F83ABD" w:rsidRPr="00A2288D" w:rsidTr="00C151D7">
        <w:trPr>
          <w:cantSplit/>
          <w:trHeight w:val="345"/>
        </w:trPr>
        <w:tc>
          <w:tcPr>
            <w:tcW w:w="1980" w:type="dxa"/>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pPr>
              <w:tabs>
                <w:tab w:val="left" w:pos="2127"/>
              </w:tabs>
              <w:rPr>
                <w:rFonts w:ascii="Arial" w:hAnsi="Arial" w:cs="Arial"/>
                <w:b/>
              </w:rPr>
            </w:pPr>
            <w:r w:rsidRPr="00A2288D">
              <w:rPr>
                <w:rFonts w:ascii="Arial" w:hAnsi="Arial" w:cs="Arial"/>
                <w:b/>
              </w:rPr>
              <w:t xml:space="preserve">Application Number: </w:t>
            </w:r>
          </w:p>
        </w:tc>
        <w:tc>
          <w:tcPr>
            <w:tcW w:w="2878" w:type="dxa"/>
            <w:gridSpan w:val="2"/>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rsidP="009C544A">
            <w:pPr>
              <w:tabs>
                <w:tab w:val="left" w:pos="2127"/>
              </w:tabs>
              <w:rPr>
                <w:rFonts w:ascii="Arial" w:hAnsi="Arial" w:cs="Arial"/>
              </w:rPr>
            </w:pPr>
            <w:r w:rsidRPr="00A2288D">
              <w:rPr>
                <w:rFonts w:ascii="Arial" w:hAnsi="Arial" w:cs="Arial"/>
              </w:rPr>
              <w:t>2015/4</w:t>
            </w:r>
            <w:r w:rsidR="00FF4297" w:rsidRPr="00A2288D">
              <w:rPr>
                <w:rFonts w:ascii="Arial" w:hAnsi="Arial" w:cs="Arial"/>
              </w:rPr>
              <w:t>8</w:t>
            </w:r>
            <w:r w:rsidR="009C544A" w:rsidRPr="00A2288D">
              <w:rPr>
                <w:rFonts w:ascii="Arial" w:hAnsi="Arial" w:cs="Arial"/>
              </w:rPr>
              <w:t>96</w:t>
            </w:r>
            <w:r w:rsidRPr="00A2288D">
              <w:rPr>
                <w:rFonts w:ascii="Arial" w:hAnsi="Arial" w:cs="Arial"/>
              </w:rPr>
              <w:t>/P</w:t>
            </w:r>
          </w:p>
        </w:tc>
        <w:tc>
          <w:tcPr>
            <w:tcW w:w="3602" w:type="dxa"/>
            <w:gridSpan w:val="2"/>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rsidP="00FF4297">
            <w:pPr>
              <w:tabs>
                <w:tab w:val="left" w:pos="2127"/>
              </w:tabs>
              <w:rPr>
                <w:rFonts w:ascii="Arial" w:hAnsi="Arial" w:cs="Arial"/>
                <w:b/>
              </w:rPr>
            </w:pPr>
            <w:r w:rsidRPr="00A2288D">
              <w:rPr>
                <w:rFonts w:ascii="Arial" w:hAnsi="Arial" w:cs="Arial"/>
                <w:b/>
              </w:rPr>
              <w:t xml:space="preserve">Officer: </w:t>
            </w:r>
            <w:r w:rsidR="00FF4297" w:rsidRPr="00A2288D">
              <w:rPr>
                <w:rFonts w:ascii="Arial" w:hAnsi="Arial" w:cs="Arial"/>
                <w:b/>
              </w:rPr>
              <w:t>Nick Baxter</w:t>
            </w:r>
          </w:p>
        </w:tc>
        <w:tc>
          <w:tcPr>
            <w:tcW w:w="1359" w:type="dxa"/>
            <w:gridSpan w:val="2"/>
            <w:vMerge/>
            <w:tcBorders>
              <w:top w:val="single" w:sz="4" w:space="0" w:color="auto"/>
              <w:left w:val="nil"/>
              <w:bottom w:val="single" w:sz="4" w:space="0" w:color="auto"/>
              <w:right w:val="single" w:sz="4" w:space="0" w:color="auto"/>
            </w:tcBorders>
            <w:vAlign w:val="center"/>
            <w:hideMark/>
          </w:tcPr>
          <w:p w:rsidR="00F83ABD" w:rsidRPr="00A2288D" w:rsidRDefault="00F83ABD">
            <w:pPr>
              <w:rPr>
                <w:rFonts w:ascii="Arial" w:hAnsi="Arial" w:cs="Arial"/>
                <w:b/>
              </w:rPr>
            </w:pPr>
          </w:p>
        </w:tc>
      </w:tr>
      <w:tr w:rsidR="00F83ABD" w:rsidRPr="00A2288D" w:rsidTr="00C151D7">
        <w:trPr>
          <w:cantSplit/>
          <w:trHeight w:val="345"/>
        </w:trPr>
        <w:tc>
          <w:tcPr>
            <w:tcW w:w="1980" w:type="dxa"/>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pPr>
              <w:tabs>
                <w:tab w:val="left" w:pos="2127"/>
              </w:tabs>
              <w:rPr>
                <w:rFonts w:ascii="Arial" w:hAnsi="Arial" w:cs="Arial"/>
                <w:b/>
              </w:rPr>
            </w:pPr>
            <w:r w:rsidRPr="00A2288D">
              <w:rPr>
                <w:rFonts w:ascii="Arial" w:hAnsi="Arial" w:cs="Arial"/>
                <w:b/>
              </w:rPr>
              <w:t>Ward:</w:t>
            </w:r>
          </w:p>
        </w:tc>
        <w:tc>
          <w:tcPr>
            <w:tcW w:w="2878" w:type="dxa"/>
            <w:gridSpan w:val="2"/>
            <w:tcBorders>
              <w:top w:val="single" w:sz="4" w:space="0" w:color="auto"/>
              <w:left w:val="single" w:sz="4" w:space="0" w:color="auto"/>
              <w:bottom w:val="single" w:sz="4" w:space="0" w:color="auto"/>
              <w:right w:val="nil"/>
            </w:tcBorders>
            <w:vAlign w:val="center"/>
            <w:hideMark/>
          </w:tcPr>
          <w:p w:rsidR="00F83ABD" w:rsidRPr="00A2288D" w:rsidRDefault="00FF4297" w:rsidP="00F94916">
            <w:pPr>
              <w:tabs>
                <w:tab w:val="left" w:pos="2662"/>
                <w:tab w:val="left" w:pos="4046"/>
              </w:tabs>
              <w:rPr>
                <w:rFonts w:ascii="Arial" w:hAnsi="Arial" w:cs="Arial"/>
              </w:rPr>
            </w:pPr>
            <w:r w:rsidRPr="00A2288D">
              <w:rPr>
                <w:rFonts w:ascii="Arial" w:hAnsi="Arial" w:cs="Arial"/>
              </w:rPr>
              <w:t xml:space="preserve">Camden Town with Primrose Hill </w:t>
            </w:r>
          </w:p>
        </w:tc>
        <w:tc>
          <w:tcPr>
            <w:tcW w:w="3602" w:type="dxa"/>
            <w:gridSpan w:val="2"/>
            <w:tcBorders>
              <w:top w:val="single" w:sz="4" w:space="0" w:color="auto"/>
              <w:left w:val="nil"/>
              <w:bottom w:val="single" w:sz="4" w:space="0" w:color="auto"/>
              <w:right w:val="single" w:sz="4" w:space="0" w:color="auto"/>
            </w:tcBorders>
            <w:vAlign w:val="center"/>
          </w:tcPr>
          <w:p w:rsidR="00F83ABD" w:rsidRPr="00A2288D" w:rsidRDefault="00F83ABD">
            <w:pPr>
              <w:tabs>
                <w:tab w:val="left" w:pos="2127"/>
              </w:tabs>
              <w:rPr>
                <w:rFonts w:ascii="Arial" w:hAnsi="Arial" w:cs="Arial"/>
                <w:b/>
              </w:rPr>
            </w:pPr>
          </w:p>
        </w:tc>
        <w:tc>
          <w:tcPr>
            <w:tcW w:w="1359" w:type="dxa"/>
            <w:gridSpan w:val="2"/>
            <w:vMerge/>
            <w:tcBorders>
              <w:top w:val="single" w:sz="4" w:space="0" w:color="auto"/>
              <w:left w:val="nil"/>
              <w:bottom w:val="single" w:sz="4" w:space="0" w:color="auto"/>
              <w:right w:val="single" w:sz="4" w:space="0" w:color="auto"/>
            </w:tcBorders>
            <w:vAlign w:val="center"/>
            <w:hideMark/>
          </w:tcPr>
          <w:p w:rsidR="00F83ABD" w:rsidRPr="00A2288D" w:rsidRDefault="00F83ABD">
            <w:pPr>
              <w:rPr>
                <w:rFonts w:ascii="Arial" w:hAnsi="Arial" w:cs="Arial"/>
                <w:b/>
              </w:rPr>
            </w:pPr>
          </w:p>
        </w:tc>
      </w:tr>
      <w:tr w:rsidR="00F83ABD" w:rsidRPr="00A2288D" w:rsidTr="00C151D7">
        <w:trPr>
          <w:trHeight w:val="345"/>
        </w:trPr>
        <w:tc>
          <w:tcPr>
            <w:tcW w:w="1980" w:type="dxa"/>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pPr>
              <w:tabs>
                <w:tab w:val="left" w:pos="2127"/>
              </w:tabs>
              <w:rPr>
                <w:rFonts w:ascii="Arial" w:hAnsi="Arial" w:cs="Arial"/>
                <w:b/>
              </w:rPr>
            </w:pPr>
            <w:r w:rsidRPr="00A2288D">
              <w:rPr>
                <w:rFonts w:ascii="Arial" w:hAnsi="Arial" w:cs="Arial"/>
                <w:b/>
              </w:rPr>
              <w:t>Date Received:</w:t>
            </w:r>
          </w:p>
        </w:tc>
        <w:tc>
          <w:tcPr>
            <w:tcW w:w="7839" w:type="dxa"/>
            <w:gridSpan w:val="6"/>
            <w:tcBorders>
              <w:top w:val="single" w:sz="4" w:space="0" w:color="auto"/>
              <w:left w:val="single" w:sz="4" w:space="0" w:color="auto"/>
              <w:bottom w:val="single" w:sz="4" w:space="0" w:color="auto"/>
              <w:right w:val="single" w:sz="4" w:space="0" w:color="auto"/>
            </w:tcBorders>
            <w:vAlign w:val="center"/>
            <w:hideMark/>
          </w:tcPr>
          <w:p w:rsidR="00F83ABD" w:rsidRPr="00A2288D" w:rsidRDefault="00FF4297">
            <w:pPr>
              <w:tabs>
                <w:tab w:val="left" w:pos="2127"/>
              </w:tabs>
              <w:rPr>
                <w:rFonts w:ascii="Arial" w:hAnsi="Arial" w:cs="Arial"/>
                <w:b/>
              </w:rPr>
            </w:pPr>
            <w:r w:rsidRPr="00A2288D">
              <w:rPr>
                <w:rFonts w:ascii="Arial" w:hAnsi="Arial" w:cs="Arial"/>
                <w:b/>
              </w:rPr>
              <w:t>26</w:t>
            </w:r>
            <w:r w:rsidR="00F83ABD" w:rsidRPr="00A2288D">
              <w:rPr>
                <w:rFonts w:ascii="Arial" w:hAnsi="Arial" w:cs="Arial"/>
                <w:b/>
              </w:rPr>
              <w:t>/08/2015</w:t>
            </w:r>
          </w:p>
        </w:tc>
      </w:tr>
      <w:tr w:rsidR="00F83ABD" w:rsidRPr="00A2288D" w:rsidTr="00C151D7">
        <w:trPr>
          <w:cantSplit/>
          <w:trHeight w:val="360"/>
        </w:trPr>
        <w:tc>
          <w:tcPr>
            <w:tcW w:w="9819" w:type="dxa"/>
            <w:gridSpan w:val="7"/>
            <w:tcBorders>
              <w:top w:val="single" w:sz="4" w:space="0" w:color="auto"/>
              <w:left w:val="single" w:sz="4" w:space="0" w:color="auto"/>
              <w:bottom w:val="single" w:sz="4" w:space="0" w:color="auto"/>
              <w:right w:val="single" w:sz="4" w:space="0" w:color="auto"/>
            </w:tcBorders>
            <w:vAlign w:val="center"/>
            <w:hideMark/>
          </w:tcPr>
          <w:p w:rsidR="00513C4F" w:rsidRPr="00A2288D" w:rsidRDefault="00F83ABD" w:rsidP="00BB32A1">
            <w:pPr>
              <w:tabs>
                <w:tab w:val="left" w:pos="2127"/>
              </w:tabs>
              <w:rPr>
                <w:rFonts w:ascii="Arial" w:hAnsi="Arial" w:cs="Arial"/>
                <w:b/>
              </w:rPr>
            </w:pPr>
            <w:r w:rsidRPr="00A2288D">
              <w:rPr>
                <w:rFonts w:ascii="Arial" w:hAnsi="Arial" w:cs="Arial"/>
                <w:b/>
              </w:rPr>
              <w:t xml:space="preserve">Proposal:  </w:t>
            </w:r>
            <w:r w:rsidR="00FF4297" w:rsidRPr="00A2288D">
              <w:rPr>
                <w:rFonts w:ascii="Arial" w:hAnsi="Arial" w:cs="Arial"/>
              </w:rPr>
              <w:t>Replacem</w:t>
            </w:r>
            <w:r w:rsidR="001C281F" w:rsidRPr="00A2288D">
              <w:rPr>
                <w:rFonts w:ascii="Arial" w:hAnsi="Arial" w:cs="Arial"/>
              </w:rPr>
              <w:t>ent of glazed door in rear addit</w:t>
            </w:r>
            <w:r w:rsidR="00FF4297" w:rsidRPr="00A2288D">
              <w:rPr>
                <w:rFonts w:ascii="Arial" w:hAnsi="Arial" w:cs="Arial"/>
              </w:rPr>
              <w:t>ion with timber double-glazed door</w:t>
            </w:r>
            <w:r w:rsidR="00BB32A1">
              <w:rPr>
                <w:rFonts w:ascii="Arial" w:hAnsi="Arial" w:cs="Arial"/>
              </w:rPr>
              <w:t>.</w:t>
            </w:r>
          </w:p>
        </w:tc>
      </w:tr>
      <w:tr w:rsidR="00F83ABD" w:rsidRPr="00A2288D" w:rsidTr="00C151D7">
        <w:trPr>
          <w:cantSplit/>
          <w:trHeight w:val="361"/>
        </w:trPr>
        <w:tc>
          <w:tcPr>
            <w:tcW w:w="9819" w:type="dxa"/>
            <w:gridSpan w:val="7"/>
            <w:tcBorders>
              <w:top w:val="single" w:sz="4" w:space="0" w:color="auto"/>
              <w:left w:val="single" w:sz="4" w:space="0" w:color="auto"/>
              <w:bottom w:val="single" w:sz="4" w:space="0" w:color="auto"/>
              <w:right w:val="single" w:sz="4" w:space="0" w:color="auto"/>
            </w:tcBorders>
          </w:tcPr>
          <w:p w:rsidR="00F83ABD" w:rsidRPr="00A2288D" w:rsidRDefault="00F83ABD" w:rsidP="003541E7">
            <w:pPr>
              <w:tabs>
                <w:tab w:val="left" w:pos="2127"/>
              </w:tabs>
              <w:jc w:val="both"/>
              <w:rPr>
                <w:rFonts w:ascii="Arial" w:hAnsi="Arial" w:cs="Arial"/>
                <w:b/>
              </w:rPr>
            </w:pPr>
            <w:r w:rsidRPr="00A2288D">
              <w:rPr>
                <w:rFonts w:ascii="Arial" w:hAnsi="Arial" w:cs="Arial"/>
                <w:b/>
                <w:bCs/>
                <w:iCs/>
              </w:rPr>
              <w:t>Background Papers, Supporting Documents and Drawing Numbers</w:t>
            </w:r>
            <w:r w:rsidR="00C251B7" w:rsidRPr="00A2288D">
              <w:rPr>
                <w:rFonts w:ascii="Arial" w:hAnsi="Arial" w:cs="Arial"/>
                <w:b/>
                <w:bCs/>
                <w:iCs/>
              </w:rPr>
              <w:t>:</w:t>
            </w:r>
          </w:p>
          <w:p w:rsidR="003D60DA" w:rsidRPr="00A2288D" w:rsidRDefault="005B4517" w:rsidP="005B4517">
            <w:pPr>
              <w:tabs>
                <w:tab w:val="left" w:pos="2127"/>
              </w:tabs>
              <w:jc w:val="both"/>
              <w:rPr>
                <w:rFonts w:ascii="Arial" w:hAnsi="Arial" w:cs="Arial"/>
                <w:b/>
              </w:rPr>
            </w:pPr>
            <w:r w:rsidRPr="00A2288D">
              <w:rPr>
                <w:rFonts w:ascii="Arial" w:hAnsi="Arial" w:cs="Arial"/>
              </w:rPr>
              <w:t>Location plan, heritage statement v2, design &amp; access statement v6, 7857 101A, 7857 102B, 7857 103B, 7857 105B, 7857 107A, 7857 108A, 7857 106D, 7857 108D, 7857 115A</w:t>
            </w:r>
            <w:r w:rsidR="009C544A" w:rsidRPr="00A2288D">
              <w:rPr>
                <w:rFonts w:ascii="Arial" w:hAnsi="Arial" w:cs="Arial"/>
              </w:rPr>
              <w:t>, IMG4833</w:t>
            </w:r>
            <w:r w:rsidR="00513C4F" w:rsidRPr="00A2288D">
              <w:rPr>
                <w:rFonts w:ascii="Arial" w:hAnsi="Arial" w:cs="Arial"/>
              </w:rPr>
              <w:t xml:space="preserve"> </w:t>
            </w:r>
          </w:p>
        </w:tc>
      </w:tr>
      <w:tr w:rsidR="00F83ABD" w:rsidRPr="00A2288D" w:rsidTr="00C151D7">
        <w:trPr>
          <w:cantSplit/>
          <w:trHeight w:val="345"/>
        </w:trPr>
        <w:tc>
          <w:tcPr>
            <w:tcW w:w="9819"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rsidR="00F83ABD" w:rsidRPr="00A2288D" w:rsidRDefault="00F83ABD" w:rsidP="00FF4297">
            <w:pPr>
              <w:tabs>
                <w:tab w:val="left" w:pos="2127"/>
              </w:tabs>
              <w:rPr>
                <w:rFonts w:ascii="Arial" w:hAnsi="Arial" w:cs="Arial"/>
                <w:b/>
              </w:rPr>
            </w:pPr>
            <w:r w:rsidRPr="00A2288D">
              <w:rPr>
                <w:rFonts w:ascii="Arial" w:hAnsi="Arial" w:cs="Arial"/>
                <w:b/>
              </w:rPr>
              <w:t xml:space="preserve">RECOMMENDATION SUMMARY: </w:t>
            </w:r>
            <w:r w:rsidRPr="00A2288D">
              <w:rPr>
                <w:rFonts w:ascii="Arial" w:hAnsi="Arial" w:cs="Arial"/>
              </w:rPr>
              <w:t xml:space="preserve">Grant </w:t>
            </w:r>
            <w:r w:rsidR="00E00A73" w:rsidRPr="00A2288D">
              <w:rPr>
                <w:rFonts w:ascii="Arial" w:hAnsi="Arial" w:cs="Arial"/>
              </w:rPr>
              <w:t xml:space="preserve">conditional </w:t>
            </w:r>
            <w:r w:rsidRPr="00A2288D">
              <w:rPr>
                <w:rFonts w:ascii="Arial" w:hAnsi="Arial" w:cs="Arial"/>
                <w:iCs/>
              </w:rPr>
              <w:t xml:space="preserve">planning permission </w:t>
            </w:r>
          </w:p>
        </w:tc>
      </w:tr>
      <w:tr w:rsidR="00F83ABD" w:rsidRPr="00A2288D" w:rsidTr="00C151D7">
        <w:trPr>
          <w:trHeight w:val="345"/>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pPr>
              <w:tabs>
                <w:tab w:val="left" w:pos="2127"/>
              </w:tabs>
              <w:rPr>
                <w:rFonts w:ascii="Arial" w:hAnsi="Arial" w:cs="Arial"/>
                <w:b/>
              </w:rPr>
            </w:pPr>
            <w:r w:rsidRPr="00A2288D">
              <w:rPr>
                <w:rFonts w:ascii="Arial" w:hAnsi="Arial" w:cs="Arial"/>
                <w:b/>
              </w:rPr>
              <w:t>Date of Application:</w:t>
            </w:r>
          </w:p>
        </w:tc>
        <w:tc>
          <w:tcPr>
            <w:tcW w:w="5760" w:type="dxa"/>
            <w:gridSpan w:val="3"/>
            <w:tcBorders>
              <w:top w:val="single" w:sz="4" w:space="0" w:color="auto"/>
              <w:left w:val="single" w:sz="4" w:space="0" w:color="auto"/>
              <w:bottom w:val="single" w:sz="4" w:space="0" w:color="auto"/>
              <w:right w:val="nil"/>
            </w:tcBorders>
            <w:vAlign w:val="center"/>
            <w:hideMark/>
          </w:tcPr>
          <w:p w:rsidR="00F83ABD" w:rsidRPr="00A2288D" w:rsidRDefault="00FF4297">
            <w:pPr>
              <w:tabs>
                <w:tab w:val="left" w:pos="2127"/>
              </w:tabs>
              <w:rPr>
                <w:rFonts w:ascii="Arial" w:hAnsi="Arial" w:cs="Arial"/>
                <w:b/>
              </w:rPr>
            </w:pPr>
            <w:r w:rsidRPr="00A2288D">
              <w:rPr>
                <w:rFonts w:ascii="Arial" w:hAnsi="Arial" w:cs="Arial"/>
                <w:b/>
              </w:rPr>
              <w:t>26</w:t>
            </w:r>
            <w:r w:rsidR="00F83ABD" w:rsidRPr="00A2288D">
              <w:rPr>
                <w:rFonts w:ascii="Arial" w:hAnsi="Arial" w:cs="Arial"/>
                <w:b/>
              </w:rPr>
              <w:t>/08/2015</w:t>
            </w:r>
          </w:p>
        </w:tc>
        <w:tc>
          <w:tcPr>
            <w:tcW w:w="1359" w:type="dxa"/>
            <w:gridSpan w:val="2"/>
            <w:tcBorders>
              <w:top w:val="single" w:sz="4" w:space="0" w:color="auto"/>
              <w:left w:val="nil"/>
              <w:bottom w:val="single" w:sz="4" w:space="0" w:color="auto"/>
              <w:right w:val="single" w:sz="4" w:space="0" w:color="auto"/>
            </w:tcBorders>
            <w:vAlign w:val="center"/>
          </w:tcPr>
          <w:p w:rsidR="00F83ABD" w:rsidRPr="00A2288D" w:rsidRDefault="00F83ABD">
            <w:pPr>
              <w:tabs>
                <w:tab w:val="left" w:pos="2127"/>
              </w:tabs>
              <w:jc w:val="center"/>
              <w:rPr>
                <w:rFonts w:ascii="Arial" w:hAnsi="Arial" w:cs="Arial"/>
                <w:b/>
              </w:rPr>
            </w:pPr>
          </w:p>
        </w:tc>
      </w:tr>
      <w:tr w:rsidR="00F83ABD" w:rsidRPr="00A2288D" w:rsidTr="00C151D7">
        <w:trPr>
          <w:cantSplit/>
          <w:trHeight w:val="345"/>
        </w:trPr>
        <w:tc>
          <w:tcPr>
            <w:tcW w:w="2700" w:type="dxa"/>
            <w:gridSpan w:val="2"/>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pPr>
              <w:tabs>
                <w:tab w:val="left" w:pos="2127"/>
              </w:tabs>
              <w:rPr>
                <w:rFonts w:ascii="Arial" w:hAnsi="Arial" w:cs="Arial"/>
                <w:b/>
              </w:rPr>
            </w:pPr>
            <w:r w:rsidRPr="00A2288D">
              <w:rPr>
                <w:rFonts w:ascii="Arial" w:hAnsi="Arial" w:cs="Arial"/>
                <w:b/>
              </w:rPr>
              <w:t xml:space="preserve">Application Number: </w:t>
            </w:r>
          </w:p>
        </w:tc>
        <w:tc>
          <w:tcPr>
            <w:tcW w:w="5844" w:type="dxa"/>
            <w:gridSpan w:val="4"/>
            <w:tcBorders>
              <w:top w:val="single" w:sz="4" w:space="0" w:color="auto"/>
              <w:left w:val="single" w:sz="4" w:space="0" w:color="auto"/>
              <w:bottom w:val="single" w:sz="4" w:space="0" w:color="auto"/>
              <w:right w:val="single" w:sz="4" w:space="0" w:color="auto"/>
            </w:tcBorders>
            <w:vAlign w:val="center"/>
          </w:tcPr>
          <w:p w:rsidR="00F83ABD" w:rsidRPr="00A2288D" w:rsidRDefault="003E0891" w:rsidP="00FF4297">
            <w:pPr>
              <w:rPr>
                <w:rFonts w:ascii="Arial" w:hAnsi="Arial" w:cs="Arial"/>
                <w:b/>
              </w:rPr>
            </w:pPr>
            <w:r w:rsidRPr="00A2288D">
              <w:rPr>
                <w:rFonts w:ascii="Arial" w:hAnsi="Arial" w:cs="Arial"/>
                <w:b/>
              </w:rPr>
              <w:t>2015/</w:t>
            </w:r>
            <w:r w:rsidR="00FF4297" w:rsidRPr="00A2288D">
              <w:rPr>
                <w:rFonts w:ascii="Arial" w:hAnsi="Arial" w:cs="Arial"/>
                <w:b/>
              </w:rPr>
              <w:t>5813</w:t>
            </w:r>
            <w:r w:rsidRPr="00A2288D">
              <w:rPr>
                <w:rFonts w:ascii="Arial" w:hAnsi="Arial" w:cs="Arial"/>
                <w:b/>
              </w:rPr>
              <w:t>/L</w:t>
            </w:r>
          </w:p>
        </w:tc>
        <w:tc>
          <w:tcPr>
            <w:tcW w:w="1275" w:type="dxa"/>
            <w:tcBorders>
              <w:top w:val="single" w:sz="4" w:space="0" w:color="auto"/>
              <w:left w:val="single" w:sz="4" w:space="0" w:color="auto"/>
              <w:bottom w:val="single" w:sz="4" w:space="0" w:color="auto"/>
              <w:right w:val="single" w:sz="4" w:space="0" w:color="auto"/>
            </w:tcBorders>
            <w:vAlign w:val="center"/>
          </w:tcPr>
          <w:p w:rsidR="00F83ABD" w:rsidRPr="00C151D7" w:rsidRDefault="00C151D7" w:rsidP="00C151D7">
            <w:pPr>
              <w:tabs>
                <w:tab w:val="left" w:pos="2127"/>
              </w:tabs>
              <w:jc w:val="center"/>
              <w:rPr>
                <w:rFonts w:ascii="Arial" w:hAnsi="Arial" w:cs="Arial"/>
                <w:b/>
                <w:sz w:val="72"/>
                <w:szCs w:val="72"/>
              </w:rPr>
            </w:pPr>
            <w:r w:rsidRPr="00C151D7">
              <w:rPr>
                <w:rFonts w:ascii="Arial" w:hAnsi="Arial" w:cs="Arial"/>
                <w:b/>
                <w:sz w:val="72"/>
                <w:szCs w:val="72"/>
              </w:rPr>
              <w:t>7</w:t>
            </w:r>
          </w:p>
        </w:tc>
      </w:tr>
      <w:tr w:rsidR="00F83ABD" w:rsidRPr="00A2288D" w:rsidTr="00C151D7">
        <w:trPr>
          <w:cantSplit/>
          <w:trHeight w:val="360"/>
        </w:trPr>
        <w:tc>
          <w:tcPr>
            <w:tcW w:w="9819" w:type="dxa"/>
            <w:gridSpan w:val="7"/>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rsidP="00513C4F">
            <w:pPr>
              <w:tabs>
                <w:tab w:val="left" w:pos="2127"/>
              </w:tabs>
              <w:rPr>
                <w:rFonts w:ascii="Arial" w:hAnsi="Arial" w:cs="Arial"/>
              </w:rPr>
            </w:pPr>
            <w:r w:rsidRPr="00A2288D">
              <w:rPr>
                <w:rFonts w:ascii="Arial" w:hAnsi="Arial" w:cs="Arial"/>
                <w:b/>
              </w:rPr>
              <w:t xml:space="preserve">Proposal: </w:t>
            </w:r>
            <w:r w:rsidR="00FF4297" w:rsidRPr="00A2288D">
              <w:rPr>
                <w:rFonts w:ascii="Arial" w:hAnsi="Arial" w:cs="Arial"/>
              </w:rPr>
              <w:t>Various internal alterations and replacement of glazed door in rear addition</w:t>
            </w:r>
            <w:r w:rsidR="00513C4F" w:rsidRPr="00A2288D">
              <w:rPr>
                <w:rFonts w:ascii="Arial" w:hAnsi="Arial" w:cs="Arial"/>
              </w:rPr>
              <w:t xml:space="preserve"> with timber double-glazed door</w:t>
            </w:r>
          </w:p>
        </w:tc>
      </w:tr>
      <w:tr w:rsidR="00F83ABD" w:rsidRPr="00A2288D" w:rsidTr="00C151D7">
        <w:trPr>
          <w:cantSplit/>
          <w:trHeight w:val="585"/>
        </w:trPr>
        <w:tc>
          <w:tcPr>
            <w:tcW w:w="9819" w:type="dxa"/>
            <w:gridSpan w:val="7"/>
            <w:tcBorders>
              <w:top w:val="single" w:sz="4" w:space="0" w:color="auto"/>
              <w:left w:val="single" w:sz="4" w:space="0" w:color="auto"/>
              <w:bottom w:val="single" w:sz="4" w:space="0" w:color="auto"/>
              <w:right w:val="single" w:sz="4" w:space="0" w:color="auto"/>
            </w:tcBorders>
            <w:hideMark/>
          </w:tcPr>
          <w:p w:rsidR="00F83ABD" w:rsidRPr="00A2288D" w:rsidRDefault="00F83ABD" w:rsidP="003541E7">
            <w:pPr>
              <w:tabs>
                <w:tab w:val="left" w:pos="2127"/>
              </w:tabs>
              <w:jc w:val="both"/>
              <w:rPr>
                <w:rFonts w:ascii="Arial" w:hAnsi="Arial" w:cs="Arial"/>
                <w:b/>
                <w:bCs/>
                <w:iCs/>
              </w:rPr>
            </w:pPr>
            <w:r w:rsidRPr="00A2288D">
              <w:rPr>
                <w:rFonts w:ascii="Arial" w:hAnsi="Arial" w:cs="Arial"/>
                <w:b/>
                <w:bCs/>
                <w:iCs/>
              </w:rPr>
              <w:t>Background Papers, Supporting Documents and Drawing Numbers</w:t>
            </w:r>
            <w:r w:rsidR="003541E7" w:rsidRPr="00A2288D">
              <w:rPr>
                <w:rFonts w:ascii="Arial" w:hAnsi="Arial" w:cs="Arial"/>
                <w:b/>
                <w:bCs/>
                <w:iCs/>
              </w:rPr>
              <w:t>:</w:t>
            </w:r>
          </w:p>
          <w:p w:rsidR="003541E7" w:rsidRPr="00A2288D" w:rsidRDefault="005B4517" w:rsidP="00A2288D">
            <w:pPr>
              <w:tabs>
                <w:tab w:val="left" w:pos="2127"/>
              </w:tabs>
              <w:jc w:val="both"/>
              <w:rPr>
                <w:rFonts w:ascii="Arial" w:hAnsi="Arial" w:cs="Arial"/>
                <w:b/>
              </w:rPr>
            </w:pPr>
            <w:r w:rsidRPr="00A2288D">
              <w:rPr>
                <w:rFonts w:ascii="Arial" w:hAnsi="Arial" w:cs="Arial"/>
              </w:rPr>
              <w:t>Location plan, heritage statement v2, design &amp; access statement v6, 7857 101A, 7857 102B, 7857 103B, 7857 105B, 7857 107A, 7857 108A, 7857 106D, 7857 108D, 7857 115A</w:t>
            </w:r>
          </w:p>
        </w:tc>
      </w:tr>
      <w:tr w:rsidR="00F83ABD" w:rsidRPr="00A2288D" w:rsidTr="00C151D7">
        <w:trPr>
          <w:cantSplit/>
          <w:trHeight w:val="345"/>
        </w:trPr>
        <w:tc>
          <w:tcPr>
            <w:tcW w:w="9819"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rsidR="00F83ABD" w:rsidRPr="000D0E93" w:rsidRDefault="00F83ABD" w:rsidP="000D0E93">
            <w:pPr>
              <w:jc w:val="both"/>
              <w:rPr>
                <w:rFonts w:ascii="Arial" w:hAnsi="Arial" w:cs="Arial"/>
                <w:iCs/>
              </w:rPr>
            </w:pPr>
            <w:r w:rsidRPr="00A2288D">
              <w:rPr>
                <w:rFonts w:ascii="Arial" w:hAnsi="Arial" w:cs="Arial"/>
                <w:b/>
              </w:rPr>
              <w:t xml:space="preserve">RECOMMENDATION SUMMARY: </w:t>
            </w:r>
            <w:r w:rsidR="000D0E93" w:rsidRPr="000D0E93">
              <w:rPr>
                <w:rFonts w:ascii="Arial" w:hAnsi="Arial" w:cs="Arial"/>
              </w:rPr>
              <w:t xml:space="preserve">Grant conditional listed building consent and the </w:t>
            </w:r>
            <w:r w:rsidR="000D0E93" w:rsidRPr="000D0E93">
              <w:rPr>
                <w:rFonts w:ascii="Arial" w:hAnsi="Arial" w:cs="Arial"/>
                <w:lang w:val="en"/>
              </w:rPr>
              <w:t xml:space="preserve">Borough Solicitor </w:t>
            </w:r>
            <w:r w:rsidR="000D0E93" w:rsidRPr="000D0E93">
              <w:rPr>
                <w:rFonts w:ascii="Arial" w:hAnsi="Arial" w:cs="Arial"/>
              </w:rPr>
              <w:t xml:space="preserve">be instructed to issue a Listed Building Enforcement Notice under Section 38 of the Planning (Listed Buildings and Conservation Areas) Act 1990, as amended, and, in the event of non-compliance with the notice, the </w:t>
            </w:r>
            <w:r w:rsidR="000D0E93" w:rsidRPr="000D0E93">
              <w:rPr>
                <w:rFonts w:ascii="Arial" w:hAnsi="Arial" w:cs="Arial"/>
                <w:lang w:val="en"/>
              </w:rPr>
              <w:t xml:space="preserve">Borough Solicitor </w:t>
            </w:r>
            <w:r w:rsidR="000D0E93" w:rsidRPr="000D0E93">
              <w:rPr>
                <w:rFonts w:ascii="Arial" w:hAnsi="Arial" w:cs="Arial"/>
              </w:rPr>
              <w:t xml:space="preserve">be authorised to pursue any legal action necessary to prosecute the owner under Section 43 of the Act and or other appropriate power and/or the </w:t>
            </w:r>
            <w:r w:rsidR="000D0E93" w:rsidRPr="000D0E93">
              <w:rPr>
                <w:rFonts w:ascii="Arial" w:hAnsi="Arial" w:cs="Arial"/>
                <w:lang w:val="en"/>
              </w:rPr>
              <w:t>Executive Director Supporting Communities</w:t>
            </w:r>
            <w:r w:rsidR="000D0E93" w:rsidRPr="000D0E93">
              <w:rPr>
                <w:rFonts w:ascii="Arial" w:hAnsi="Arial" w:cs="Arial"/>
              </w:rPr>
              <w:t xml:space="preserve"> be authorised to take direct action under Section 42 of the Act to secure compliance with the notice.</w:t>
            </w:r>
          </w:p>
        </w:tc>
      </w:tr>
      <w:tr w:rsidR="00F83ABD" w:rsidRPr="00A2288D" w:rsidTr="00C151D7">
        <w:trPr>
          <w:cantSplit/>
          <w:trHeight w:val="345"/>
        </w:trPr>
        <w:tc>
          <w:tcPr>
            <w:tcW w:w="5142" w:type="dxa"/>
            <w:gridSpan w:val="4"/>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pPr>
              <w:tabs>
                <w:tab w:val="left" w:pos="2127"/>
              </w:tabs>
              <w:rPr>
                <w:rFonts w:ascii="Arial" w:hAnsi="Arial" w:cs="Arial"/>
                <w:b/>
              </w:rPr>
            </w:pPr>
            <w:r w:rsidRPr="00A2288D">
              <w:rPr>
                <w:rFonts w:ascii="Arial" w:hAnsi="Arial" w:cs="Arial"/>
                <w:b/>
              </w:rPr>
              <w:t>Applicant:</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F83ABD" w:rsidRPr="00A2288D" w:rsidRDefault="00F83ABD">
            <w:pPr>
              <w:tabs>
                <w:tab w:val="left" w:pos="2127"/>
              </w:tabs>
              <w:rPr>
                <w:rFonts w:ascii="Arial" w:hAnsi="Arial" w:cs="Arial"/>
                <w:b/>
              </w:rPr>
            </w:pPr>
            <w:r w:rsidRPr="00A2288D">
              <w:rPr>
                <w:rFonts w:ascii="Arial" w:hAnsi="Arial" w:cs="Arial"/>
                <w:b/>
              </w:rPr>
              <w:t>Agent:</w:t>
            </w:r>
          </w:p>
        </w:tc>
      </w:tr>
      <w:tr w:rsidR="00F83ABD" w:rsidRPr="00A2288D" w:rsidTr="00C151D7">
        <w:trPr>
          <w:trHeight w:val="1522"/>
        </w:trPr>
        <w:tc>
          <w:tcPr>
            <w:tcW w:w="5142" w:type="dxa"/>
            <w:gridSpan w:val="4"/>
            <w:tcBorders>
              <w:top w:val="single" w:sz="4" w:space="0" w:color="auto"/>
              <w:left w:val="single" w:sz="4" w:space="0" w:color="auto"/>
              <w:bottom w:val="single" w:sz="4" w:space="0" w:color="auto"/>
              <w:right w:val="single" w:sz="4" w:space="0" w:color="auto"/>
            </w:tcBorders>
          </w:tcPr>
          <w:p w:rsidR="00F83ABD" w:rsidRPr="00A2288D" w:rsidRDefault="00F83ABD" w:rsidP="00FF4297">
            <w:pPr>
              <w:tabs>
                <w:tab w:val="left" w:pos="2127"/>
              </w:tabs>
              <w:rPr>
                <w:rFonts w:ascii="Arial" w:hAnsi="Arial" w:cs="Arial"/>
              </w:rPr>
            </w:pPr>
            <w:r w:rsidRPr="00A2288D">
              <w:rPr>
                <w:rFonts w:ascii="Arial" w:hAnsi="Arial" w:cs="Arial"/>
              </w:rPr>
              <w:t xml:space="preserve">Mr </w:t>
            </w:r>
            <w:r w:rsidR="00FF4297" w:rsidRPr="00A2288D">
              <w:rPr>
                <w:rFonts w:ascii="Arial" w:hAnsi="Arial" w:cs="Arial"/>
              </w:rPr>
              <w:t>Jonny Bucknell</w:t>
            </w:r>
          </w:p>
          <w:p w:rsidR="00FF4297" w:rsidRPr="00A2288D" w:rsidRDefault="00FF4297" w:rsidP="00FF4297">
            <w:pPr>
              <w:tabs>
                <w:tab w:val="left" w:pos="2127"/>
              </w:tabs>
              <w:rPr>
                <w:rFonts w:ascii="Arial" w:hAnsi="Arial" w:cs="Arial"/>
              </w:rPr>
            </w:pPr>
            <w:r w:rsidRPr="00A2288D">
              <w:rPr>
                <w:rFonts w:ascii="Arial" w:hAnsi="Arial" w:cs="Arial"/>
              </w:rPr>
              <w:t>16 St George’s Mews</w:t>
            </w:r>
          </w:p>
          <w:p w:rsidR="00FF4297" w:rsidRPr="00A2288D" w:rsidRDefault="00FF4297" w:rsidP="00FF4297">
            <w:pPr>
              <w:tabs>
                <w:tab w:val="left" w:pos="2127"/>
              </w:tabs>
              <w:rPr>
                <w:rFonts w:ascii="Arial" w:hAnsi="Arial" w:cs="Arial"/>
              </w:rPr>
            </w:pPr>
            <w:r w:rsidRPr="00A2288D">
              <w:rPr>
                <w:rFonts w:ascii="Arial" w:hAnsi="Arial" w:cs="Arial"/>
              </w:rPr>
              <w:t>London</w:t>
            </w:r>
          </w:p>
          <w:p w:rsidR="00FF4297" w:rsidRPr="00A2288D" w:rsidRDefault="00FF4297" w:rsidP="00FF4297">
            <w:pPr>
              <w:tabs>
                <w:tab w:val="left" w:pos="2127"/>
              </w:tabs>
              <w:rPr>
                <w:rFonts w:ascii="Arial" w:hAnsi="Arial" w:cs="Arial"/>
              </w:rPr>
            </w:pPr>
            <w:r w:rsidRPr="00A2288D">
              <w:rPr>
                <w:rFonts w:ascii="Arial" w:hAnsi="Arial" w:cs="Arial"/>
              </w:rPr>
              <w:t>NW1 8XE</w:t>
            </w:r>
          </w:p>
        </w:tc>
        <w:tc>
          <w:tcPr>
            <w:tcW w:w="4677" w:type="dxa"/>
            <w:gridSpan w:val="3"/>
            <w:tcBorders>
              <w:top w:val="single" w:sz="4" w:space="0" w:color="auto"/>
              <w:left w:val="single" w:sz="4" w:space="0" w:color="auto"/>
              <w:bottom w:val="single" w:sz="4" w:space="0" w:color="auto"/>
              <w:right w:val="single" w:sz="4" w:space="0" w:color="auto"/>
            </w:tcBorders>
          </w:tcPr>
          <w:p w:rsidR="00F83ABD" w:rsidRPr="00A2288D" w:rsidRDefault="00FF4297">
            <w:pPr>
              <w:tabs>
                <w:tab w:val="left" w:pos="2127"/>
              </w:tabs>
              <w:rPr>
                <w:rFonts w:ascii="Arial" w:hAnsi="Arial" w:cs="Arial"/>
              </w:rPr>
            </w:pPr>
            <w:r w:rsidRPr="00A2288D">
              <w:rPr>
                <w:rFonts w:ascii="Arial" w:hAnsi="Arial" w:cs="Arial"/>
              </w:rPr>
              <w:t>Mr Philippe Hornsby</w:t>
            </w:r>
          </w:p>
          <w:p w:rsidR="00FF4297" w:rsidRPr="00A2288D" w:rsidRDefault="00FF4297">
            <w:pPr>
              <w:tabs>
                <w:tab w:val="left" w:pos="2127"/>
              </w:tabs>
              <w:rPr>
                <w:rFonts w:ascii="Arial" w:hAnsi="Arial" w:cs="Arial"/>
              </w:rPr>
            </w:pPr>
            <w:r w:rsidRPr="00A2288D">
              <w:rPr>
                <w:rFonts w:ascii="Arial" w:hAnsi="Arial" w:cs="Arial"/>
              </w:rPr>
              <w:t>Simon Levy Associates</w:t>
            </w:r>
          </w:p>
          <w:p w:rsidR="00FF4297" w:rsidRPr="00A2288D" w:rsidRDefault="00FF4297">
            <w:pPr>
              <w:tabs>
                <w:tab w:val="left" w:pos="2127"/>
              </w:tabs>
              <w:rPr>
                <w:rFonts w:ascii="Arial" w:hAnsi="Arial" w:cs="Arial"/>
              </w:rPr>
            </w:pPr>
            <w:r w:rsidRPr="00A2288D">
              <w:rPr>
                <w:rFonts w:ascii="Arial" w:hAnsi="Arial" w:cs="Arial"/>
              </w:rPr>
              <w:t>49 Theobald Street</w:t>
            </w:r>
          </w:p>
          <w:p w:rsidR="00FF4297" w:rsidRPr="00A2288D" w:rsidRDefault="00FF4297">
            <w:pPr>
              <w:tabs>
                <w:tab w:val="left" w:pos="2127"/>
              </w:tabs>
              <w:rPr>
                <w:rFonts w:ascii="Arial" w:hAnsi="Arial" w:cs="Arial"/>
              </w:rPr>
            </w:pPr>
            <w:r w:rsidRPr="00A2288D">
              <w:rPr>
                <w:rFonts w:ascii="Arial" w:hAnsi="Arial" w:cs="Arial"/>
              </w:rPr>
              <w:t>Borehamwood</w:t>
            </w:r>
          </w:p>
          <w:p w:rsidR="00FF4297" w:rsidRPr="00A2288D" w:rsidRDefault="00FF4297">
            <w:pPr>
              <w:tabs>
                <w:tab w:val="left" w:pos="2127"/>
              </w:tabs>
              <w:rPr>
                <w:rFonts w:ascii="Arial" w:hAnsi="Arial" w:cs="Arial"/>
              </w:rPr>
            </w:pPr>
            <w:r w:rsidRPr="00A2288D">
              <w:rPr>
                <w:rFonts w:ascii="Arial" w:hAnsi="Arial" w:cs="Arial"/>
              </w:rPr>
              <w:t>Hertfordshire</w:t>
            </w:r>
          </w:p>
        </w:tc>
      </w:tr>
    </w:tbl>
    <w:p w:rsidR="00084DD0" w:rsidRPr="00A2288D" w:rsidRDefault="00084DD0">
      <w:pPr>
        <w:tabs>
          <w:tab w:val="left" w:pos="2127"/>
        </w:tabs>
        <w:rPr>
          <w:rFonts w:ascii="Arial" w:hAnsi="Arial" w:cs="Arial"/>
        </w:rPr>
      </w:pPr>
    </w:p>
    <w:p w:rsidR="0041436A" w:rsidRDefault="0041436A" w:rsidP="00B25E22">
      <w:pPr>
        <w:spacing w:line="260" w:lineRule="atLeast"/>
        <w:jc w:val="both"/>
        <w:rPr>
          <w:rFonts w:ascii="Arial" w:hAnsi="Arial" w:cs="Arial"/>
          <w:b/>
          <w:bCs/>
        </w:rPr>
      </w:pPr>
    </w:p>
    <w:p w:rsidR="0041436A" w:rsidRDefault="0041436A" w:rsidP="00B25E22">
      <w:pPr>
        <w:spacing w:line="260" w:lineRule="atLeast"/>
        <w:jc w:val="both"/>
        <w:rPr>
          <w:rFonts w:ascii="Arial" w:hAnsi="Arial" w:cs="Arial"/>
          <w:b/>
          <w:bCs/>
        </w:rPr>
      </w:pPr>
    </w:p>
    <w:p w:rsidR="0041436A" w:rsidRDefault="0041436A" w:rsidP="00B25E22">
      <w:pPr>
        <w:spacing w:line="260" w:lineRule="atLeast"/>
        <w:jc w:val="both"/>
        <w:rPr>
          <w:rFonts w:ascii="Arial" w:hAnsi="Arial" w:cs="Arial"/>
          <w:b/>
          <w:bCs/>
        </w:rPr>
      </w:pPr>
    </w:p>
    <w:p w:rsidR="0041436A" w:rsidRDefault="0041436A" w:rsidP="00B25E22">
      <w:pPr>
        <w:spacing w:line="260" w:lineRule="atLeast"/>
        <w:jc w:val="both"/>
        <w:rPr>
          <w:rFonts w:ascii="Arial" w:hAnsi="Arial" w:cs="Arial"/>
          <w:b/>
          <w:bCs/>
        </w:rPr>
      </w:pPr>
    </w:p>
    <w:p w:rsidR="0041436A" w:rsidRDefault="0041436A" w:rsidP="00B25E22">
      <w:pPr>
        <w:spacing w:line="260" w:lineRule="atLeast"/>
        <w:jc w:val="both"/>
        <w:rPr>
          <w:rFonts w:ascii="Arial" w:hAnsi="Arial" w:cs="Arial"/>
          <w:b/>
          <w:bCs/>
        </w:rPr>
      </w:pPr>
    </w:p>
    <w:p w:rsidR="0041436A" w:rsidRDefault="0041436A" w:rsidP="00B25E22">
      <w:pPr>
        <w:spacing w:line="260" w:lineRule="atLeast"/>
        <w:jc w:val="both"/>
        <w:rPr>
          <w:rFonts w:ascii="Arial" w:hAnsi="Arial" w:cs="Arial"/>
          <w:b/>
          <w:bCs/>
        </w:rPr>
      </w:pPr>
    </w:p>
    <w:p w:rsidR="0041436A" w:rsidRDefault="0041436A" w:rsidP="00B25E22">
      <w:pPr>
        <w:spacing w:line="260" w:lineRule="atLeast"/>
        <w:jc w:val="both"/>
        <w:rPr>
          <w:rFonts w:ascii="Arial" w:hAnsi="Arial" w:cs="Arial"/>
          <w:b/>
          <w:bCs/>
        </w:rPr>
      </w:pPr>
    </w:p>
    <w:p w:rsidR="0041436A" w:rsidRDefault="0041436A" w:rsidP="00B25E22">
      <w:pPr>
        <w:spacing w:line="260" w:lineRule="atLeast"/>
        <w:jc w:val="both"/>
        <w:rPr>
          <w:rFonts w:ascii="Arial" w:hAnsi="Arial" w:cs="Arial"/>
          <w:b/>
          <w:bCs/>
        </w:rPr>
      </w:pPr>
    </w:p>
    <w:p w:rsidR="0041436A" w:rsidRDefault="0041436A" w:rsidP="00B25E22">
      <w:pPr>
        <w:spacing w:line="260" w:lineRule="atLeast"/>
        <w:jc w:val="both"/>
        <w:rPr>
          <w:rFonts w:ascii="Arial" w:hAnsi="Arial" w:cs="Arial"/>
          <w:b/>
          <w:bCs/>
        </w:rPr>
      </w:pPr>
    </w:p>
    <w:p w:rsidR="00C151D7" w:rsidRDefault="00C151D7" w:rsidP="00B25E22">
      <w:pPr>
        <w:spacing w:line="260" w:lineRule="atLeast"/>
        <w:jc w:val="both"/>
        <w:rPr>
          <w:rFonts w:ascii="Arial" w:hAnsi="Arial" w:cs="Arial"/>
          <w:b/>
          <w:bCs/>
        </w:rPr>
      </w:pPr>
    </w:p>
    <w:p w:rsidR="009930C4" w:rsidRPr="00A2288D" w:rsidRDefault="009930C4" w:rsidP="00B25E22">
      <w:pPr>
        <w:spacing w:line="260" w:lineRule="atLeast"/>
        <w:jc w:val="both"/>
        <w:rPr>
          <w:rFonts w:ascii="Arial" w:hAnsi="Arial" w:cs="Arial"/>
          <w:b/>
          <w:snapToGrid w:val="0"/>
        </w:rPr>
      </w:pPr>
      <w:r w:rsidRPr="00A2288D">
        <w:rPr>
          <w:rFonts w:ascii="Arial" w:hAnsi="Arial" w:cs="Arial"/>
          <w:b/>
          <w:bCs/>
        </w:rPr>
        <w:t xml:space="preserve">OFFICERS’ REPORT  </w:t>
      </w:r>
      <w:r w:rsidRPr="00A2288D">
        <w:rPr>
          <w:rFonts w:ascii="Arial" w:hAnsi="Arial" w:cs="Arial"/>
          <w:b/>
          <w:bCs/>
          <w:snapToGrid w:val="0"/>
        </w:rPr>
        <w:t xml:space="preserve"> </w:t>
      </w:r>
    </w:p>
    <w:p w:rsidR="00E00A73" w:rsidRPr="00A2288D" w:rsidRDefault="00E00A73" w:rsidP="00E00A73">
      <w:pPr>
        <w:autoSpaceDE w:val="0"/>
        <w:autoSpaceDN w:val="0"/>
        <w:spacing w:before="40" w:after="40"/>
        <w:rPr>
          <w:rFonts w:ascii="Arial" w:hAnsi="Arial" w:cs="Arial"/>
          <w:b/>
          <w:bCs/>
        </w:rPr>
      </w:pPr>
    </w:p>
    <w:p w:rsidR="008C532F" w:rsidRPr="00A2288D" w:rsidRDefault="009930C4" w:rsidP="00E00A73">
      <w:pPr>
        <w:autoSpaceDE w:val="0"/>
        <w:autoSpaceDN w:val="0"/>
        <w:spacing w:before="40" w:after="40"/>
        <w:ind w:left="3969" w:hanging="3969"/>
        <w:rPr>
          <w:rFonts w:ascii="Arial" w:hAnsi="Arial" w:cs="Arial"/>
          <w:b/>
          <w:lang w:eastAsia="en-GB"/>
        </w:rPr>
      </w:pPr>
      <w:r w:rsidRPr="00A2288D">
        <w:rPr>
          <w:rFonts w:ascii="Arial" w:hAnsi="Arial" w:cs="Arial"/>
          <w:b/>
        </w:rPr>
        <w:t xml:space="preserve">Reason for </w:t>
      </w:r>
      <w:r w:rsidR="006B0C63" w:rsidRPr="00A2288D">
        <w:rPr>
          <w:rFonts w:ascii="Arial" w:hAnsi="Arial" w:cs="Arial"/>
          <w:b/>
        </w:rPr>
        <w:t>r</w:t>
      </w:r>
      <w:r w:rsidRPr="00A2288D">
        <w:rPr>
          <w:rFonts w:ascii="Arial" w:hAnsi="Arial" w:cs="Arial"/>
          <w:b/>
        </w:rPr>
        <w:t>eferral to Committee:</w:t>
      </w:r>
      <w:r w:rsidR="00BB07DF" w:rsidRPr="00A2288D">
        <w:rPr>
          <w:rFonts w:ascii="Arial" w:hAnsi="Arial" w:cs="Arial"/>
          <w:b/>
        </w:rPr>
        <w:t xml:space="preserve"> </w:t>
      </w:r>
      <w:r w:rsidR="008C532F" w:rsidRPr="00A2288D">
        <w:rPr>
          <w:rFonts w:ascii="Arial" w:hAnsi="Arial" w:cs="Arial"/>
          <w:b/>
          <w:color w:val="000000"/>
          <w:lang w:eastAsia="en-GB"/>
        </w:rPr>
        <w:t>(viii) scheme submitted by or on behalf of a member of the Council (or their spouse or partner) or any Council employee (or their spouse or partner)</w:t>
      </w:r>
    </w:p>
    <w:p w:rsidR="00917E02" w:rsidRPr="00A2288D" w:rsidRDefault="009930C4" w:rsidP="00B25E22">
      <w:pPr>
        <w:spacing w:line="260" w:lineRule="atLeast"/>
        <w:jc w:val="both"/>
        <w:rPr>
          <w:rFonts w:ascii="Arial" w:hAnsi="Arial" w:cs="Arial"/>
          <w:b/>
        </w:rPr>
      </w:pPr>
      <w:r w:rsidRPr="00A2288D">
        <w:rPr>
          <w:rFonts w:ascii="Arial" w:hAnsi="Arial" w:cs="Arial"/>
          <w:b/>
        </w:rPr>
        <w:tab/>
      </w:r>
    </w:p>
    <w:p w:rsidR="009930C4" w:rsidRPr="00A2288D" w:rsidRDefault="009930C4" w:rsidP="00A2288D">
      <w:pPr>
        <w:spacing w:line="260" w:lineRule="atLeast"/>
        <w:jc w:val="both"/>
        <w:rPr>
          <w:rFonts w:ascii="Arial" w:hAnsi="Arial" w:cs="Arial"/>
          <w:b/>
        </w:rPr>
      </w:pPr>
      <w:r w:rsidRPr="00A2288D">
        <w:rPr>
          <w:rFonts w:ascii="Arial" w:hAnsi="Arial" w:cs="Arial"/>
        </w:rPr>
        <w:t>1.</w:t>
      </w:r>
      <w:r w:rsidRPr="00A2288D">
        <w:rPr>
          <w:rFonts w:ascii="Arial" w:hAnsi="Arial" w:cs="Arial"/>
          <w:b/>
        </w:rPr>
        <w:tab/>
        <w:t>SITE</w:t>
      </w:r>
    </w:p>
    <w:p w:rsidR="009930C4" w:rsidRPr="00A2288D" w:rsidRDefault="009930C4" w:rsidP="00A2288D">
      <w:pPr>
        <w:spacing w:line="260" w:lineRule="atLeast"/>
        <w:jc w:val="both"/>
        <w:rPr>
          <w:rFonts w:ascii="Arial" w:hAnsi="Arial" w:cs="Arial"/>
        </w:rPr>
      </w:pPr>
    </w:p>
    <w:p w:rsidR="00C07238" w:rsidRPr="00A2288D" w:rsidRDefault="009930C4" w:rsidP="00A2288D">
      <w:pPr>
        <w:ind w:left="720" w:hanging="720"/>
        <w:jc w:val="both"/>
        <w:rPr>
          <w:rFonts w:ascii="Arial" w:hAnsi="Arial" w:cs="Arial"/>
        </w:rPr>
      </w:pPr>
      <w:r w:rsidRPr="00A2288D">
        <w:rPr>
          <w:rFonts w:ascii="Arial" w:hAnsi="Arial" w:cs="Arial"/>
          <w:bCs/>
        </w:rPr>
        <w:t>1.1</w:t>
      </w:r>
      <w:r w:rsidRPr="00A2288D">
        <w:rPr>
          <w:rFonts w:ascii="Arial" w:hAnsi="Arial" w:cs="Arial"/>
          <w:bCs/>
        </w:rPr>
        <w:tab/>
      </w:r>
      <w:r w:rsidR="005213AD" w:rsidRPr="00A2288D">
        <w:rPr>
          <w:rFonts w:ascii="Arial" w:hAnsi="Arial" w:cs="Arial"/>
        </w:rPr>
        <w:t xml:space="preserve">The application site is located on the </w:t>
      </w:r>
      <w:r w:rsidR="00A72EA1" w:rsidRPr="00A2288D">
        <w:rPr>
          <w:rFonts w:ascii="Arial" w:hAnsi="Arial" w:cs="Arial"/>
        </w:rPr>
        <w:t>sout</w:t>
      </w:r>
      <w:r w:rsidR="005213AD" w:rsidRPr="00A2288D">
        <w:rPr>
          <w:rFonts w:ascii="Arial" w:hAnsi="Arial" w:cs="Arial"/>
        </w:rPr>
        <w:t xml:space="preserve">h side of </w:t>
      </w:r>
      <w:r w:rsidR="00A72EA1" w:rsidRPr="00A2288D">
        <w:rPr>
          <w:rFonts w:ascii="Arial" w:hAnsi="Arial" w:cs="Arial"/>
        </w:rPr>
        <w:t>Chamberlain Street</w:t>
      </w:r>
      <w:r w:rsidR="005213AD" w:rsidRPr="00A2288D">
        <w:rPr>
          <w:rFonts w:ascii="Arial" w:hAnsi="Arial" w:cs="Arial"/>
        </w:rPr>
        <w:t xml:space="preserve">. </w:t>
      </w:r>
      <w:r w:rsidR="00A72EA1" w:rsidRPr="00A2288D">
        <w:rPr>
          <w:rFonts w:ascii="Arial" w:hAnsi="Arial" w:cs="Arial"/>
        </w:rPr>
        <w:t xml:space="preserve">It </w:t>
      </w:r>
      <w:r w:rsidR="005213AD" w:rsidRPr="00A2288D">
        <w:rPr>
          <w:rFonts w:ascii="Arial" w:hAnsi="Arial" w:cs="Arial"/>
        </w:rPr>
        <w:t xml:space="preserve">is </w:t>
      </w:r>
      <w:r w:rsidR="00A72EA1" w:rsidRPr="00A2288D">
        <w:rPr>
          <w:rFonts w:ascii="Arial" w:hAnsi="Arial" w:cs="Arial"/>
        </w:rPr>
        <w:t>one of a terrace of eight houses</w:t>
      </w:r>
      <w:r w:rsidR="005213AD" w:rsidRPr="00A2288D">
        <w:rPr>
          <w:rFonts w:ascii="Arial" w:hAnsi="Arial" w:cs="Arial"/>
        </w:rPr>
        <w:t>.</w:t>
      </w:r>
      <w:r w:rsidR="00C07238" w:rsidRPr="00A2288D">
        <w:rPr>
          <w:rFonts w:ascii="Arial" w:hAnsi="Arial" w:cs="Arial"/>
        </w:rPr>
        <w:t xml:space="preserve"> The predominant character of the street is residential in nature. The site is grade II listed and located within the Primrose Hill Conservation Area.</w:t>
      </w:r>
    </w:p>
    <w:p w:rsidR="005213AD" w:rsidRPr="00A2288D" w:rsidRDefault="005213AD" w:rsidP="00A2288D">
      <w:pPr>
        <w:ind w:left="720" w:hanging="720"/>
        <w:jc w:val="both"/>
        <w:rPr>
          <w:rFonts w:ascii="Arial" w:hAnsi="Arial" w:cs="Arial"/>
        </w:rPr>
      </w:pPr>
    </w:p>
    <w:p w:rsidR="009930C4" w:rsidRPr="00A2288D" w:rsidRDefault="009930C4" w:rsidP="00A2288D">
      <w:pPr>
        <w:spacing w:line="260" w:lineRule="atLeast"/>
        <w:jc w:val="both"/>
        <w:rPr>
          <w:rFonts w:ascii="Arial" w:hAnsi="Arial" w:cs="Arial"/>
        </w:rPr>
      </w:pPr>
    </w:p>
    <w:p w:rsidR="009930C4" w:rsidRPr="00A2288D" w:rsidRDefault="009930C4" w:rsidP="00A2288D">
      <w:pPr>
        <w:ind w:left="720" w:hanging="720"/>
        <w:jc w:val="both"/>
        <w:rPr>
          <w:rFonts w:ascii="Arial" w:hAnsi="Arial" w:cs="Arial"/>
        </w:rPr>
      </w:pPr>
      <w:r w:rsidRPr="00A2288D">
        <w:rPr>
          <w:rFonts w:ascii="Arial" w:hAnsi="Arial" w:cs="Arial"/>
          <w:bCs/>
        </w:rPr>
        <w:t>1.2</w:t>
      </w:r>
      <w:r w:rsidRPr="00A2288D">
        <w:rPr>
          <w:rFonts w:ascii="Arial" w:hAnsi="Arial" w:cs="Arial"/>
          <w:bCs/>
        </w:rPr>
        <w:tab/>
      </w:r>
      <w:r w:rsidR="005213AD" w:rsidRPr="00A2288D">
        <w:rPr>
          <w:rFonts w:ascii="Arial" w:hAnsi="Arial" w:cs="Arial"/>
        </w:rPr>
        <w:t>The application building</w:t>
      </w:r>
      <w:r w:rsidR="00A72EA1" w:rsidRPr="00A2288D">
        <w:rPr>
          <w:rFonts w:ascii="Arial" w:hAnsi="Arial" w:cs="Arial"/>
        </w:rPr>
        <w:t xml:space="preserve"> </w:t>
      </w:r>
      <w:r w:rsidR="005213AD" w:rsidRPr="00A2288D">
        <w:rPr>
          <w:rFonts w:ascii="Arial" w:hAnsi="Arial" w:cs="Arial"/>
        </w:rPr>
        <w:t xml:space="preserve">is a </w:t>
      </w:r>
      <w:r w:rsidR="006B0C63" w:rsidRPr="00A2288D">
        <w:rPr>
          <w:rFonts w:ascii="Arial" w:hAnsi="Arial" w:cs="Arial"/>
        </w:rPr>
        <w:t>ground-floor flat and separate basement in a three-storey-plus-basement</w:t>
      </w:r>
      <w:r w:rsidR="005213AD" w:rsidRPr="00A2288D">
        <w:rPr>
          <w:rFonts w:ascii="Arial" w:hAnsi="Arial" w:cs="Arial"/>
        </w:rPr>
        <w:t xml:space="preserve"> dwelling</w:t>
      </w:r>
      <w:r w:rsidR="00E17D5F" w:rsidRPr="00A2288D">
        <w:rPr>
          <w:rFonts w:ascii="Arial" w:hAnsi="Arial" w:cs="Arial"/>
        </w:rPr>
        <w:t xml:space="preserve"> </w:t>
      </w:r>
      <w:r w:rsidR="005213AD" w:rsidRPr="00A2288D">
        <w:rPr>
          <w:rFonts w:ascii="Arial" w:hAnsi="Arial" w:cs="Arial"/>
        </w:rPr>
        <w:t>house</w:t>
      </w:r>
      <w:r w:rsidR="006B0C63" w:rsidRPr="00A2288D">
        <w:rPr>
          <w:rFonts w:ascii="Arial" w:hAnsi="Arial" w:cs="Arial"/>
        </w:rPr>
        <w:t xml:space="preserve"> built in the mid-19</w:t>
      </w:r>
      <w:r w:rsidR="006B0C63" w:rsidRPr="00A2288D">
        <w:rPr>
          <w:rFonts w:ascii="Arial" w:hAnsi="Arial" w:cs="Arial"/>
          <w:vertAlign w:val="superscript"/>
        </w:rPr>
        <w:t>th</w:t>
      </w:r>
      <w:r w:rsidR="006B0C63" w:rsidRPr="00A2288D">
        <w:rPr>
          <w:rFonts w:ascii="Arial" w:hAnsi="Arial" w:cs="Arial"/>
        </w:rPr>
        <w:t xml:space="preserve"> century</w:t>
      </w:r>
      <w:r w:rsidR="005213AD" w:rsidRPr="00A2288D">
        <w:rPr>
          <w:rFonts w:ascii="Arial" w:hAnsi="Arial" w:cs="Arial"/>
        </w:rPr>
        <w:t>.</w:t>
      </w:r>
    </w:p>
    <w:p w:rsidR="00C07238" w:rsidRPr="00A2288D" w:rsidRDefault="00C07238" w:rsidP="00A2288D">
      <w:pPr>
        <w:spacing w:line="260" w:lineRule="atLeast"/>
        <w:jc w:val="both"/>
        <w:rPr>
          <w:rFonts w:ascii="Arial" w:hAnsi="Arial" w:cs="Arial"/>
        </w:rPr>
      </w:pPr>
    </w:p>
    <w:p w:rsidR="00C07238" w:rsidRPr="00A2288D" w:rsidRDefault="00C07238" w:rsidP="00A2288D">
      <w:pPr>
        <w:spacing w:line="260" w:lineRule="atLeast"/>
        <w:jc w:val="both"/>
        <w:rPr>
          <w:rFonts w:ascii="Arial" w:hAnsi="Arial" w:cs="Arial"/>
          <w:b/>
        </w:rPr>
      </w:pPr>
      <w:r w:rsidRPr="00A2288D">
        <w:rPr>
          <w:rFonts w:ascii="Arial" w:hAnsi="Arial" w:cs="Arial"/>
        </w:rPr>
        <w:t>2.</w:t>
      </w:r>
      <w:r w:rsidRPr="00A2288D">
        <w:rPr>
          <w:rFonts w:ascii="Arial" w:hAnsi="Arial" w:cs="Arial"/>
          <w:b/>
        </w:rPr>
        <w:tab/>
        <w:t>BACKGROUND</w:t>
      </w:r>
    </w:p>
    <w:p w:rsidR="00E00A73" w:rsidRPr="00A2288D" w:rsidRDefault="00E00A73" w:rsidP="00A2288D">
      <w:pPr>
        <w:spacing w:line="260" w:lineRule="atLeast"/>
        <w:jc w:val="both"/>
        <w:rPr>
          <w:rFonts w:ascii="Arial" w:hAnsi="Arial" w:cs="Arial"/>
        </w:rPr>
      </w:pPr>
    </w:p>
    <w:p w:rsidR="00C07238" w:rsidRPr="00A2288D" w:rsidRDefault="00E00A73" w:rsidP="00A2288D">
      <w:pPr>
        <w:spacing w:line="260" w:lineRule="atLeast"/>
        <w:ind w:left="720" w:hanging="720"/>
        <w:jc w:val="both"/>
        <w:rPr>
          <w:rFonts w:ascii="Arial" w:hAnsi="Arial" w:cs="Arial"/>
        </w:rPr>
      </w:pPr>
      <w:r w:rsidRPr="00A2288D">
        <w:rPr>
          <w:rFonts w:ascii="Arial" w:hAnsi="Arial" w:cs="Arial"/>
        </w:rPr>
        <w:t>2.1</w:t>
      </w:r>
      <w:r w:rsidRPr="00A2288D">
        <w:rPr>
          <w:rFonts w:ascii="Arial" w:hAnsi="Arial" w:cs="Arial"/>
        </w:rPr>
        <w:tab/>
      </w:r>
      <w:r w:rsidR="001C281F" w:rsidRPr="00A2288D">
        <w:rPr>
          <w:rFonts w:ascii="Arial" w:hAnsi="Arial" w:cs="Arial"/>
        </w:rPr>
        <w:t>The applica</w:t>
      </w:r>
      <w:r w:rsidR="008C532F" w:rsidRPr="00A2288D">
        <w:rPr>
          <w:rFonts w:ascii="Arial" w:hAnsi="Arial" w:cs="Arial"/>
        </w:rPr>
        <w:t>tion site is a listed building and</w:t>
      </w:r>
      <w:r w:rsidR="001C281F" w:rsidRPr="00A2288D">
        <w:rPr>
          <w:rFonts w:ascii="Arial" w:hAnsi="Arial" w:cs="Arial"/>
        </w:rPr>
        <w:t xml:space="preserve"> is the subject of an environmental health improvement notice requiring various </w:t>
      </w:r>
      <w:r w:rsidR="008C532F" w:rsidRPr="00A2288D">
        <w:rPr>
          <w:rFonts w:ascii="Arial" w:hAnsi="Arial" w:cs="Arial"/>
        </w:rPr>
        <w:t>work</w:t>
      </w:r>
      <w:r w:rsidR="001C281F" w:rsidRPr="00A2288D">
        <w:rPr>
          <w:rFonts w:ascii="Arial" w:hAnsi="Arial" w:cs="Arial"/>
        </w:rPr>
        <w:t xml:space="preserve">s </w:t>
      </w:r>
      <w:r w:rsidR="008C532F" w:rsidRPr="00A2288D">
        <w:rPr>
          <w:rFonts w:ascii="Arial" w:hAnsi="Arial" w:cs="Arial"/>
        </w:rPr>
        <w:t>outlin</w:t>
      </w:r>
      <w:r w:rsidR="001C281F" w:rsidRPr="00A2288D">
        <w:rPr>
          <w:rFonts w:ascii="Arial" w:hAnsi="Arial" w:cs="Arial"/>
        </w:rPr>
        <w:t>ed below</w:t>
      </w:r>
      <w:r w:rsidR="008C532F" w:rsidRPr="00A2288D">
        <w:rPr>
          <w:rFonts w:ascii="Arial" w:hAnsi="Arial" w:cs="Arial"/>
        </w:rPr>
        <w:t xml:space="preserve"> (4.3)</w:t>
      </w:r>
      <w:r w:rsidR="001C281F" w:rsidRPr="00A2288D">
        <w:rPr>
          <w:rFonts w:ascii="Arial" w:hAnsi="Arial" w:cs="Arial"/>
        </w:rPr>
        <w:t xml:space="preserve">. </w:t>
      </w:r>
      <w:r w:rsidR="008C532F" w:rsidRPr="00A2288D">
        <w:rPr>
          <w:rFonts w:ascii="Arial" w:hAnsi="Arial" w:cs="Arial"/>
        </w:rPr>
        <w:t>The applicant</w:t>
      </w:r>
      <w:r w:rsidR="001C281F" w:rsidRPr="00A2288D">
        <w:rPr>
          <w:rFonts w:ascii="Arial" w:hAnsi="Arial" w:cs="Arial"/>
        </w:rPr>
        <w:t xml:space="preserve"> began this work without seeking listed building consent</w:t>
      </w:r>
      <w:r w:rsidR="008C532F" w:rsidRPr="00A2288D">
        <w:rPr>
          <w:rFonts w:ascii="Arial" w:hAnsi="Arial" w:cs="Arial"/>
        </w:rPr>
        <w:t>,</w:t>
      </w:r>
      <w:r w:rsidR="001C281F" w:rsidRPr="00A2288D">
        <w:rPr>
          <w:rFonts w:ascii="Arial" w:hAnsi="Arial" w:cs="Arial"/>
        </w:rPr>
        <w:t xml:space="preserve"> damaging the historic </w:t>
      </w:r>
      <w:r w:rsidR="0082254B" w:rsidRPr="00A2288D">
        <w:rPr>
          <w:rFonts w:ascii="Arial" w:hAnsi="Arial" w:cs="Arial"/>
        </w:rPr>
        <w:t>plasterwork</w:t>
      </w:r>
      <w:r w:rsidR="001C281F" w:rsidRPr="00A2288D">
        <w:rPr>
          <w:rFonts w:ascii="Arial" w:hAnsi="Arial" w:cs="Arial"/>
        </w:rPr>
        <w:t xml:space="preserve"> </w:t>
      </w:r>
      <w:r w:rsidR="00AD2DF8" w:rsidRPr="00A2288D">
        <w:rPr>
          <w:rFonts w:ascii="Arial" w:hAnsi="Arial" w:cs="Arial"/>
        </w:rPr>
        <w:t xml:space="preserve">in the ground floor rear room </w:t>
      </w:r>
      <w:r w:rsidR="001C281F" w:rsidRPr="00A2288D">
        <w:rPr>
          <w:rFonts w:ascii="Arial" w:hAnsi="Arial" w:cs="Arial"/>
        </w:rPr>
        <w:t xml:space="preserve">of the listed building. </w:t>
      </w:r>
      <w:r w:rsidR="008C532F" w:rsidRPr="00A2288D">
        <w:rPr>
          <w:rFonts w:ascii="Arial" w:hAnsi="Arial" w:cs="Arial"/>
        </w:rPr>
        <w:t xml:space="preserve">The interior of a listed building benefits from the same level of protection as the exterior. </w:t>
      </w:r>
      <w:r w:rsidR="001C281F" w:rsidRPr="00A2288D">
        <w:rPr>
          <w:rFonts w:ascii="Arial" w:hAnsi="Arial" w:cs="Arial"/>
        </w:rPr>
        <w:t xml:space="preserve">Consequently, an enforcement </w:t>
      </w:r>
      <w:r w:rsidRPr="00A2288D">
        <w:rPr>
          <w:rFonts w:ascii="Arial" w:hAnsi="Arial" w:cs="Arial"/>
        </w:rPr>
        <w:t xml:space="preserve">investigation was opened and this application has been submitted to enable the works </w:t>
      </w:r>
      <w:r w:rsidR="008C532F" w:rsidRPr="00A2288D">
        <w:rPr>
          <w:rFonts w:ascii="Arial" w:hAnsi="Arial" w:cs="Arial"/>
        </w:rPr>
        <w:t xml:space="preserve">required by the Environmental Health Department and remediate the damage already caused to the listed building. </w:t>
      </w:r>
    </w:p>
    <w:p w:rsidR="00C07238" w:rsidRPr="00A2288D" w:rsidRDefault="00C07238" w:rsidP="00A2288D">
      <w:pPr>
        <w:spacing w:line="260" w:lineRule="atLeast"/>
        <w:jc w:val="both"/>
        <w:rPr>
          <w:rFonts w:ascii="Arial" w:hAnsi="Arial" w:cs="Arial"/>
        </w:rPr>
      </w:pPr>
    </w:p>
    <w:p w:rsidR="009930C4" w:rsidRPr="00A2288D" w:rsidRDefault="001C281F" w:rsidP="00A2288D">
      <w:pPr>
        <w:spacing w:line="260" w:lineRule="atLeast"/>
        <w:jc w:val="both"/>
        <w:rPr>
          <w:rFonts w:ascii="Arial" w:hAnsi="Arial" w:cs="Arial"/>
          <w:b/>
        </w:rPr>
      </w:pPr>
      <w:r w:rsidRPr="00A2288D">
        <w:rPr>
          <w:rFonts w:ascii="Arial" w:hAnsi="Arial" w:cs="Arial"/>
        </w:rPr>
        <w:t>3</w:t>
      </w:r>
      <w:r w:rsidR="009930C4" w:rsidRPr="00A2288D">
        <w:rPr>
          <w:rFonts w:ascii="Arial" w:hAnsi="Arial" w:cs="Arial"/>
        </w:rPr>
        <w:t>.</w:t>
      </w:r>
      <w:r w:rsidR="009930C4" w:rsidRPr="00A2288D">
        <w:rPr>
          <w:rFonts w:ascii="Arial" w:hAnsi="Arial" w:cs="Arial"/>
          <w:b/>
        </w:rPr>
        <w:tab/>
        <w:t>THE PROPOSAL</w:t>
      </w:r>
    </w:p>
    <w:p w:rsidR="009930C4" w:rsidRPr="00A2288D" w:rsidRDefault="009930C4" w:rsidP="00A2288D">
      <w:pPr>
        <w:spacing w:line="260" w:lineRule="atLeast"/>
        <w:jc w:val="both"/>
        <w:rPr>
          <w:rFonts w:ascii="Arial" w:hAnsi="Arial" w:cs="Arial"/>
          <w:b/>
        </w:rPr>
      </w:pPr>
    </w:p>
    <w:p w:rsidR="00CA59A7" w:rsidRPr="00A2288D" w:rsidRDefault="001C281F" w:rsidP="00A2288D">
      <w:pPr>
        <w:spacing w:line="260" w:lineRule="atLeast"/>
        <w:ind w:left="709" w:hanging="709"/>
        <w:jc w:val="both"/>
        <w:rPr>
          <w:rFonts w:ascii="Arial" w:hAnsi="Arial" w:cs="Arial"/>
        </w:rPr>
      </w:pPr>
      <w:r w:rsidRPr="00A2288D">
        <w:rPr>
          <w:rFonts w:ascii="Arial" w:hAnsi="Arial" w:cs="Arial"/>
        </w:rPr>
        <w:t>3.1</w:t>
      </w:r>
      <w:r w:rsidRPr="00A2288D">
        <w:rPr>
          <w:rFonts w:ascii="Arial" w:hAnsi="Arial" w:cs="Arial"/>
        </w:rPr>
        <w:tab/>
      </w:r>
      <w:r w:rsidR="00CA59A7" w:rsidRPr="00A2288D">
        <w:rPr>
          <w:rFonts w:ascii="Arial" w:hAnsi="Arial" w:cs="Arial"/>
        </w:rPr>
        <w:t>The application seeks p</w:t>
      </w:r>
      <w:r w:rsidR="00476CD3" w:rsidRPr="00A2288D">
        <w:rPr>
          <w:rFonts w:ascii="Arial" w:hAnsi="Arial" w:cs="Arial"/>
        </w:rPr>
        <w:t>lanning p</w:t>
      </w:r>
      <w:r w:rsidR="00CA59A7" w:rsidRPr="00A2288D">
        <w:rPr>
          <w:rFonts w:ascii="Arial" w:hAnsi="Arial" w:cs="Arial"/>
        </w:rPr>
        <w:t xml:space="preserve">ermission </w:t>
      </w:r>
      <w:r w:rsidR="00476CD3" w:rsidRPr="00A2288D">
        <w:rPr>
          <w:rFonts w:ascii="Arial" w:hAnsi="Arial" w:cs="Arial"/>
        </w:rPr>
        <w:t xml:space="preserve">and listed building consent </w:t>
      </w:r>
      <w:r w:rsidR="00CA59A7" w:rsidRPr="00A2288D">
        <w:rPr>
          <w:rFonts w:ascii="Arial" w:hAnsi="Arial" w:cs="Arial"/>
        </w:rPr>
        <w:t>for the following:</w:t>
      </w:r>
    </w:p>
    <w:p w:rsidR="00E00A73" w:rsidRPr="00A2288D" w:rsidRDefault="00E00A73" w:rsidP="00A2288D">
      <w:pPr>
        <w:spacing w:line="260" w:lineRule="atLeast"/>
        <w:ind w:left="360" w:hanging="360"/>
        <w:jc w:val="both"/>
        <w:rPr>
          <w:rFonts w:ascii="Arial" w:hAnsi="Arial" w:cs="Arial"/>
        </w:rPr>
      </w:pPr>
    </w:p>
    <w:p w:rsidR="00BA0A9C" w:rsidRPr="00A2288D" w:rsidRDefault="00EA138C" w:rsidP="00A2288D">
      <w:pPr>
        <w:numPr>
          <w:ilvl w:val="0"/>
          <w:numId w:val="11"/>
        </w:numPr>
        <w:ind w:left="1560"/>
        <w:jc w:val="both"/>
        <w:rPr>
          <w:rFonts w:ascii="Arial" w:hAnsi="Arial" w:cs="Arial"/>
        </w:rPr>
      </w:pPr>
      <w:r w:rsidRPr="00A2288D">
        <w:rPr>
          <w:rFonts w:ascii="Arial" w:hAnsi="Arial" w:cs="Arial"/>
        </w:rPr>
        <w:t xml:space="preserve">The replacement of a </w:t>
      </w:r>
      <w:r w:rsidR="00C07238" w:rsidRPr="00A2288D">
        <w:rPr>
          <w:rFonts w:ascii="Arial" w:hAnsi="Arial" w:cs="Arial"/>
        </w:rPr>
        <w:t xml:space="preserve">timber </w:t>
      </w:r>
      <w:r w:rsidRPr="00A2288D">
        <w:rPr>
          <w:rFonts w:ascii="Arial" w:hAnsi="Arial" w:cs="Arial"/>
        </w:rPr>
        <w:t xml:space="preserve">rear door with single-glazed window with a </w:t>
      </w:r>
      <w:r w:rsidR="00C07238" w:rsidRPr="00A2288D">
        <w:rPr>
          <w:rFonts w:ascii="Arial" w:hAnsi="Arial" w:cs="Arial"/>
        </w:rPr>
        <w:t xml:space="preserve">timber </w:t>
      </w:r>
      <w:r w:rsidRPr="00A2288D">
        <w:rPr>
          <w:rFonts w:ascii="Arial" w:hAnsi="Arial" w:cs="Arial"/>
        </w:rPr>
        <w:t>door with double-glazed window</w:t>
      </w:r>
      <w:r w:rsidR="00E608CA" w:rsidRPr="00A2288D">
        <w:rPr>
          <w:rFonts w:ascii="Arial" w:hAnsi="Arial" w:cs="Arial"/>
        </w:rPr>
        <w:t>.</w:t>
      </w:r>
    </w:p>
    <w:p w:rsidR="00E17D5F" w:rsidRPr="00A2288D" w:rsidRDefault="00E17D5F" w:rsidP="00A2288D">
      <w:pPr>
        <w:numPr>
          <w:ilvl w:val="0"/>
          <w:numId w:val="11"/>
        </w:numPr>
        <w:ind w:left="1560"/>
        <w:jc w:val="both"/>
        <w:rPr>
          <w:rFonts w:ascii="Arial" w:hAnsi="Arial" w:cs="Arial"/>
        </w:rPr>
      </w:pPr>
      <w:r w:rsidRPr="00A2288D">
        <w:rPr>
          <w:rFonts w:ascii="Arial" w:hAnsi="Arial" w:cs="Arial"/>
        </w:rPr>
        <w:t>Repairs to existing historic windows and secondary glazing</w:t>
      </w:r>
      <w:r w:rsidR="00C07238" w:rsidRPr="00A2288D">
        <w:rPr>
          <w:rFonts w:ascii="Arial" w:hAnsi="Arial" w:cs="Arial"/>
        </w:rPr>
        <w:t>.</w:t>
      </w:r>
    </w:p>
    <w:p w:rsidR="00EA138C" w:rsidRPr="00A2288D" w:rsidRDefault="00EA138C" w:rsidP="00A2288D">
      <w:pPr>
        <w:numPr>
          <w:ilvl w:val="0"/>
          <w:numId w:val="11"/>
        </w:numPr>
        <w:ind w:left="1560"/>
        <w:jc w:val="both"/>
        <w:rPr>
          <w:rFonts w:ascii="Arial" w:hAnsi="Arial" w:cs="Arial"/>
        </w:rPr>
      </w:pPr>
      <w:r w:rsidRPr="00A2288D">
        <w:rPr>
          <w:rFonts w:ascii="Arial" w:hAnsi="Arial" w:cs="Arial"/>
        </w:rPr>
        <w:t xml:space="preserve">The installation of a railing around the rear light well. </w:t>
      </w:r>
    </w:p>
    <w:p w:rsidR="00E365FB" w:rsidRPr="00A2288D" w:rsidRDefault="00EA138C" w:rsidP="00A2288D">
      <w:pPr>
        <w:numPr>
          <w:ilvl w:val="0"/>
          <w:numId w:val="11"/>
        </w:numPr>
        <w:ind w:left="1560"/>
        <w:jc w:val="both"/>
        <w:rPr>
          <w:rFonts w:ascii="Arial" w:hAnsi="Arial" w:cs="Arial"/>
        </w:rPr>
      </w:pPr>
      <w:r w:rsidRPr="00A2288D">
        <w:rPr>
          <w:rFonts w:ascii="Arial" w:hAnsi="Arial" w:cs="Arial"/>
        </w:rPr>
        <w:t xml:space="preserve">The installation of a banister to the front area steps. </w:t>
      </w:r>
      <w:r w:rsidR="00E365FB" w:rsidRPr="00A2288D">
        <w:rPr>
          <w:rFonts w:ascii="Arial" w:hAnsi="Arial" w:cs="Arial"/>
        </w:rPr>
        <w:t xml:space="preserve"> </w:t>
      </w:r>
    </w:p>
    <w:p w:rsidR="00E365FB" w:rsidRPr="00A2288D" w:rsidRDefault="00EA138C" w:rsidP="00A2288D">
      <w:pPr>
        <w:numPr>
          <w:ilvl w:val="0"/>
          <w:numId w:val="11"/>
        </w:numPr>
        <w:ind w:left="1560"/>
        <w:jc w:val="both"/>
        <w:rPr>
          <w:rFonts w:ascii="Arial" w:hAnsi="Arial" w:cs="Arial"/>
        </w:rPr>
      </w:pPr>
      <w:r w:rsidRPr="00A2288D">
        <w:rPr>
          <w:rFonts w:ascii="Arial" w:hAnsi="Arial" w:cs="Arial"/>
        </w:rPr>
        <w:t xml:space="preserve">Reinstatement </w:t>
      </w:r>
      <w:r w:rsidR="00AD2DF8" w:rsidRPr="00A2288D">
        <w:rPr>
          <w:rFonts w:ascii="Arial" w:hAnsi="Arial" w:cs="Arial"/>
        </w:rPr>
        <w:t xml:space="preserve">and insulation </w:t>
      </w:r>
      <w:r w:rsidRPr="00A2288D">
        <w:rPr>
          <w:rFonts w:ascii="Arial" w:hAnsi="Arial" w:cs="Arial"/>
        </w:rPr>
        <w:t>of the basement ceiling.</w:t>
      </w:r>
    </w:p>
    <w:p w:rsidR="00EA138C" w:rsidRPr="00A2288D" w:rsidRDefault="00EA138C" w:rsidP="00A2288D">
      <w:pPr>
        <w:numPr>
          <w:ilvl w:val="0"/>
          <w:numId w:val="11"/>
        </w:numPr>
        <w:ind w:left="1560"/>
        <w:jc w:val="both"/>
        <w:rPr>
          <w:rFonts w:ascii="Arial" w:hAnsi="Arial" w:cs="Arial"/>
        </w:rPr>
      </w:pPr>
      <w:r w:rsidRPr="00A2288D">
        <w:rPr>
          <w:rFonts w:ascii="Arial" w:hAnsi="Arial" w:cs="Arial"/>
        </w:rPr>
        <w:t xml:space="preserve">Repairs to internal plasterwork on </w:t>
      </w:r>
      <w:r w:rsidR="000D6EF4" w:rsidRPr="00A2288D">
        <w:rPr>
          <w:rFonts w:ascii="Arial" w:hAnsi="Arial" w:cs="Arial"/>
        </w:rPr>
        <w:t xml:space="preserve">damaged lath-and-plaster </w:t>
      </w:r>
      <w:r w:rsidRPr="00A2288D">
        <w:rPr>
          <w:rFonts w:ascii="Arial" w:hAnsi="Arial" w:cs="Arial"/>
        </w:rPr>
        <w:t>walls and ceilings</w:t>
      </w:r>
      <w:r w:rsidR="00C07238" w:rsidRPr="00A2288D">
        <w:rPr>
          <w:rFonts w:ascii="Arial" w:hAnsi="Arial" w:cs="Arial"/>
        </w:rPr>
        <w:t>, including like-for-like reinstatement of removed cornice</w:t>
      </w:r>
      <w:r w:rsidRPr="00A2288D">
        <w:rPr>
          <w:rFonts w:ascii="Arial" w:hAnsi="Arial" w:cs="Arial"/>
        </w:rPr>
        <w:t xml:space="preserve">. </w:t>
      </w:r>
    </w:p>
    <w:p w:rsidR="00AD2DF8" w:rsidRPr="00A2288D" w:rsidRDefault="00EA138C" w:rsidP="00A2288D">
      <w:pPr>
        <w:numPr>
          <w:ilvl w:val="0"/>
          <w:numId w:val="11"/>
        </w:numPr>
        <w:ind w:left="1560"/>
        <w:jc w:val="both"/>
        <w:rPr>
          <w:rFonts w:ascii="Arial" w:hAnsi="Arial" w:cs="Arial"/>
        </w:rPr>
      </w:pPr>
      <w:r w:rsidRPr="00A2288D">
        <w:rPr>
          <w:rFonts w:ascii="Arial" w:hAnsi="Arial" w:cs="Arial"/>
        </w:rPr>
        <w:t>Installation of new kitchen and bathroom in existing positions</w:t>
      </w:r>
      <w:r w:rsidR="00C07238" w:rsidRPr="00A2288D">
        <w:rPr>
          <w:rFonts w:ascii="Arial" w:hAnsi="Arial" w:cs="Arial"/>
        </w:rPr>
        <w:t>, using existing pipework connections</w:t>
      </w:r>
      <w:r w:rsidRPr="00A2288D">
        <w:rPr>
          <w:rFonts w:ascii="Arial" w:hAnsi="Arial" w:cs="Arial"/>
        </w:rPr>
        <w:t>.</w:t>
      </w:r>
    </w:p>
    <w:p w:rsidR="00AD2DF8" w:rsidRPr="00A2288D" w:rsidRDefault="00AD2DF8" w:rsidP="00A2288D">
      <w:pPr>
        <w:numPr>
          <w:ilvl w:val="0"/>
          <w:numId w:val="11"/>
        </w:numPr>
        <w:ind w:left="1560"/>
        <w:jc w:val="both"/>
        <w:rPr>
          <w:rFonts w:ascii="Arial" w:hAnsi="Arial" w:cs="Arial"/>
        </w:rPr>
      </w:pPr>
      <w:r w:rsidRPr="00A2288D">
        <w:rPr>
          <w:rFonts w:ascii="Arial" w:hAnsi="Arial" w:cs="Arial"/>
        </w:rPr>
        <w:t>Installation of a central heating system.</w:t>
      </w:r>
    </w:p>
    <w:p w:rsidR="00EA138C" w:rsidRDefault="00AD2DF8" w:rsidP="00A2288D">
      <w:pPr>
        <w:numPr>
          <w:ilvl w:val="0"/>
          <w:numId w:val="11"/>
        </w:numPr>
        <w:ind w:left="1560"/>
        <w:jc w:val="both"/>
        <w:rPr>
          <w:rFonts w:ascii="Arial" w:hAnsi="Arial" w:cs="Arial"/>
        </w:rPr>
      </w:pPr>
      <w:r w:rsidRPr="00A2288D">
        <w:rPr>
          <w:rFonts w:ascii="Arial" w:hAnsi="Arial" w:cs="Arial"/>
        </w:rPr>
        <w:t>Fire protection works.</w:t>
      </w:r>
      <w:r w:rsidR="00EA138C" w:rsidRPr="00A2288D">
        <w:rPr>
          <w:rFonts w:ascii="Arial" w:hAnsi="Arial" w:cs="Arial"/>
        </w:rPr>
        <w:t xml:space="preserve"> </w:t>
      </w:r>
    </w:p>
    <w:p w:rsidR="00156681" w:rsidRDefault="00156681" w:rsidP="00156681">
      <w:pPr>
        <w:jc w:val="both"/>
        <w:rPr>
          <w:rFonts w:ascii="Arial" w:hAnsi="Arial" w:cs="Arial"/>
        </w:rPr>
      </w:pPr>
    </w:p>
    <w:p w:rsidR="00156681" w:rsidRDefault="00156681" w:rsidP="00156681">
      <w:pPr>
        <w:jc w:val="both"/>
        <w:rPr>
          <w:rFonts w:ascii="Arial" w:hAnsi="Arial" w:cs="Arial"/>
        </w:rPr>
      </w:pPr>
    </w:p>
    <w:p w:rsidR="00C151D7" w:rsidRDefault="00C151D7" w:rsidP="00156681">
      <w:pPr>
        <w:jc w:val="both"/>
        <w:rPr>
          <w:rFonts w:ascii="Arial" w:hAnsi="Arial" w:cs="Arial"/>
        </w:rPr>
      </w:pPr>
    </w:p>
    <w:p w:rsidR="00156681" w:rsidRDefault="00156681" w:rsidP="00156681">
      <w:pPr>
        <w:jc w:val="both"/>
        <w:rPr>
          <w:rFonts w:ascii="Arial" w:hAnsi="Arial" w:cs="Arial"/>
        </w:rPr>
      </w:pPr>
    </w:p>
    <w:p w:rsidR="00156681" w:rsidRPr="00156681" w:rsidRDefault="00156681" w:rsidP="00156681">
      <w:pPr>
        <w:ind w:left="720"/>
        <w:jc w:val="both"/>
        <w:rPr>
          <w:rFonts w:ascii="Arial" w:hAnsi="Arial" w:cs="Arial"/>
          <w:b/>
        </w:rPr>
      </w:pPr>
      <w:r w:rsidRPr="00156681">
        <w:rPr>
          <w:rFonts w:ascii="Arial" w:hAnsi="Arial" w:cs="Arial"/>
          <w:b/>
        </w:rPr>
        <w:lastRenderedPageBreak/>
        <w:t>Revisions</w:t>
      </w:r>
    </w:p>
    <w:p w:rsidR="00156681" w:rsidRDefault="00156681" w:rsidP="00156681">
      <w:pPr>
        <w:ind w:left="720"/>
        <w:jc w:val="both"/>
        <w:rPr>
          <w:rFonts w:ascii="Arial" w:hAnsi="Arial" w:cs="Arial"/>
        </w:rPr>
      </w:pPr>
    </w:p>
    <w:p w:rsidR="00156681" w:rsidRPr="00A2288D" w:rsidRDefault="00156681" w:rsidP="00156681">
      <w:pPr>
        <w:ind w:left="720" w:hanging="720"/>
        <w:jc w:val="both"/>
        <w:rPr>
          <w:rFonts w:ascii="Arial" w:hAnsi="Arial" w:cs="Arial"/>
        </w:rPr>
      </w:pPr>
      <w:r>
        <w:rPr>
          <w:rFonts w:ascii="Arial" w:hAnsi="Arial" w:cs="Arial"/>
        </w:rPr>
        <w:t>3.2</w:t>
      </w:r>
      <w:r>
        <w:rPr>
          <w:rFonts w:ascii="Arial" w:hAnsi="Arial" w:cs="Arial"/>
        </w:rPr>
        <w:tab/>
        <w:t xml:space="preserve">Revised drawings were requested during the course of the application to provide more details on the proposed work to enable officers to make a full assessment of the likely impacts of the proposed works. </w:t>
      </w:r>
    </w:p>
    <w:p w:rsidR="00E00A73" w:rsidRDefault="00E00A73" w:rsidP="00A2288D">
      <w:pPr>
        <w:spacing w:line="260" w:lineRule="atLeast"/>
        <w:jc w:val="both"/>
        <w:rPr>
          <w:rFonts w:ascii="Arial" w:hAnsi="Arial" w:cs="Arial"/>
        </w:rPr>
      </w:pPr>
    </w:p>
    <w:p w:rsidR="009930C4" w:rsidRPr="00A2288D" w:rsidRDefault="001C281F" w:rsidP="00A2288D">
      <w:pPr>
        <w:spacing w:line="260" w:lineRule="atLeast"/>
        <w:jc w:val="both"/>
        <w:rPr>
          <w:rFonts w:ascii="Arial" w:hAnsi="Arial" w:cs="Arial"/>
          <w:b/>
        </w:rPr>
      </w:pPr>
      <w:r w:rsidRPr="00A2288D">
        <w:rPr>
          <w:rFonts w:ascii="Arial" w:hAnsi="Arial" w:cs="Arial"/>
        </w:rPr>
        <w:t>4</w:t>
      </w:r>
      <w:r w:rsidR="009930C4" w:rsidRPr="00A2288D">
        <w:rPr>
          <w:rFonts w:ascii="Arial" w:hAnsi="Arial" w:cs="Arial"/>
        </w:rPr>
        <w:t>.</w:t>
      </w:r>
      <w:r w:rsidR="009930C4" w:rsidRPr="00A2288D">
        <w:rPr>
          <w:rFonts w:ascii="Arial" w:hAnsi="Arial" w:cs="Arial"/>
          <w:b/>
        </w:rPr>
        <w:tab/>
        <w:t>RELEVANT HISTORY</w:t>
      </w:r>
    </w:p>
    <w:p w:rsidR="009930C4" w:rsidRPr="00A2288D" w:rsidRDefault="009930C4" w:rsidP="00A2288D">
      <w:pPr>
        <w:spacing w:line="260" w:lineRule="atLeast"/>
        <w:jc w:val="both"/>
        <w:rPr>
          <w:rFonts w:ascii="Arial" w:hAnsi="Arial" w:cs="Arial"/>
        </w:rPr>
      </w:pPr>
    </w:p>
    <w:p w:rsidR="00555598" w:rsidRPr="00A2288D" w:rsidRDefault="001C281F" w:rsidP="00A2288D">
      <w:pPr>
        <w:ind w:left="720" w:hanging="720"/>
        <w:jc w:val="both"/>
        <w:rPr>
          <w:rFonts w:ascii="Arial" w:hAnsi="Arial" w:cs="Arial"/>
        </w:rPr>
      </w:pPr>
      <w:r w:rsidRPr="00A2288D">
        <w:rPr>
          <w:rFonts w:ascii="Arial" w:hAnsi="Arial" w:cs="Arial"/>
        </w:rPr>
        <w:t>4</w:t>
      </w:r>
      <w:r w:rsidR="005C27F5" w:rsidRPr="00A2288D">
        <w:rPr>
          <w:rFonts w:ascii="Arial" w:hAnsi="Arial" w:cs="Arial"/>
        </w:rPr>
        <w:t>.1</w:t>
      </w:r>
      <w:r w:rsidR="005C27F5" w:rsidRPr="00A2288D">
        <w:rPr>
          <w:rFonts w:ascii="Arial" w:hAnsi="Arial" w:cs="Arial"/>
        </w:rPr>
        <w:tab/>
      </w:r>
      <w:r w:rsidR="00EA138C" w:rsidRPr="00A2288D">
        <w:rPr>
          <w:rFonts w:ascii="Arial" w:hAnsi="Arial" w:cs="Arial"/>
          <w:b/>
        </w:rPr>
        <w:t>9003297</w:t>
      </w:r>
      <w:r w:rsidR="005C27F5" w:rsidRPr="00A2288D">
        <w:rPr>
          <w:rFonts w:ascii="Arial" w:hAnsi="Arial" w:cs="Arial"/>
        </w:rPr>
        <w:t>:</w:t>
      </w:r>
      <w:r w:rsidR="00EA138C" w:rsidRPr="00A2288D">
        <w:rPr>
          <w:rFonts w:ascii="Arial" w:hAnsi="Arial" w:cs="Arial"/>
        </w:rPr>
        <w:t xml:space="preserve"> Erection of a first floor rear extension to accommodate a new bathroom to the existing dwelling house as shown on drawing nos. 1-4. </w:t>
      </w:r>
      <w:r w:rsidR="00A2288D">
        <w:rPr>
          <w:rFonts w:ascii="Arial" w:hAnsi="Arial" w:cs="Arial"/>
        </w:rPr>
        <w:t xml:space="preserve">Granted </w:t>
      </w:r>
      <w:r w:rsidR="00EA138C" w:rsidRPr="00A2288D">
        <w:rPr>
          <w:rFonts w:ascii="Arial" w:hAnsi="Arial" w:cs="Arial"/>
        </w:rPr>
        <w:t>10/9/</w:t>
      </w:r>
      <w:r w:rsidR="00A2288D">
        <w:rPr>
          <w:rFonts w:ascii="Arial" w:hAnsi="Arial" w:cs="Arial"/>
        </w:rPr>
        <w:t>19</w:t>
      </w:r>
      <w:r w:rsidR="00EA138C" w:rsidRPr="00A2288D">
        <w:rPr>
          <w:rFonts w:ascii="Arial" w:hAnsi="Arial" w:cs="Arial"/>
        </w:rPr>
        <w:t>90</w:t>
      </w:r>
    </w:p>
    <w:p w:rsidR="00555598" w:rsidRPr="00A2288D" w:rsidRDefault="00555598" w:rsidP="00A2288D">
      <w:pPr>
        <w:jc w:val="both"/>
        <w:rPr>
          <w:rFonts w:ascii="Arial" w:hAnsi="Arial" w:cs="Arial"/>
        </w:rPr>
      </w:pPr>
    </w:p>
    <w:p w:rsidR="00555598" w:rsidRPr="00A2288D" w:rsidRDefault="001C281F" w:rsidP="00A2288D">
      <w:pPr>
        <w:ind w:left="720" w:hanging="720"/>
        <w:jc w:val="both"/>
        <w:rPr>
          <w:rFonts w:ascii="Arial" w:hAnsi="Arial" w:cs="Arial"/>
        </w:rPr>
      </w:pPr>
      <w:r w:rsidRPr="00A2288D">
        <w:rPr>
          <w:rFonts w:ascii="Arial" w:hAnsi="Arial" w:cs="Arial"/>
        </w:rPr>
        <w:t>4</w:t>
      </w:r>
      <w:r w:rsidR="005C27F5" w:rsidRPr="00A2288D">
        <w:rPr>
          <w:rFonts w:ascii="Arial" w:hAnsi="Arial" w:cs="Arial"/>
        </w:rPr>
        <w:t>.2</w:t>
      </w:r>
      <w:r w:rsidR="005C27F5" w:rsidRPr="00A2288D">
        <w:rPr>
          <w:rFonts w:ascii="Arial" w:hAnsi="Arial" w:cs="Arial"/>
        </w:rPr>
        <w:tab/>
      </w:r>
      <w:r w:rsidR="00EA138C" w:rsidRPr="00A2288D">
        <w:rPr>
          <w:rFonts w:ascii="Arial" w:hAnsi="Arial" w:cs="Arial"/>
          <w:b/>
        </w:rPr>
        <w:t>LEX</w:t>
      </w:r>
      <w:r w:rsidR="00562A12" w:rsidRPr="00A2288D">
        <w:rPr>
          <w:rFonts w:ascii="Arial" w:hAnsi="Arial" w:cs="Arial"/>
          <w:b/>
        </w:rPr>
        <w:t>0200387/L and PEX0200386/P/P</w:t>
      </w:r>
      <w:r w:rsidR="00555598" w:rsidRPr="00A2288D">
        <w:rPr>
          <w:rFonts w:ascii="Arial" w:hAnsi="Arial" w:cs="Arial"/>
        </w:rPr>
        <w:t xml:space="preserve"> </w:t>
      </w:r>
      <w:r w:rsidR="00562A12" w:rsidRPr="00A2288D">
        <w:rPr>
          <w:rFonts w:ascii="Arial" w:hAnsi="Arial" w:cs="Arial"/>
        </w:rPr>
        <w:t>Replacement of rear 1st floor sash windows with a timber and glass door, and installation of a balustrade and partition over the existing rear extension in order to create a roof terrace</w:t>
      </w:r>
      <w:r w:rsidR="00555598" w:rsidRPr="00A2288D">
        <w:rPr>
          <w:rFonts w:ascii="Arial" w:hAnsi="Arial" w:cs="Arial"/>
        </w:rPr>
        <w:t xml:space="preserve">. </w:t>
      </w:r>
      <w:r w:rsidR="00562A12" w:rsidRPr="00A2288D">
        <w:rPr>
          <w:rFonts w:ascii="Arial" w:hAnsi="Arial" w:cs="Arial"/>
        </w:rPr>
        <w:t>G</w:t>
      </w:r>
      <w:r w:rsidR="00A2288D">
        <w:rPr>
          <w:rFonts w:ascii="Arial" w:hAnsi="Arial" w:cs="Arial"/>
        </w:rPr>
        <w:t>ranted</w:t>
      </w:r>
      <w:r w:rsidR="00562A12" w:rsidRPr="00A2288D">
        <w:rPr>
          <w:rFonts w:ascii="Arial" w:hAnsi="Arial" w:cs="Arial"/>
        </w:rPr>
        <w:t xml:space="preserve"> 17/2/</w:t>
      </w:r>
      <w:r w:rsidR="00A2288D">
        <w:rPr>
          <w:rFonts w:ascii="Arial" w:hAnsi="Arial" w:cs="Arial"/>
        </w:rPr>
        <w:t>200</w:t>
      </w:r>
      <w:r w:rsidR="00562A12" w:rsidRPr="00A2288D">
        <w:rPr>
          <w:rFonts w:ascii="Arial" w:hAnsi="Arial" w:cs="Arial"/>
        </w:rPr>
        <w:t>4</w:t>
      </w:r>
    </w:p>
    <w:p w:rsidR="00FF1D37" w:rsidRPr="00A2288D" w:rsidRDefault="00FF1D37" w:rsidP="00A2288D">
      <w:pPr>
        <w:ind w:left="720" w:hanging="720"/>
        <w:jc w:val="both"/>
        <w:rPr>
          <w:rFonts w:ascii="Arial" w:hAnsi="Arial" w:cs="Arial"/>
        </w:rPr>
      </w:pPr>
    </w:p>
    <w:p w:rsidR="00FF1D37" w:rsidRPr="00A2288D" w:rsidRDefault="001C281F" w:rsidP="00A2288D">
      <w:pPr>
        <w:ind w:left="720" w:hanging="720"/>
        <w:jc w:val="both"/>
        <w:rPr>
          <w:rFonts w:ascii="Arial" w:hAnsi="Arial" w:cs="Arial"/>
        </w:rPr>
      </w:pPr>
      <w:r w:rsidRPr="00A2288D">
        <w:rPr>
          <w:rFonts w:ascii="Arial" w:hAnsi="Arial" w:cs="Arial"/>
        </w:rPr>
        <w:t>4</w:t>
      </w:r>
      <w:r w:rsidR="00FF1D37" w:rsidRPr="00A2288D">
        <w:rPr>
          <w:rFonts w:ascii="Arial" w:hAnsi="Arial" w:cs="Arial"/>
        </w:rPr>
        <w:t>.3</w:t>
      </w:r>
      <w:r w:rsidR="00FF1D37" w:rsidRPr="00A2288D">
        <w:rPr>
          <w:rFonts w:ascii="Arial" w:hAnsi="Arial" w:cs="Arial"/>
        </w:rPr>
        <w:tab/>
      </w:r>
      <w:r w:rsidR="00C07238" w:rsidRPr="00A2288D">
        <w:rPr>
          <w:rFonts w:ascii="Arial" w:hAnsi="Arial" w:cs="Arial"/>
          <w:b/>
        </w:rPr>
        <w:t xml:space="preserve">EN16/0450 </w:t>
      </w:r>
      <w:r w:rsidR="00C07238" w:rsidRPr="00A2288D">
        <w:rPr>
          <w:rFonts w:ascii="Arial" w:hAnsi="Arial" w:cs="Arial"/>
        </w:rPr>
        <w:t xml:space="preserve">- </w:t>
      </w:r>
      <w:r w:rsidR="00FF1D37" w:rsidRPr="00A2288D">
        <w:rPr>
          <w:rFonts w:ascii="Arial" w:hAnsi="Arial" w:cs="Arial"/>
        </w:rPr>
        <w:t>Enforcement investigation</w:t>
      </w:r>
      <w:r w:rsidR="00E00A73" w:rsidRPr="00A2288D">
        <w:rPr>
          <w:rFonts w:ascii="Arial" w:hAnsi="Arial" w:cs="Arial"/>
        </w:rPr>
        <w:t xml:space="preserve"> was opened on the 16/05/2016 in relation to works within the rear ground-floor room including the removal of original lath and plaster to large areas of the walls and to the entirety of the ceiling; partial removal of decorative cornice. An E</w:t>
      </w:r>
      <w:r w:rsidR="00FF1D37" w:rsidRPr="00A2288D">
        <w:rPr>
          <w:rFonts w:ascii="Arial" w:hAnsi="Arial" w:cs="Arial"/>
        </w:rPr>
        <w:t xml:space="preserve">nvironmental </w:t>
      </w:r>
      <w:r w:rsidR="00C07238" w:rsidRPr="00A2288D">
        <w:rPr>
          <w:rFonts w:ascii="Arial" w:hAnsi="Arial" w:cs="Arial"/>
        </w:rPr>
        <w:t>h</w:t>
      </w:r>
      <w:r w:rsidR="00FF1D37" w:rsidRPr="00A2288D">
        <w:rPr>
          <w:rFonts w:ascii="Arial" w:hAnsi="Arial" w:cs="Arial"/>
        </w:rPr>
        <w:t xml:space="preserve">ealth </w:t>
      </w:r>
      <w:r w:rsidR="00C07238" w:rsidRPr="00A2288D">
        <w:rPr>
          <w:rFonts w:ascii="Arial" w:hAnsi="Arial" w:cs="Arial"/>
        </w:rPr>
        <w:t>i</w:t>
      </w:r>
      <w:r w:rsidR="00FF1D37" w:rsidRPr="00A2288D">
        <w:rPr>
          <w:rFonts w:ascii="Arial" w:hAnsi="Arial" w:cs="Arial"/>
        </w:rPr>
        <w:t xml:space="preserve">mprovement </w:t>
      </w:r>
      <w:r w:rsidR="00C07238" w:rsidRPr="00A2288D">
        <w:rPr>
          <w:rFonts w:ascii="Arial" w:hAnsi="Arial" w:cs="Arial"/>
        </w:rPr>
        <w:t>n</w:t>
      </w:r>
      <w:r w:rsidR="00FF1D37" w:rsidRPr="00A2288D">
        <w:rPr>
          <w:rFonts w:ascii="Arial" w:hAnsi="Arial" w:cs="Arial"/>
        </w:rPr>
        <w:t>otice was served on the property to bring it up to a habitable standard</w:t>
      </w:r>
      <w:r w:rsidR="00C07238" w:rsidRPr="00A2288D">
        <w:rPr>
          <w:rFonts w:ascii="Arial" w:hAnsi="Arial" w:cs="Arial"/>
        </w:rPr>
        <w:t>, requiring works to improve</w:t>
      </w:r>
      <w:r w:rsidR="0082254B" w:rsidRPr="00A2288D">
        <w:rPr>
          <w:rFonts w:ascii="Arial" w:hAnsi="Arial" w:cs="Arial"/>
        </w:rPr>
        <w:t xml:space="preserve"> the gas pipework, install a central heating system, overhaul </w:t>
      </w:r>
      <w:r w:rsidR="00E00A73" w:rsidRPr="00A2288D">
        <w:rPr>
          <w:rFonts w:ascii="Arial" w:hAnsi="Arial" w:cs="Arial"/>
        </w:rPr>
        <w:t>and secondary</w:t>
      </w:r>
      <w:r w:rsidR="0082254B" w:rsidRPr="00A2288D">
        <w:rPr>
          <w:rFonts w:ascii="Arial" w:hAnsi="Arial" w:cs="Arial"/>
        </w:rPr>
        <w:t xml:space="preserve"> glaze the windows, insulate the bathroom and install a double-glazed door, </w:t>
      </w:r>
      <w:r w:rsidR="009C544A" w:rsidRPr="00A2288D">
        <w:rPr>
          <w:rFonts w:ascii="Arial" w:hAnsi="Arial" w:cs="Arial"/>
        </w:rPr>
        <w:t>insulate the basement ceiling, install a new</w:t>
      </w:r>
      <w:r w:rsidR="0082254B" w:rsidRPr="00A2288D">
        <w:rPr>
          <w:rFonts w:ascii="Arial" w:hAnsi="Arial" w:cs="Arial"/>
        </w:rPr>
        <w:t xml:space="preserve"> kitchen and bathroom, install fire and smoke protection equipment and fit railings to the front area steps and the rear light well</w:t>
      </w:r>
      <w:r w:rsidR="00FF1D37" w:rsidRPr="00A2288D">
        <w:rPr>
          <w:rFonts w:ascii="Arial" w:hAnsi="Arial" w:cs="Arial"/>
        </w:rPr>
        <w:t xml:space="preserve">. </w:t>
      </w:r>
      <w:r w:rsidR="00E00A73" w:rsidRPr="00A2288D">
        <w:rPr>
          <w:rFonts w:ascii="Arial" w:hAnsi="Arial" w:cs="Arial"/>
        </w:rPr>
        <w:t>The works were undertaken without the necessary consents being in place.</w:t>
      </w:r>
      <w:r w:rsidR="00FF1D37" w:rsidRPr="00A2288D">
        <w:rPr>
          <w:rFonts w:ascii="Arial" w:hAnsi="Arial" w:cs="Arial"/>
        </w:rPr>
        <w:t xml:space="preserve"> Enforcement officers were notified that the works were under way and visited the site. The works ceased, and discussions </w:t>
      </w:r>
      <w:r w:rsidR="00AD2DF8" w:rsidRPr="00A2288D">
        <w:rPr>
          <w:rFonts w:ascii="Arial" w:hAnsi="Arial" w:cs="Arial"/>
        </w:rPr>
        <w:t>took</w:t>
      </w:r>
      <w:r w:rsidR="00FF1D37" w:rsidRPr="00A2288D">
        <w:rPr>
          <w:rFonts w:ascii="Arial" w:hAnsi="Arial" w:cs="Arial"/>
        </w:rPr>
        <w:t xml:space="preserve"> place between the owner’s agent, enforcement officer and conservation and design officers which resulted in the current application to reinstate the elements that were removed.</w:t>
      </w:r>
    </w:p>
    <w:p w:rsidR="00C0348E" w:rsidRPr="00A2288D" w:rsidRDefault="00C0348E" w:rsidP="00A2288D">
      <w:pPr>
        <w:spacing w:line="260" w:lineRule="atLeast"/>
        <w:jc w:val="both"/>
        <w:rPr>
          <w:rFonts w:ascii="Arial" w:hAnsi="Arial" w:cs="Arial"/>
        </w:rPr>
      </w:pPr>
    </w:p>
    <w:p w:rsidR="009930C4" w:rsidRPr="00A2288D" w:rsidRDefault="001C281F" w:rsidP="00A2288D">
      <w:pPr>
        <w:spacing w:line="260" w:lineRule="atLeast"/>
        <w:jc w:val="both"/>
        <w:rPr>
          <w:rFonts w:ascii="Arial" w:hAnsi="Arial" w:cs="Arial"/>
          <w:b/>
          <w:color w:val="000000"/>
        </w:rPr>
      </w:pPr>
      <w:r w:rsidRPr="00A2288D">
        <w:rPr>
          <w:rFonts w:ascii="Arial" w:hAnsi="Arial" w:cs="Arial"/>
          <w:color w:val="000000"/>
        </w:rPr>
        <w:t>5</w:t>
      </w:r>
      <w:r w:rsidR="009930C4" w:rsidRPr="00A2288D">
        <w:rPr>
          <w:rFonts w:ascii="Arial" w:hAnsi="Arial" w:cs="Arial"/>
          <w:color w:val="000000"/>
        </w:rPr>
        <w:t>.</w:t>
      </w:r>
      <w:r w:rsidR="009930C4" w:rsidRPr="00A2288D">
        <w:rPr>
          <w:rFonts w:ascii="Arial" w:hAnsi="Arial" w:cs="Arial"/>
          <w:b/>
          <w:color w:val="000000"/>
        </w:rPr>
        <w:tab/>
        <w:t>CONSULTATIONS</w:t>
      </w:r>
    </w:p>
    <w:p w:rsidR="009930C4" w:rsidRPr="00A2288D" w:rsidRDefault="009930C4" w:rsidP="00A2288D">
      <w:pPr>
        <w:spacing w:line="260" w:lineRule="atLeast"/>
        <w:jc w:val="both"/>
        <w:rPr>
          <w:rFonts w:ascii="Arial" w:hAnsi="Arial" w:cs="Arial"/>
          <w:b/>
          <w:color w:val="000000"/>
        </w:rPr>
      </w:pPr>
    </w:p>
    <w:p w:rsidR="009930C4" w:rsidRPr="00A2288D" w:rsidRDefault="009930C4" w:rsidP="00A2288D">
      <w:pPr>
        <w:spacing w:line="260" w:lineRule="atLeast"/>
        <w:jc w:val="both"/>
        <w:rPr>
          <w:rFonts w:ascii="Arial" w:hAnsi="Arial" w:cs="Arial"/>
          <w:b/>
          <w:color w:val="000000"/>
        </w:rPr>
      </w:pPr>
      <w:r w:rsidRPr="00A2288D">
        <w:rPr>
          <w:rFonts w:ascii="Arial" w:hAnsi="Arial" w:cs="Arial"/>
          <w:color w:val="000000"/>
        </w:rPr>
        <w:tab/>
      </w:r>
      <w:r w:rsidRPr="00A2288D">
        <w:rPr>
          <w:rFonts w:ascii="Arial" w:hAnsi="Arial" w:cs="Arial"/>
          <w:b/>
          <w:color w:val="000000"/>
        </w:rPr>
        <w:t>Conservation Area Advisory Committee</w:t>
      </w:r>
    </w:p>
    <w:p w:rsidR="00562A12" w:rsidRPr="00A2288D" w:rsidRDefault="001C281F" w:rsidP="00A2288D">
      <w:pPr>
        <w:spacing w:line="260" w:lineRule="atLeast"/>
        <w:jc w:val="both"/>
        <w:rPr>
          <w:rFonts w:ascii="Arial" w:hAnsi="Arial" w:cs="Arial"/>
          <w:color w:val="000000"/>
        </w:rPr>
      </w:pPr>
      <w:r w:rsidRPr="00A2288D">
        <w:rPr>
          <w:rFonts w:ascii="Arial" w:hAnsi="Arial" w:cs="Arial"/>
          <w:color w:val="000000"/>
        </w:rPr>
        <w:t>5</w:t>
      </w:r>
      <w:r w:rsidR="0040686B" w:rsidRPr="00A2288D">
        <w:rPr>
          <w:rFonts w:ascii="Arial" w:hAnsi="Arial" w:cs="Arial"/>
          <w:color w:val="000000"/>
        </w:rPr>
        <w:t>.</w:t>
      </w:r>
      <w:r w:rsidR="00562A12" w:rsidRPr="00A2288D">
        <w:rPr>
          <w:rFonts w:ascii="Arial" w:hAnsi="Arial" w:cs="Arial"/>
          <w:color w:val="000000"/>
        </w:rPr>
        <w:t>1</w:t>
      </w:r>
      <w:r w:rsidR="009930C4" w:rsidRPr="00A2288D">
        <w:rPr>
          <w:rFonts w:ascii="Arial" w:hAnsi="Arial" w:cs="Arial"/>
          <w:color w:val="000000"/>
        </w:rPr>
        <w:tab/>
      </w:r>
      <w:r w:rsidR="00E566F9" w:rsidRPr="00A2288D">
        <w:rPr>
          <w:rFonts w:ascii="Arial" w:hAnsi="Arial" w:cs="Arial"/>
          <w:color w:val="000000"/>
        </w:rPr>
        <w:t>T</w:t>
      </w:r>
      <w:r w:rsidR="00476CD3" w:rsidRPr="00A2288D">
        <w:rPr>
          <w:rFonts w:ascii="Arial" w:hAnsi="Arial" w:cs="Arial"/>
          <w:color w:val="000000"/>
        </w:rPr>
        <w:t xml:space="preserve">he </w:t>
      </w:r>
      <w:r w:rsidR="00562A12" w:rsidRPr="00A2288D">
        <w:rPr>
          <w:rFonts w:ascii="Arial" w:hAnsi="Arial" w:cs="Arial"/>
          <w:color w:val="000000"/>
        </w:rPr>
        <w:t>Primrose Hill CAAC was consulted but did not comment</w:t>
      </w:r>
    </w:p>
    <w:p w:rsidR="00E00A73" w:rsidRPr="00A2288D" w:rsidRDefault="00E00A73" w:rsidP="00A2288D">
      <w:pPr>
        <w:spacing w:line="260" w:lineRule="atLeast"/>
        <w:jc w:val="both"/>
        <w:rPr>
          <w:rFonts w:ascii="Arial" w:hAnsi="Arial" w:cs="Arial"/>
          <w:color w:val="000000"/>
        </w:rPr>
      </w:pPr>
    </w:p>
    <w:p w:rsidR="00E00A73" w:rsidRPr="00A2288D" w:rsidRDefault="00E00A73" w:rsidP="00A2288D">
      <w:pPr>
        <w:spacing w:line="260" w:lineRule="atLeast"/>
        <w:jc w:val="both"/>
        <w:rPr>
          <w:rFonts w:ascii="Arial" w:hAnsi="Arial" w:cs="Arial"/>
          <w:b/>
          <w:color w:val="000000"/>
        </w:rPr>
      </w:pPr>
      <w:r w:rsidRPr="00A2288D">
        <w:rPr>
          <w:rFonts w:ascii="Arial" w:hAnsi="Arial" w:cs="Arial"/>
          <w:color w:val="000000"/>
        </w:rPr>
        <w:tab/>
      </w:r>
      <w:r w:rsidRPr="00A2288D">
        <w:rPr>
          <w:rFonts w:ascii="Arial" w:hAnsi="Arial" w:cs="Arial"/>
          <w:b/>
        </w:rPr>
        <w:t>Historic England</w:t>
      </w:r>
    </w:p>
    <w:p w:rsidR="00E00A73" w:rsidRPr="00A2288D" w:rsidRDefault="00E00A73" w:rsidP="00A2288D">
      <w:pPr>
        <w:spacing w:line="260" w:lineRule="atLeast"/>
        <w:ind w:left="720" w:hanging="720"/>
        <w:jc w:val="both"/>
        <w:rPr>
          <w:rFonts w:ascii="Arial" w:hAnsi="Arial" w:cs="Arial"/>
          <w:color w:val="000000"/>
        </w:rPr>
      </w:pPr>
      <w:r w:rsidRPr="00A2288D">
        <w:rPr>
          <w:rFonts w:ascii="Arial" w:hAnsi="Arial" w:cs="Arial"/>
        </w:rPr>
        <w:t>5.2</w:t>
      </w:r>
      <w:r w:rsidRPr="00A2288D">
        <w:rPr>
          <w:rFonts w:ascii="Arial" w:hAnsi="Arial" w:cs="Arial"/>
        </w:rPr>
        <w:tab/>
        <w:t>In line with Arrangements for Handling Heritage Applications – Notification to Historic England and National Amenity Societies and the Secretary of State (England) Direction 2015 came into force on 15 April 2015 – Historic England did not require notification of the applications.</w:t>
      </w:r>
    </w:p>
    <w:p w:rsidR="00E945E1" w:rsidRPr="00A2288D" w:rsidRDefault="00E945E1" w:rsidP="00A2288D">
      <w:pPr>
        <w:spacing w:line="260" w:lineRule="atLeast"/>
        <w:jc w:val="both"/>
        <w:rPr>
          <w:rFonts w:ascii="Arial" w:hAnsi="Arial" w:cs="Arial"/>
          <w:color w:val="000000"/>
          <w:shd w:val="clear" w:color="auto" w:fill="FFFFFF"/>
        </w:rPr>
      </w:pPr>
    </w:p>
    <w:p w:rsidR="009930C4" w:rsidRPr="00A2288D" w:rsidRDefault="009930C4" w:rsidP="00A2288D">
      <w:pPr>
        <w:spacing w:line="260" w:lineRule="atLeast"/>
        <w:jc w:val="both"/>
        <w:rPr>
          <w:rFonts w:ascii="Arial" w:hAnsi="Arial" w:cs="Arial"/>
          <w:b/>
          <w:color w:val="000000"/>
          <w:u w:val="single"/>
        </w:rPr>
      </w:pPr>
      <w:r w:rsidRPr="00A2288D">
        <w:rPr>
          <w:rFonts w:ascii="Arial" w:hAnsi="Arial" w:cs="Arial"/>
          <w:color w:val="000000"/>
        </w:rPr>
        <w:t xml:space="preserve"> </w:t>
      </w:r>
      <w:r w:rsidRPr="00A2288D">
        <w:rPr>
          <w:rFonts w:ascii="Arial" w:hAnsi="Arial" w:cs="Arial"/>
          <w:color w:val="000000"/>
        </w:rPr>
        <w:tab/>
      </w:r>
      <w:r w:rsidRPr="00A2288D">
        <w:rPr>
          <w:rFonts w:ascii="Arial" w:hAnsi="Arial" w:cs="Arial"/>
          <w:b/>
          <w:color w:val="000000"/>
          <w:u w:val="single"/>
        </w:rPr>
        <w:t>Adjoining Occupiers</w:t>
      </w:r>
    </w:p>
    <w:p w:rsidR="00CF02EA" w:rsidRPr="00A2288D" w:rsidRDefault="001C281F" w:rsidP="00A2288D">
      <w:pPr>
        <w:ind w:left="720" w:hanging="720"/>
        <w:jc w:val="both"/>
        <w:rPr>
          <w:rFonts w:ascii="Arial" w:hAnsi="Arial" w:cs="Arial"/>
          <w:color w:val="000000"/>
        </w:rPr>
      </w:pPr>
      <w:r w:rsidRPr="00A2288D">
        <w:rPr>
          <w:rFonts w:ascii="Arial" w:hAnsi="Arial" w:cs="Arial"/>
          <w:color w:val="000000"/>
        </w:rPr>
        <w:t>5</w:t>
      </w:r>
      <w:r w:rsidR="0040686B" w:rsidRPr="00A2288D">
        <w:rPr>
          <w:rFonts w:ascii="Arial" w:hAnsi="Arial" w:cs="Arial"/>
          <w:color w:val="000000"/>
        </w:rPr>
        <w:t>.</w:t>
      </w:r>
      <w:r w:rsidR="00E00A73" w:rsidRPr="00A2288D">
        <w:rPr>
          <w:rFonts w:ascii="Arial" w:hAnsi="Arial" w:cs="Arial"/>
          <w:color w:val="000000"/>
        </w:rPr>
        <w:t>3</w:t>
      </w:r>
      <w:r w:rsidR="00476CD3" w:rsidRPr="00A2288D">
        <w:rPr>
          <w:rFonts w:ascii="Arial" w:hAnsi="Arial" w:cs="Arial"/>
          <w:color w:val="000000"/>
        </w:rPr>
        <w:tab/>
      </w:r>
      <w:r w:rsidR="00CF02EA" w:rsidRPr="00A2288D">
        <w:rPr>
          <w:rFonts w:ascii="Arial" w:hAnsi="Arial" w:cs="Arial"/>
          <w:color w:val="000000"/>
        </w:rPr>
        <w:t xml:space="preserve">A site notice was displayed from </w:t>
      </w:r>
      <w:r w:rsidR="00562A12" w:rsidRPr="00A2288D">
        <w:rPr>
          <w:rFonts w:ascii="Arial" w:hAnsi="Arial" w:cs="Arial"/>
          <w:color w:val="000000"/>
        </w:rPr>
        <w:t>20/1/16 until 10/2/16</w:t>
      </w:r>
      <w:r w:rsidR="00CF02EA" w:rsidRPr="00A2288D">
        <w:rPr>
          <w:rFonts w:ascii="Arial" w:hAnsi="Arial" w:cs="Arial"/>
          <w:color w:val="000000"/>
        </w:rPr>
        <w:t xml:space="preserve"> and a public notice was published in the Ham &amp; High </w:t>
      </w:r>
      <w:r w:rsidR="00562A12" w:rsidRPr="00A2288D">
        <w:rPr>
          <w:rFonts w:ascii="Arial" w:hAnsi="Arial" w:cs="Arial"/>
          <w:color w:val="000000"/>
        </w:rPr>
        <w:t>on</w:t>
      </w:r>
      <w:r w:rsidR="00CF02EA" w:rsidRPr="00A2288D">
        <w:rPr>
          <w:rFonts w:ascii="Arial" w:hAnsi="Arial" w:cs="Arial"/>
          <w:color w:val="000000"/>
        </w:rPr>
        <w:t xml:space="preserve"> </w:t>
      </w:r>
      <w:r w:rsidR="00562A12" w:rsidRPr="00A2288D">
        <w:rPr>
          <w:rFonts w:ascii="Arial" w:hAnsi="Arial" w:cs="Arial"/>
          <w:color w:val="000000"/>
        </w:rPr>
        <w:t>20/1/16</w:t>
      </w:r>
      <w:r w:rsidR="00CF02EA" w:rsidRPr="00A2288D">
        <w:rPr>
          <w:rFonts w:ascii="Arial" w:hAnsi="Arial" w:cs="Arial"/>
          <w:color w:val="000000"/>
        </w:rPr>
        <w:t>.</w:t>
      </w:r>
    </w:p>
    <w:tbl>
      <w:tblPr>
        <w:tblW w:w="0" w:type="auto"/>
        <w:tblInd w:w="2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260"/>
      </w:tblGrid>
      <w:tr w:rsidR="00CF02EA" w:rsidRPr="00A2288D" w:rsidTr="00476CD3">
        <w:tc>
          <w:tcPr>
            <w:tcW w:w="4248" w:type="dxa"/>
            <w:tcBorders>
              <w:top w:val="nil"/>
              <w:left w:val="nil"/>
              <w:bottom w:val="single" w:sz="4" w:space="0" w:color="auto"/>
              <w:right w:val="nil"/>
            </w:tcBorders>
            <w:shd w:val="clear" w:color="auto" w:fill="auto"/>
          </w:tcPr>
          <w:p w:rsidR="00CF02EA" w:rsidRPr="00A2288D" w:rsidRDefault="00CF02EA" w:rsidP="00A2288D">
            <w:pPr>
              <w:jc w:val="both"/>
              <w:rPr>
                <w:rFonts w:ascii="Arial" w:hAnsi="Arial" w:cs="Arial"/>
                <w:bCs/>
                <w:color w:val="000000"/>
              </w:rPr>
            </w:pPr>
          </w:p>
        </w:tc>
        <w:tc>
          <w:tcPr>
            <w:tcW w:w="1260" w:type="dxa"/>
            <w:tcBorders>
              <w:top w:val="nil"/>
              <w:left w:val="nil"/>
              <w:bottom w:val="single" w:sz="4" w:space="0" w:color="auto"/>
              <w:right w:val="nil"/>
            </w:tcBorders>
            <w:shd w:val="clear" w:color="auto" w:fill="auto"/>
          </w:tcPr>
          <w:p w:rsidR="00CF02EA" w:rsidRPr="00A2288D" w:rsidRDefault="00CF02EA" w:rsidP="00A2288D">
            <w:pPr>
              <w:jc w:val="both"/>
              <w:rPr>
                <w:rFonts w:ascii="Arial" w:hAnsi="Arial" w:cs="Arial"/>
                <w:b/>
                <w:bCs/>
                <w:color w:val="000000"/>
              </w:rPr>
            </w:pPr>
          </w:p>
        </w:tc>
      </w:tr>
      <w:tr w:rsidR="00CF02EA" w:rsidRPr="00A2288D" w:rsidTr="00476CD3">
        <w:tc>
          <w:tcPr>
            <w:tcW w:w="4248" w:type="dxa"/>
            <w:tcBorders>
              <w:top w:val="single" w:sz="4" w:space="0" w:color="auto"/>
              <w:left w:val="single" w:sz="4" w:space="0" w:color="auto"/>
              <w:bottom w:val="single" w:sz="4" w:space="0" w:color="auto"/>
              <w:right w:val="single" w:sz="4" w:space="0" w:color="auto"/>
            </w:tcBorders>
            <w:shd w:val="clear" w:color="auto" w:fill="auto"/>
          </w:tcPr>
          <w:p w:rsidR="00CF02EA" w:rsidRPr="00A2288D" w:rsidRDefault="00CF02EA" w:rsidP="00A2288D">
            <w:pPr>
              <w:jc w:val="both"/>
              <w:rPr>
                <w:rFonts w:ascii="Arial" w:hAnsi="Arial" w:cs="Arial"/>
                <w:bCs/>
                <w:color w:val="000000"/>
              </w:rPr>
            </w:pPr>
            <w:r w:rsidRPr="00A2288D">
              <w:rPr>
                <w:rFonts w:ascii="Arial" w:hAnsi="Arial" w:cs="Arial"/>
                <w:i/>
                <w:color w:val="000000"/>
              </w:rPr>
              <w:t>Number of letters sent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2EA" w:rsidRPr="00A2288D" w:rsidRDefault="00562A12" w:rsidP="00A2288D">
            <w:pPr>
              <w:jc w:val="both"/>
              <w:rPr>
                <w:rFonts w:ascii="Arial" w:hAnsi="Arial" w:cs="Arial"/>
                <w:bCs/>
                <w:color w:val="000000"/>
              </w:rPr>
            </w:pPr>
            <w:r w:rsidRPr="00A2288D">
              <w:rPr>
                <w:rFonts w:ascii="Arial" w:hAnsi="Arial" w:cs="Arial"/>
                <w:color w:val="000000"/>
              </w:rPr>
              <w:t>1</w:t>
            </w:r>
            <w:r w:rsidR="00CF02EA" w:rsidRPr="00A2288D">
              <w:rPr>
                <w:rFonts w:ascii="Arial" w:hAnsi="Arial" w:cs="Arial"/>
                <w:color w:val="000000"/>
              </w:rPr>
              <w:t>2</w:t>
            </w:r>
          </w:p>
        </w:tc>
      </w:tr>
      <w:tr w:rsidR="00CF02EA" w:rsidRPr="00A2288D" w:rsidTr="00476CD3">
        <w:tc>
          <w:tcPr>
            <w:tcW w:w="4248" w:type="dxa"/>
            <w:tcBorders>
              <w:top w:val="single" w:sz="4" w:space="0" w:color="auto"/>
              <w:left w:val="single" w:sz="4" w:space="0" w:color="auto"/>
              <w:bottom w:val="single" w:sz="4" w:space="0" w:color="auto"/>
              <w:right w:val="single" w:sz="4" w:space="0" w:color="auto"/>
            </w:tcBorders>
            <w:shd w:val="clear" w:color="auto" w:fill="auto"/>
          </w:tcPr>
          <w:p w:rsidR="00CF02EA" w:rsidRPr="00A2288D" w:rsidRDefault="00CF02EA" w:rsidP="00A2288D">
            <w:pPr>
              <w:jc w:val="both"/>
              <w:rPr>
                <w:rFonts w:ascii="Arial" w:hAnsi="Arial" w:cs="Arial"/>
                <w:bCs/>
                <w:i/>
                <w:color w:val="000000"/>
              </w:rPr>
            </w:pPr>
            <w:r w:rsidRPr="00A2288D">
              <w:rPr>
                <w:rFonts w:ascii="Arial" w:hAnsi="Arial" w:cs="Arial"/>
                <w:i/>
                <w:color w:val="000000"/>
              </w:rPr>
              <w:t>Number in support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2EA" w:rsidRPr="00A2288D" w:rsidRDefault="00562A12" w:rsidP="00A2288D">
            <w:pPr>
              <w:jc w:val="both"/>
              <w:rPr>
                <w:rFonts w:ascii="Arial" w:hAnsi="Arial" w:cs="Arial"/>
                <w:bCs/>
                <w:color w:val="000000"/>
              </w:rPr>
            </w:pPr>
            <w:r w:rsidRPr="00A2288D">
              <w:rPr>
                <w:rFonts w:ascii="Arial" w:hAnsi="Arial" w:cs="Arial"/>
                <w:color w:val="000000"/>
              </w:rPr>
              <w:t>0</w:t>
            </w:r>
          </w:p>
        </w:tc>
      </w:tr>
      <w:tr w:rsidR="00CF02EA" w:rsidRPr="00A2288D" w:rsidTr="00476CD3">
        <w:tc>
          <w:tcPr>
            <w:tcW w:w="4248" w:type="dxa"/>
            <w:tcBorders>
              <w:top w:val="single" w:sz="4" w:space="0" w:color="auto"/>
              <w:left w:val="single" w:sz="4" w:space="0" w:color="auto"/>
              <w:bottom w:val="single" w:sz="4" w:space="0" w:color="auto"/>
              <w:right w:val="single" w:sz="4" w:space="0" w:color="auto"/>
            </w:tcBorders>
            <w:shd w:val="clear" w:color="auto" w:fill="auto"/>
          </w:tcPr>
          <w:p w:rsidR="00CF02EA" w:rsidRPr="00A2288D" w:rsidRDefault="00CF02EA" w:rsidP="00A2288D">
            <w:pPr>
              <w:jc w:val="both"/>
              <w:rPr>
                <w:rFonts w:ascii="Arial" w:hAnsi="Arial" w:cs="Arial"/>
                <w:bCs/>
                <w:i/>
                <w:color w:val="000000"/>
              </w:rPr>
            </w:pPr>
            <w:r w:rsidRPr="00A2288D">
              <w:rPr>
                <w:rFonts w:ascii="Arial" w:hAnsi="Arial" w:cs="Arial"/>
                <w:i/>
                <w:color w:val="000000"/>
              </w:rPr>
              <w:t>Number of objections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F02EA" w:rsidRPr="00A2288D" w:rsidRDefault="00562A12" w:rsidP="00A2288D">
            <w:pPr>
              <w:jc w:val="both"/>
              <w:rPr>
                <w:rFonts w:ascii="Arial" w:hAnsi="Arial" w:cs="Arial"/>
                <w:bCs/>
                <w:color w:val="000000"/>
              </w:rPr>
            </w:pPr>
            <w:r w:rsidRPr="00A2288D">
              <w:rPr>
                <w:rFonts w:ascii="Arial" w:hAnsi="Arial" w:cs="Arial"/>
                <w:color w:val="000000"/>
              </w:rPr>
              <w:t>0</w:t>
            </w:r>
          </w:p>
        </w:tc>
      </w:tr>
    </w:tbl>
    <w:p w:rsidR="00213F4B" w:rsidRDefault="00164885" w:rsidP="00A2288D">
      <w:pPr>
        <w:spacing w:line="260" w:lineRule="atLeast"/>
        <w:jc w:val="both"/>
        <w:rPr>
          <w:rFonts w:ascii="Arial" w:hAnsi="Arial" w:cs="Arial"/>
          <w:bCs/>
          <w:color w:val="000000"/>
        </w:rPr>
      </w:pPr>
      <w:r w:rsidRPr="00A2288D">
        <w:rPr>
          <w:rFonts w:ascii="Arial" w:hAnsi="Arial" w:cs="Arial"/>
          <w:bCs/>
          <w:color w:val="000000"/>
        </w:rPr>
        <w:t xml:space="preserve"> </w:t>
      </w:r>
    </w:p>
    <w:p w:rsidR="00C151D7" w:rsidRDefault="00C151D7" w:rsidP="00A2288D">
      <w:pPr>
        <w:spacing w:line="260" w:lineRule="atLeast"/>
        <w:jc w:val="both"/>
        <w:rPr>
          <w:rFonts w:ascii="Arial" w:hAnsi="Arial" w:cs="Arial"/>
          <w:bCs/>
          <w:color w:val="000000"/>
        </w:rPr>
      </w:pPr>
    </w:p>
    <w:p w:rsidR="00C151D7" w:rsidRDefault="00C151D7" w:rsidP="00A2288D">
      <w:pPr>
        <w:spacing w:line="260" w:lineRule="atLeast"/>
        <w:jc w:val="both"/>
        <w:rPr>
          <w:rFonts w:ascii="Arial" w:hAnsi="Arial" w:cs="Arial"/>
          <w:bCs/>
          <w:color w:val="000000"/>
        </w:rPr>
      </w:pPr>
    </w:p>
    <w:p w:rsidR="00156681" w:rsidRPr="00A2288D" w:rsidRDefault="00156681" w:rsidP="00A2288D">
      <w:pPr>
        <w:spacing w:line="260" w:lineRule="atLeast"/>
        <w:jc w:val="both"/>
        <w:rPr>
          <w:rFonts w:ascii="Arial" w:hAnsi="Arial" w:cs="Arial"/>
          <w:color w:val="000000"/>
        </w:rPr>
      </w:pPr>
    </w:p>
    <w:p w:rsidR="001A6B8F" w:rsidRPr="00A2288D" w:rsidRDefault="001C281F" w:rsidP="00A2288D">
      <w:pPr>
        <w:spacing w:line="260" w:lineRule="atLeast"/>
        <w:jc w:val="both"/>
        <w:rPr>
          <w:rFonts w:ascii="Arial" w:hAnsi="Arial" w:cs="Arial"/>
          <w:b/>
        </w:rPr>
      </w:pPr>
      <w:r w:rsidRPr="00A2288D">
        <w:rPr>
          <w:rFonts w:ascii="Arial" w:hAnsi="Arial" w:cs="Arial"/>
        </w:rPr>
        <w:lastRenderedPageBreak/>
        <w:t>6</w:t>
      </w:r>
      <w:r w:rsidR="001A6B8F" w:rsidRPr="00A2288D">
        <w:rPr>
          <w:rFonts w:ascii="Arial" w:hAnsi="Arial" w:cs="Arial"/>
        </w:rPr>
        <w:t>.</w:t>
      </w:r>
      <w:r w:rsidR="001A6B8F" w:rsidRPr="00A2288D">
        <w:rPr>
          <w:rFonts w:ascii="Arial" w:hAnsi="Arial" w:cs="Arial"/>
          <w:b/>
        </w:rPr>
        <w:tab/>
        <w:t>POLICIES</w:t>
      </w:r>
    </w:p>
    <w:p w:rsidR="001A6B8F" w:rsidRPr="00A2288D" w:rsidRDefault="001C281F" w:rsidP="00A2288D">
      <w:pPr>
        <w:spacing w:line="260" w:lineRule="atLeast"/>
        <w:jc w:val="both"/>
        <w:rPr>
          <w:rFonts w:ascii="Arial" w:hAnsi="Arial" w:cs="Arial"/>
        </w:rPr>
      </w:pPr>
      <w:r w:rsidRPr="00A2288D">
        <w:rPr>
          <w:rFonts w:ascii="Arial" w:hAnsi="Arial" w:cs="Arial"/>
        </w:rPr>
        <w:t>6</w:t>
      </w:r>
      <w:r w:rsidR="001A6B8F" w:rsidRPr="00A2288D">
        <w:rPr>
          <w:rFonts w:ascii="Arial" w:hAnsi="Arial" w:cs="Arial"/>
        </w:rPr>
        <w:t>.1</w:t>
      </w:r>
      <w:r w:rsidR="001A6B8F" w:rsidRPr="00A2288D">
        <w:rPr>
          <w:rFonts w:ascii="Arial" w:hAnsi="Arial" w:cs="Arial"/>
          <w:b/>
        </w:rPr>
        <w:t xml:space="preserve"> </w:t>
      </w:r>
      <w:r w:rsidR="001A6B8F" w:rsidRPr="00A2288D">
        <w:rPr>
          <w:rFonts w:ascii="Arial" w:hAnsi="Arial" w:cs="Arial"/>
          <w:b/>
        </w:rPr>
        <w:tab/>
        <w:t>National and London wide policies and guidance</w:t>
      </w:r>
      <w:r w:rsidR="001A6B8F" w:rsidRPr="00A2288D">
        <w:rPr>
          <w:rFonts w:ascii="Arial" w:hAnsi="Arial" w:cs="Arial"/>
        </w:rPr>
        <w:t xml:space="preserve"> </w:t>
      </w:r>
    </w:p>
    <w:p w:rsidR="00B32EF1" w:rsidRPr="00A2288D" w:rsidRDefault="00B32EF1" w:rsidP="00A2288D">
      <w:pPr>
        <w:ind w:left="720"/>
        <w:jc w:val="both"/>
        <w:rPr>
          <w:rFonts w:ascii="Arial" w:hAnsi="Arial" w:cs="Arial"/>
        </w:rPr>
      </w:pPr>
      <w:r w:rsidRPr="00A2288D">
        <w:rPr>
          <w:rFonts w:ascii="Arial" w:hAnsi="Arial" w:cs="Arial"/>
        </w:rPr>
        <w:t>Planning (listed building and conservation area) Act 1990 as amended</w:t>
      </w:r>
    </w:p>
    <w:p w:rsidR="00B32EF1" w:rsidRPr="00A2288D" w:rsidRDefault="00B32EF1" w:rsidP="00A2288D">
      <w:pPr>
        <w:ind w:left="720"/>
        <w:jc w:val="both"/>
        <w:rPr>
          <w:rFonts w:ascii="Arial" w:hAnsi="Arial" w:cs="Arial"/>
        </w:rPr>
      </w:pPr>
      <w:r w:rsidRPr="00A2288D">
        <w:rPr>
          <w:rFonts w:ascii="Arial" w:hAnsi="Arial" w:cs="Arial"/>
        </w:rPr>
        <w:t xml:space="preserve">Enterprise and Regulatory Reform Act (ERR) 2013.   </w:t>
      </w:r>
    </w:p>
    <w:p w:rsidR="001A6B8F" w:rsidRPr="00A2288D" w:rsidRDefault="001A6B8F" w:rsidP="00A2288D">
      <w:pPr>
        <w:ind w:left="720"/>
        <w:jc w:val="both"/>
        <w:rPr>
          <w:rFonts w:ascii="Arial" w:hAnsi="Arial" w:cs="Arial"/>
        </w:rPr>
      </w:pPr>
      <w:r w:rsidRPr="00A2288D">
        <w:rPr>
          <w:rFonts w:ascii="Arial" w:hAnsi="Arial" w:cs="Arial"/>
        </w:rPr>
        <w:t xml:space="preserve">National Planning Policy Framework 2012 </w:t>
      </w:r>
    </w:p>
    <w:p w:rsidR="001A6B8F" w:rsidRPr="00A2288D" w:rsidRDefault="001A6B8F" w:rsidP="00A2288D">
      <w:pPr>
        <w:ind w:left="720"/>
        <w:jc w:val="both"/>
        <w:rPr>
          <w:rFonts w:ascii="Arial" w:hAnsi="Arial" w:cs="Arial"/>
        </w:rPr>
      </w:pPr>
      <w:r w:rsidRPr="00A2288D">
        <w:rPr>
          <w:rFonts w:ascii="Arial" w:hAnsi="Arial" w:cs="Arial"/>
        </w:rPr>
        <w:t>National Planning Policy Guidance 2014</w:t>
      </w:r>
    </w:p>
    <w:p w:rsidR="001A6B8F" w:rsidRPr="00A2288D" w:rsidRDefault="001A6B8F" w:rsidP="00A2288D">
      <w:pPr>
        <w:ind w:left="720"/>
        <w:jc w:val="both"/>
        <w:rPr>
          <w:rFonts w:ascii="Arial" w:hAnsi="Arial" w:cs="Arial"/>
        </w:rPr>
      </w:pPr>
      <w:r w:rsidRPr="00A2288D">
        <w:rPr>
          <w:rFonts w:ascii="Arial" w:hAnsi="Arial" w:cs="Arial"/>
        </w:rPr>
        <w:t xml:space="preserve">London Plan 2015 </w:t>
      </w:r>
    </w:p>
    <w:p w:rsidR="001A6B8F" w:rsidRPr="00A2288D" w:rsidRDefault="001A6B8F" w:rsidP="00A2288D">
      <w:pPr>
        <w:jc w:val="both"/>
        <w:rPr>
          <w:rFonts w:ascii="Arial" w:hAnsi="Arial" w:cs="Arial"/>
        </w:rPr>
      </w:pPr>
    </w:p>
    <w:p w:rsidR="001A6B8F" w:rsidRPr="00A2288D" w:rsidRDefault="001C281F" w:rsidP="00A2288D">
      <w:pPr>
        <w:spacing w:line="260" w:lineRule="atLeast"/>
        <w:ind w:left="720" w:hanging="720"/>
        <w:jc w:val="both"/>
        <w:rPr>
          <w:rStyle w:val="Emphasis"/>
          <w:rFonts w:ascii="Arial" w:hAnsi="Arial" w:cs="Arial"/>
          <w:i w:val="0"/>
          <w:iCs w:val="0"/>
        </w:rPr>
      </w:pPr>
      <w:r w:rsidRPr="00A2288D">
        <w:rPr>
          <w:rFonts w:ascii="Arial" w:hAnsi="Arial" w:cs="Arial"/>
        </w:rPr>
        <w:t>6</w:t>
      </w:r>
      <w:r w:rsidR="001A6B8F" w:rsidRPr="00A2288D">
        <w:rPr>
          <w:rFonts w:ascii="Arial" w:hAnsi="Arial" w:cs="Arial"/>
        </w:rPr>
        <w:t>.2</w:t>
      </w:r>
      <w:r w:rsidR="001A6B8F" w:rsidRPr="00A2288D">
        <w:rPr>
          <w:rFonts w:ascii="Arial" w:hAnsi="Arial" w:cs="Arial"/>
          <w:b/>
        </w:rPr>
        <w:t xml:space="preserve"> </w:t>
      </w:r>
      <w:r w:rsidR="001A6B8F" w:rsidRPr="00A2288D">
        <w:rPr>
          <w:rFonts w:ascii="Arial" w:hAnsi="Arial" w:cs="Arial"/>
          <w:b/>
        </w:rPr>
        <w:tab/>
      </w:r>
      <w:r w:rsidR="001A6B8F" w:rsidRPr="00A2288D">
        <w:rPr>
          <w:rStyle w:val="Emphasis"/>
          <w:rFonts w:ascii="Arial" w:hAnsi="Arial" w:cs="Arial"/>
          <w:b/>
          <w:i w:val="0"/>
          <w:iCs w:val="0"/>
        </w:rPr>
        <w:t>LDF Core Strategy and Development Policies</w:t>
      </w:r>
    </w:p>
    <w:p w:rsidR="00B56285" w:rsidRPr="00A2288D" w:rsidRDefault="00B56285" w:rsidP="00A2288D">
      <w:pPr>
        <w:ind w:left="720"/>
        <w:jc w:val="both"/>
        <w:rPr>
          <w:rFonts w:ascii="Arial" w:hAnsi="Arial" w:cs="Arial"/>
        </w:rPr>
      </w:pPr>
      <w:r w:rsidRPr="00A2288D">
        <w:rPr>
          <w:rFonts w:ascii="Arial" w:hAnsi="Arial" w:cs="Arial"/>
        </w:rPr>
        <w:t>CS1</w:t>
      </w:r>
      <w:r w:rsidRPr="00A2288D">
        <w:rPr>
          <w:rFonts w:ascii="Arial" w:hAnsi="Arial" w:cs="Arial"/>
          <w:bCs/>
        </w:rPr>
        <w:t xml:space="preserve"> (Distribution of growth)</w:t>
      </w:r>
    </w:p>
    <w:p w:rsidR="00B56285" w:rsidRPr="00A2288D" w:rsidRDefault="00B56285" w:rsidP="00A2288D">
      <w:pPr>
        <w:pStyle w:val="Default"/>
        <w:ind w:left="720"/>
        <w:jc w:val="both"/>
      </w:pPr>
      <w:r w:rsidRPr="00A2288D">
        <w:t xml:space="preserve">CS5 (Managing the impact of growth and development) </w:t>
      </w:r>
    </w:p>
    <w:p w:rsidR="00B56285" w:rsidRPr="00A2288D" w:rsidRDefault="00B56285" w:rsidP="00A2288D">
      <w:pPr>
        <w:autoSpaceDE w:val="0"/>
        <w:autoSpaceDN w:val="0"/>
        <w:adjustRightInd w:val="0"/>
        <w:ind w:left="720"/>
        <w:jc w:val="both"/>
        <w:rPr>
          <w:rFonts w:ascii="Arial" w:hAnsi="Arial" w:cs="Arial"/>
          <w:color w:val="000000"/>
        </w:rPr>
      </w:pPr>
      <w:r w:rsidRPr="00A2288D">
        <w:rPr>
          <w:rFonts w:ascii="Arial" w:hAnsi="Arial" w:cs="Arial"/>
          <w:color w:val="000000"/>
        </w:rPr>
        <w:t xml:space="preserve">CS6 (Providing quality homes) </w:t>
      </w:r>
    </w:p>
    <w:p w:rsidR="001A6B8F" w:rsidRPr="00A2288D" w:rsidRDefault="000D6EF4" w:rsidP="00A2288D">
      <w:pPr>
        <w:ind w:left="720"/>
        <w:jc w:val="both"/>
        <w:rPr>
          <w:rFonts w:ascii="Arial" w:hAnsi="Arial" w:cs="Arial"/>
        </w:rPr>
      </w:pPr>
      <w:r w:rsidRPr="00A2288D">
        <w:rPr>
          <w:rFonts w:ascii="Arial" w:hAnsi="Arial" w:cs="Arial"/>
        </w:rPr>
        <w:t>CS14 (Promoting high-</w:t>
      </w:r>
      <w:r w:rsidR="001A6B8F" w:rsidRPr="00A2288D">
        <w:rPr>
          <w:rFonts w:ascii="Arial" w:hAnsi="Arial" w:cs="Arial"/>
        </w:rPr>
        <w:t xml:space="preserve">quality places and conserving our heritage) </w:t>
      </w:r>
    </w:p>
    <w:p w:rsidR="00B56285" w:rsidRPr="00A2288D" w:rsidRDefault="00B56285" w:rsidP="00A2288D">
      <w:pPr>
        <w:pStyle w:val="Default"/>
        <w:ind w:left="720"/>
        <w:jc w:val="both"/>
      </w:pPr>
      <w:r w:rsidRPr="00A2288D">
        <w:t>DP2 (Making full use of Camden’s capacity for housing)</w:t>
      </w:r>
    </w:p>
    <w:p w:rsidR="001A6B8F" w:rsidRPr="00A2288D" w:rsidRDefault="000D6EF4" w:rsidP="00A2288D">
      <w:pPr>
        <w:pStyle w:val="Default"/>
        <w:ind w:left="720"/>
        <w:jc w:val="both"/>
      </w:pPr>
      <w:r w:rsidRPr="00A2288D">
        <w:t>DP24 (Securing high-</w:t>
      </w:r>
      <w:r w:rsidR="001A6B8F" w:rsidRPr="00A2288D">
        <w:t xml:space="preserve">quality design) </w:t>
      </w:r>
    </w:p>
    <w:p w:rsidR="001A6B8F" w:rsidRPr="00A2288D" w:rsidRDefault="001A6B8F" w:rsidP="00A2288D">
      <w:pPr>
        <w:pStyle w:val="Default"/>
        <w:ind w:left="720"/>
        <w:jc w:val="both"/>
      </w:pPr>
      <w:r w:rsidRPr="00A2288D">
        <w:t xml:space="preserve">DP25 (Conserving Camden’s heritage) </w:t>
      </w:r>
    </w:p>
    <w:p w:rsidR="00C07238" w:rsidRPr="00A2288D" w:rsidRDefault="00C07238" w:rsidP="00A2288D">
      <w:pPr>
        <w:spacing w:line="260" w:lineRule="atLeast"/>
        <w:jc w:val="both"/>
        <w:rPr>
          <w:rFonts w:ascii="Arial" w:hAnsi="Arial" w:cs="Arial"/>
        </w:rPr>
      </w:pPr>
    </w:p>
    <w:p w:rsidR="001A6B8F" w:rsidRPr="00A2288D" w:rsidRDefault="001C281F" w:rsidP="00A2288D">
      <w:pPr>
        <w:spacing w:line="260" w:lineRule="atLeast"/>
        <w:jc w:val="both"/>
        <w:rPr>
          <w:rFonts w:ascii="Arial" w:hAnsi="Arial" w:cs="Arial"/>
          <w:b/>
        </w:rPr>
      </w:pPr>
      <w:r w:rsidRPr="00A2288D">
        <w:rPr>
          <w:rStyle w:val="Emphasis"/>
          <w:rFonts w:ascii="Arial" w:hAnsi="Arial" w:cs="Arial"/>
          <w:i w:val="0"/>
          <w:iCs w:val="0"/>
        </w:rPr>
        <w:t>6</w:t>
      </w:r>
      <w:r w:rsidR="001A6B8F" w:rsidRPr="00A2288D">
        <w:rPr>
          <w:rStyle w:val="Emphasis"/>
          <w:rFonts w:ascii="Arial" w:hAnsi="Arial" w:cs="Arial"/>
          <w:i w:val="0"/>
          <w:iCs w:val="0"/>
        </w:rPr>
        <w:t>.3</w:t>
      </w:r>
      <w:r w:rsidR="001A6B8F" w:rsidRPr="00A2288D">
        <w:rPr>
          <w:rFonts w:ascii="Arial" w:hAnsi="Arial" w:cs="Arial"/>
          <w:b/>
          <w:lang w:val="en-US"/>
        </w:rPr>
        <w:tab/>
      </w:r>
      <w:r w:rsidR="001A6B8F" w:rsidRPr="00A2288D">
        <w:rPr>
          <w:rFonts w:ascii="Arial" w:hAnsi="Arial" w:cs="Arial"/>
          <w:b/>
        </w:rPr>
        <w:t xml:space="preserve">Other Planning Policies / Guidance </w:t>
      </w:r>
    </w:p>
    <w:p w:rsidR="001A6B8F" w:rsidRPr="00A2288D" w:rsidRDefault="001A6B8F" w:rsidP="00A2288D">
      <w:pPr>
        <w:ind w:firstLine="720"/>
        <w:jc w:val="both"/>
        <w:rPr>
          <w:rFonts w:ascii="Arial" w:hAnsi="Arial" w:cs="Arial"/>
        </w:rPr>
      </w:pPr>
      <w:r w:rsidRPr="00A2288D">
        <w:rPr>
          <w:rFonts w:ascii="Arial" w:hAnsi="Arial" w:cs="Arial"/>
        </w:rPr>
        <w:t>Camden Planning Guidance (CPG) 2015 – CPG 1, 2, 3, 4, 8</w:t>
      </w:r>
    </w:p>
    <w:p w:rsidR="001A6B8F" w:rsidRPr="00A2288D" w:rsidRDefault="001A6B8F" w:rsidP="00A2288D">
      <w:pPr>
        <w:ind w:firstLine="720"/>
        <w:jc w:val="both"/>
        <w:rPr>
          <w:rFonts w:ascii="Arial" w:hAnsi="Arial" w:cs="Arial"/>
        </w:rPr>
      </w:pPr>
      <w:r w:rsidRPr="00A2288D">
        <w:rPr>
          <w:rFonts w:ascii="Arial" w:hAnsi="Arial" w:cs="Arial"/>
        </w:rPr>
        <w:t xml:space="preserve">Camden Planning Guidance (CPG) 2011 – CPG 6 and 7 </w:t>
      </w:r>
    </w:p>
    <w:p w:rsidR="003717AB" w:rsidRPr="00A2288D" w:rsidRDefault="003717AB" w:rsidP="00A2288D">
      <w:pPr>
        <w:jc w:val="both"/>
        <w:rPr>
          <w:rFonts w:ascii="Arial" w:hAnsi="Arial" w:cs="Arial"/>
        </w:rPr>
      </w:pPr>
      <w:r w:rsidRPr="00A2288D">
        <w:rPr>
          <w:rFonts w:ascii="Arial" w:hAnsi="Arial" w:cs="Arial"/>
        </w:rPr>
        <w:tab/>
      </w:r>
      <w:r w:rsidR="00C07238" w:rsidRPr="00A2288D">
        <w:rPr>
          <w:rFonts w:ascii="Arial" w:hAnsi="Arial" w:cs="Arial"/>
        </w:rPr>
        <w:t>Primrose Hill C</w:t>
      </w:r>
      <w:r w:rsidRPr="00A2288D">
        <w:rPr>
          <w:rFonts w:ascii="Arial" w:hAnsi="Arial" w:cs="Arial"/>
        </w:rPr>
        <w:t xml:space="preserve">onservation </w:t>
      </w:r>
      <w:r w:rsidR="00C07238" w:rsidRPr="00A2288D">
        <w:rPr>
          <w:rFonts w:ascii="Arial" w:hAnsi="Arial" w:cs="Arial"/>
        </w:rPr>
        <w:t>A</w:t>
      </w:r>
      <w:r w:rsidRPr="00A2288D">
        <w:rPr>
          <w:rFonts w:ascii="Arial" w:hAnsi="Arial" w:cs="Arial"/>
        </w:rPr>
        <w:t>rea statement (200</w:t>
      </w:r>
      <w:r w:rsidR="0082254B" w:rsidRPr="00A2288D">
        <w:rPr>
          <w:rFonts w:ascii="Arial" w:hAnsi="Arial" w:cs="Arial"/>
        </w:rPr>
        <w:t>0</w:t>
      </w:r>
      <w:r w:rsidRPr="00A2288D">
        <w:rPr>
          <w:rFonts w:ascii="Arial" w:hAnsi="Arial" w:cs="Arial"/>
        </w:rPr>
        <w:t>)</w:t>
      </w:r>
    </w:p>
    <w:p w:rsidR="009F36EA" w:rsidRDefault="009F36EA" w:rsidP="00A2288D">
      <w:pPr>
        <w:spacing w:line="260" w:lineRule="atLeast"/>
        <w:jc w:val="both"/>
        <w:rPr>
          <w:rFonts w:ascii="Arial" w:hAnsi="Arial" w:cs="Arial"/>
          <w:b/>
        </w:rPr>
      </w:pPr>
    </w:p>
    <w:p w:rsidR="00A2288D" w:rsidRPr="00A2288D" w:rsidRDefault="00A2288D" w:rsidP="00A2288D">
      <w:pPr>
        <w:spacing w:line="260" w:lineRule="atLeast"/>
        <w:jc w:val="both"/>
        <w:rPr>
          <w:rFonts w:ascii="Arial" w:hAnsi="Arial" w:cs="Arial"/>
          <w:b/>
        </w:rPr>
      </w:pPr>
    </w:p>
    <w:p w:rsidR="009930C4" w:rsidRPr="00A2288D" w:rsidRDefault="001C281F" w:rsidP="00A2288D">
      <w:pPr>
        <w:spacing w:line="260" w:lineRule="atLeast"/>
        <w:jc w:val="both"/>
        <w:rPr>
          <w:rFonts w:ascii="Arial" w:hAnsi="Arial" w:cs="Arial"/>
          <w:b/>
        </w:rPr>
      </w:pPr>
      <w:r w:rsidRPr="00A2288D">
        <w:rPr>
          <w:rFonts w:ascii="Arial" w:hAnsi="Arial" w:cs="Arial"/>
        </w:rPr>
        <w:t>7</w:t>
      </w:r>
      <w:r w:rsidR="009930C4" w:rsidRPr="00A2288D">
        <w:rPr>
          <w:rFonts w:ascii="Arial" w:hAnsi="Arial" w:cs="Arial"/>
        </w:rPr>
        <w:t>.</w:t>
      </w:r>
      <w:r w:rsidR="009930C4" w:rsidRPr="00A2288D">
        <w:rPr>
          <w:rFonts w:ascii="Arial" w:hAnsi="Arial" w:cs="Arial"/>
          <w:b/>
        </w:rPr>
        <w:tab/>
        <w:t>ASSESSMENT</w:t>
      </w:r>
    </w:p>
    <w:p w:rsidR="009930C4" w:rsidRPr="00A2288D" w:rsidRDefault="009930C4" w:rsidP="00A2288D">
      <w:pPr>
        <w:spacing w:line="260" w:lineRule="atLeast"/>
        <w:jc w:val="both"/>
        <w:rPr>
          <w:rFonts w:ascii="Arial" w:hAnsi="Arial" w:cs="Arial"/>
        </w:rPr>
      </w:pPr>
    </w:p>
    <w:p w:rsidR="009930C4" w:rsidRPr="00A2288D" w:rsidRDefault="001C281F" w:rsidP="00A2288D">
      <w:pPr>
        <w:spacing w:line="260" w:lineRule="atLeast"/>
        <w:ind w:left="720" w:hanging="720"/>
        <w:jc w:val="both"/>
        <w:rPr>
          <w:rFonts w:ascii="Arial" w:hAnsi="Arial" w:cs="Arial"/>
        </w:rPr>
      </w:pPr>
      <w:r w:rsidRPr="00A2288D">
        <w:rPr>
          <w:rFonts w:ascii="Arial" w:hAnsi="Arial" w:cs="Arial"/>
        </w:rPr>
        <w:t>7</w:t>
      </w:r>
      <w:r w:rsidR="009930C4" w:rsidRPr="00A2288D">
        <w:rPr>
          <w:rFonts w:ascii="Arial" w:hAnsi="Arial" w:cs="Arial"/>
        </w:rPr>
        <w:t>.1</w:t>
      </w:r>
      <w:r w:rsidR="009930C4" w:rsidRPr="00A2288D">
        <w:rPr>
          <w:rFonts w:ascii="Arial" w:hAnsi="Arial" w:cs="Arial"/>
        </w:rPr>
        <w:tab/>
      </w:r>
      <w:r w:rsidR="004310C3" w:rsidRPr="00A2288D">
        <w:rPr>
          <w:rFonts w:ascii="Arial" w:hAnsi="Arial" w:cs="Arial"/>
        </w:rPr>
        <w:t>The principal consideration material to the determination of this application a</w:t>
      </w:r>
      <w:r w:rsidR="007022A1" w:rsidRPr="00A2288D">
        <w:rPr>
          <w:rFonts w:ascii="Arial" w:hAnsi="Arial" w:cs="Arial"/>
        </w:rPr>
        <w:t>re</w:t>
      </w:r>
      <w:r w:rsidR="004310C3" w:rsidRPr="00A2288D">
        <w:rPr>
          <w:rFonts w:ascii="Arial" w:hAnsi="Arial" w:cs="Arial"/>
        </w:rPr>
        <w:t xml:space="preserve"> summarised as follows:</w:t>
      </w:r>
    </w:p>
    <w:p w:rsidR="001A6B8F" w:rsidRPr="00A2288D" w:rsidRDefault="001A6B8F" w:rsidP="00A2288D">
      <w:pPr>
        <w:spacing w:line="260" w:lineRule="atLeast"/>
        <w:jc w:val="both"/>
        <w:rPr>
          <w:rFonts w:ascii="Arial" w:hAnsi="Arial" w:cs="Arial"/>
        </w:rPr>
      </w:pPr>
    </w:p>
    <w:p w:rsidR="00356FE9" w:rsidRPr="00A2288D" w:rsidRDefault="00356FE9" w:rsidP="00A2288D">
      <w:pPr>
        <w:numPr>
          <w:ilvl w:val="0"/>
          <w:numId w:val="1"/>
        </w:numPr>
        <w:tabs>
          <w:tab w:val="clear" w:pos="720"/>
          <w:tab w:val="num" w:pos="1418"/>
        </w:tabs>
        <w:ind w:left="1418" w:hanging="709"/>
        <w:jc w:val="both"/>
        <w:rPr>
          <w:rFonts w:ascii="Arial" w:hAnsi="Arial" w:cs="Arial"/>
        </w:rPr>
      </w:pPr>
      <w:r w:rsidRPr="00A2288D">
        <w:rPr>
          <w:rFonts w:ascii="Arial" w:hAnsi="Arial" w:cs="Arial"/>
        </w:rPr>
        <w:t>Impact on the significance of heritage assets (listed buildings and conservation area)</w:t>
      </w:r>
    </w:p>
    <w:p w:rsidR="0033629F" w:rsidRPr="00A2288D" w:rsidRDefault="0033629F" w:rsidP="00A2288D">
      <w:pPr>
        <w:jc w:val="both"/>
        <w:rPr>
          <w:rFonts w:ascii="Arial" w:hAnsi="Arial" w:cs="Arial"/>
          <w:highlight w:val="yellow"/>
        </w:rPr>
      </w:pPr>
    </w:p>
    <w:p w:rsidR="00356FE9" w:rsidRPr="00A2288D" w:rsidRDefault="00356FE9" w:rsidP="00A2288D">
      <w:pPr>
        <w:ind w:firstLine="720"/>
        <w:jc w:val="both"/>
        <w:rPr>
          <w:rFonts w:ascii="Arial" w:hAnsi="Arial" w:cs="Arial"/>
          <w:b/>
        </w:rPr>
      </w:pPr>
      <w:r w:rsidRPr="00A2288D">
        <w:rPr>
          <w:rFonts w:ascii="Arial" w:hAnsi="Arial" w:cs="Arial"/>
          <w:b/>
        </w:rPr>
        <w:t>Impact on the Heritage Assets</w:t>
      </w:r>
    </w:p>
    <w:p w:rsidR="00356FE9" w:rsidRPr="00A2288D" w:rsidRDefault="00356FE9" w:rsidP="00A2288D">
      <w:pPr>
        <w:jc w:val="both"/>
        <w:rPr>
          <w:rFonts w:ascii="Arial" w:hAnsi="Arial" w:cs="Arial"/>
        </w:rPr>
      </w:pPr>
    </w:p>
    <w:p w:rsidR="00356FE9" w:rsidRPr="00A2288D" w:rsidRDefault="00356FE9" w:rsidP="00A2288D">
      <w:pPr>
        <w:ind w:left="720"/>
        <w:jc w:val="both"/>
        <w:rPr>
          <w:rFonts w:ascii="Arial" w:hAnsi="Arial" w:cs="Arial"/>
          <w:u w:val="single"/>
        </w:rPr>
      </w:pPr>
      <w:r w:rsidRPr="00A2288D">
        <w:rPr>
          <w:rFonts w:ascii="Arial" w:hAnsi="Arial" w:cs="Arial"/>
          <w:u w:val="single"/>
        </w:rPr>
        <w:t>Legislative background</w:t>
      </w:r>
      <w:r w:rsidR="00A2288D" w:rsidRPr="00A2288D">
        <w:rPr>
          <w:rFonts w:ascii="Arial" w:hAnsi="Arial" w:cs="Arial"/>
          <w:u w:val="single"/>
        </w:rPr>
        <w:t xml:space="preserve"> - </w:t>
      </w:r>
      <w:r w:rsidRPr="00A2288D">
        <w:rPr>
          <w:rFonts w:ascii="Arial" w:hAnsi="Arial" w:cs="Arial"/>
          <w:u w:val="single"/>
        </w:rPr>
        <w:t>Planning (Listed Buildings and Conservation Areas) Act 1990</w:t>
      </w:r>
    </w:p>
    <w:p w:rsidR="00C2689F" w:rsidRPr="00A2288D" w:rsidRDefault="00C2689F" w:rsidP="00A2288D">
      <w:pPr>
        <w:ind w:firstLine="720"/>
        <w:jc w:val="both"/>
        <w:rPr>
          <w:rFonts w:ascii="Arial" w:hAnsi="Arial" w:cs="Arial"/>
          <w:u w:val="single"/>
        </w:rPr>
      </w:pPr>
    </w:p>
    <w:p w:rsidR="00356FE9" w:rsidRDefault="00356FE9" w:rsidP="00A2288D">
      <w:pPr>
        <w:ind w:firstLine="720"/>
        <w:jc w:val="both"/>
        <w:rPr>
          <w:rFonts w:ascii="Arial" w:hAnsi="Arial" w:cs="Arial"/>
          <w:i/>
          <w:color w:val="000000"/>
          <w:shd w:val="clear" w:color="auto" w:fill="FFFFFF"/>
        </w:rPr>
      </w:pPr>
      <w:r w:rsidRPr="00A2288D">
        <w:rPr>
          <w:rFonts w:ascii="Arial" w:hAnsi="Arial" w:cs="Arial"/>
          <w:i/>
          <w:color w:val="000000"/>
          <w:shd w:val="clear" w:color="auto" w:fill="FFFFFF"/>
        </w:rPr>
        <w:t>Listed buildings</w:t>
      </w:r>
    </w:p>
    <w:p w:rsidR="00A2288D" w:rsidRPr="00A2288D" w:rsidRDefault="00A2288D" w:rsidP="00A2288D">
      <w:pPr>
        <w:ind w:firstLine="720"/>
        <w:jc w:val="both"/>
        <w:rPr>
          <w:rFonts w:ascii="Arial" w:hAnsi="Arial" w:cs="Arial"/>
          <w:i/>
          <w:color w:val="000000"/>
          <w:shd w:val="clear" w:color="auto" w:fill="FFFFFF"/>
        </w:rPr>
      </w:pPr>
    </w:p>
    <w:p w:rsidR="00D11E17" w:rsidRPr="00A2288D" w:rsidRDefault="001C281F" w:rsidP="00A2288D">
      <w:pPr>
        <w:spacing w:after="240"/>
        <w:ind w:left="720" w:hanging="720"/>
        <w:jc w:val="both"/>
        <w:rPr>
          <w:rFonts w:ascii="Arial" w:hAnsi="Arial" w:cs="Arial"/>
        </w:rPr>
      </w:pPr>
      <w:r w:rsidRPr="00A2288D">
        <w:rPr>
          <w:rFonts w:ascii="Arial" w:hAnsi="Arial" w:cs="Arial"/>
        </w:rPr>
        <w:t>7</w:t>
      </w:r>
      <w:r w:rsidR="00D11E17" w:rsidRPr="00A2288D">
        <w:rPr>
          <w:rFonts w:ascii="Arial" w:hAnsi="Arial" w:cs="Arial"/>
        </w:rPr>
        <w:t>.2</w:t>
      </w:r>
      <w:r w:rsidR="00D11E17" w:rsidRPr="00A2288D">
        <w:rPr>
          <w:rFonts w:ascii="Arial" w:hAnsi="Arial" w:cs="Arial"/>
        </w:rPr>
        <w:tab/>
      </w:r>
      <w:r w:rsidR="00356FE9" w:rsidRPr="00A2288D">
        <w:rPr>
          <w:rFonts w:ascii="Arial" w:hAnsi="Arial" w:cs="Arial"/>
        </w:rPr>
        <w:t xml:space="preserve">In considering developments that affect a listed building or its setting, Section 16(2) and 66(1) of the Planning (Listed Buildings and Conservation Areas) Act 1990 requires that local authorities shall have special regard to the desirability of preserving the building or its setting or any features of special architectural or historic interest which </w:t>
      </w:r>
      <w:r w:rsidR="00D11E17" w:rsidRPr="00A2288D">
        <w:rPr>
          <w:rFonts w:ascii="Arial" w:hAnsi="Arial" w:cs="Arial"/>
        </w:rPr>
        <w:t>it possesses.</w:t>
      </w:r>
    </w:p>
    <w:p w:rsidR="00356FE9" w:rsidRPr="00A2288D" w:rsidRDefault="001C281F" w:rsidP="00A2288D">
      <w:pPr>
        <w:spacing w:after="240"/>
        <w:ind w:left="720" w:hanging="720"/>
        <w:jc w:val="both"/>
        <w:rPr>
          <w:rFonts w:ascii="Arial" w:hAnsi="Arial" w:cs="Arial"/>
        </w:rPr>
      </w:pPr>
      <w:r w:rsidRPr="00A2288D">
        <w:rPr>
          <w:rFonts w:ascii="Arial" w:hAnsi="Arial" w:cs="Arial"/>
        </w:rPr>
        <w:t>7</w:t>
      </w:r>
      <w:r w:rsidR="00D11E17" w:rsidRPr="00A2288D">
        <w:rPr>
          <w:rFonts w:ascii="Arial" w:hAnsi="Arial" w:cs="Arial"/>
        </w:rPr>
        <w:t>.3</w:t>
      </w:r>
      <w:r w:rsidR="00D11E17" w:rsidRPr="00A2288D">
        <w:rPr>
          <w:rFonts w:ascii="Arial" w:hAnsi="Arial" w:cs="Arial"/>
        </w:rPr>
        <w:tab/>
      </w:r>
      <w:r w:rsidR="00356FE9" w:rsidRPr="00A2288D">
        <w:rPr>
          <w:rFonts w:ascii="Arial" w:hAnsi="Arial" w:cs="Arial"/>
        </w:rPr>
        <w:t>In this case, the primary issue relates to preserving th</w:t>
      </w:r>
      <w:r w:rsidR="000D6EF4" w:rsidRPr="00A2288D">
        <w:rPr>
          <w:rFonts w:ascii="Arial" w:hAnsi="Arial" w:cs="Arial"/>
        </w:rPr>
        <w:t>e special interest of the grade-II-</w:t>
      </w:r>
      <w:r w:rsidR="00356FE9" w:rsidRPr="00A2288D">
        <w:rPr>
          <w:rFonts w:ascii="Arial" w:hAnsi="Arial" w:cs="Arial"/>
        </w:rPr>
        <w:t>listed host building as well as the setting of the adjoining listed buildings.</w:t>
      </w:r>
    </w:p>
    <w:p w:rsidR="00356FE9" w:rsidRPr="00A2288D" w:rsidRDefault="00356FE9" w:rsidP="00A2288D">
      <w:pPr>
        <w:spacing w:after="240"/>
        <w:ind w:firstLine="720"/>
        <w:jc w:val="both"/>
        <w:rPr>
          <w:rFonts w:ascii="Arial" w:hAnsi="Arial" w:cs="Arial"/>
          <w:i/>
        </w:rPr>
      </w:pPr>
      <w:r w:rsidRPr="00A2288D">
        <w:rPr>
          <w:rFonts w:ascii="Arial" w:hAnsi="Arial" w:cs="Arial"/>
          <w:i/>
        </w:rPr>
        <w:t>Conservation Area</w:t>
      </w:r>
    </w:p>
    <w:p w:rsidR="00356FE9" w:rsidRPr="00A2288D" w:rsidRDefault="001C281F" w:rsidP="00A2288D">
      <w:pPr>
        <w:spacing w:after="240"/>
        <w:ind w:left="720" w:hanging="720"/>
        <w:jc w:val="both"/>
        <w:rPr>
          <w:rFonts w:ascii="Arial" w:hAnsi="Arial" w:cs="Arial"/>
        </w:rPr>
      </w:pPr>
      <w:r w:rsidRPr="00A2288D">
        <w:rPr>
          <w:rFonts w:ascii="Arial" w:hAnsi="Arial" w:cs="Arial"/>
        </w:rPr>
        <w:t>7</w:t>
      </w:r>
      <w:r w:rsidR="00D11E17" w:rsidRPr="00A2288D">
        <w:rPr>
          <w:rFonts w:ascii="Arial" w:hAnsi="Arial" w:cs="Arial"/>
        </w:rPr>
        <w:t>.4</w:t>
      </w:r>
      <w:r w:rsidR="00D11E17" w:rsidRPr="00A2288D">
        <w:rPr>
          <w:rFonts w:ascii="Arial" w:hAnsi="Arial" w:cs="Arial"/>
        </w:rPr>
        <w:tab/>
      </w:r>
      <w:r w:rsidR="00356FE9" w:rsidRPr="00A2288D">
        <w:rPr>
          <w:rFonts w:ascii="Arial" w:hAnsi="Arial" w:cs="Arial"/>
        </w:rPr>
        <w:t xml:space="preserve">In considering developments affecting a conservation area, Section 72(1) of the Planning (Listed Buildings and Conservation Areas) Act 1990 (as amended) </w:t>
      </w:r>
      <w:r w:rsidR="00356FE9" w:rsidRPr="00A2288D">
        <w:rPr>
          <w:rFonts w:ascii="Arial" w:hAnsi="Arial" w:cs="Arial"/>
        </w:rPr>
        <w:lastRenderedPageBreak/>
        <w:t xml:space="preserve">requires that local authorities shall pay special attention to the desirability of preserving or enhancing the character or appearance of that area. </w:t>
      </w:r>
    </w:p>
    <w:p w:rsidR="00356FE9" w:rsidRPr="00A2288D" w:rsidRDefault="001C281F" w:rsidP="00A2288D">
      <w:pPr>
        <w:spacing w:after="240"/>
        <w:jc w:val="both"/>
        <w:rPr>
          <w:rFonts w:ascii="Arial" w:hAnsi="Arial" w:cs="Arial"/>
        </w:rPr>
      </w:pPr>
      <w:r w:rsidRPr="00A2288D">
        <w:rPr>
          <w:rFonts w:ascii="Arial" w:hAnsi="Arial" w:cs="Arial"/>
        </w:rPr>
        <w:t>7</w:t>
      </w:r>
      <w:r w:rsidR="00D11E17" w:rsidRPr="00A2288D">
        <w:rPr>
          <w:rFonts w:ascii="Arial" w:hAnsi="Arial" w:cs="Arial"/>
        </w:rPr>
        <w:t>.5</w:t>
      </w:r>
      <w:r w:rsidR="00D11E17" w:rsidRPr="00A2288D">
        <w:rPr>
          <w:rFonts w:ascii="Arial" w:hAnsi="Arial" w:cs="Arial"/>
        </w:rPr>
        <w:tab/>
      </w:r>
      <w:r w:rsidR="000D6EF4" w:rsidRPr="00A2288D">
        <w:rPr>
          <w:rFonts w:ascii="Arial" w:hAnsi="Arial" w:cs="Arial"/>
        </w:rPr>
        <w:t>T</w:t>
      </w:r>
      <w:r w:rsidR="00356FE9" w:rsidRPr="00A2288D">
        <w:rPr>
          <w:rFonts w:ascii="Arial" w:hAnsi="Arial" w:cs="Arial"/>
        </w:rPr>
        <w:t xml:space="preserve">he </w:t>
      </w:r>
      <w:r w:rsidR="00BB32A1">
        <w:rPr>
          <w:rFonts w:ascii="Arial" w:hAnsi="Arial" w:cs="Arial"/>
        </w:rPr>
        <w:t xml:space="preserve">application </w:t>
      </w:r>
      <w:r w:rsidR="00356FE9" w:rsidRPr="00A2288D">
        <w:rPr>
          <w:rFonts w:ascii="Arial" w:hAnsi="Arial" w:cs="Arial"/>
        </w:rPr>
        <w:t>site form</w:t>
      </w:r>
      <w:r w:rsidR="000D6EF4" w:rsidRPr="00A2288D">
        <w:rPr>
          <w:rFonts w:ascii="Arial" w:hAnsi="Arial" w:cs="Arial"/>
        </w:rPr>
        <w:t>s</w:t>
      </w:r>
      <w:r w:rsidR="00356FE9" w:rsidRPr="00A2288D">
        <w:rPr>
          <w:rFonts w:ascii="Arial" w:hAnsi="Arial" w:cs="Arial"/>
        </w:rPr>
        <w:t xml:space="preserve"> part of </w:t>
      </w:r>
      <w:r w:rsidR="00360A57" w:rsidRPr="00A2288D">
        <w:rPr>
          <w:rFonts w:ascii="Arial" w:hAnsi="Arial" w:cs="Arial"/>
        </w:rPr>
        <w:t xml:space="preserve">the Primrose Hill </w:t>
      </w:r>
      <w:r w:rsidR="00356FE9" w:rsidRPr="00A2288D">
        <w:rPr>
          <w:rFonts w:ascii="Arial" w:hAnsi="Arial" w:cs="Arial"/>
        </w:rPr>
        <w:t xml:space="preserve">Conservation Area. </w:t>
      </w:r>
    </w:p>
    <w:p w:rsidR="00356FE9" w:rsidRPr="00A2288D" w:rsidRDefault="001C281F" w:rsidP="00A2288D">
      <w:pPr>
        <w:spacing w:after="240"/>
        <w:ind w:left="720" w:hanging="720"/>
        <w:jc w:val="both"/>
        <w:rPr>
          <w:rFonts w:ascii="Arial" w:hAnsi="Arial" w:cs="Arial"/>
          <w:u w:val="single"/>
        </w:rPr>
      </w:pPr>
      <w:r w:rsidRPr="00A2288D">
        <w:rPr>
          <w:rFonts w:ascii="Arial" w:hAnsi="Arial" w:cs="Arial"/>
        </w:rPr>
        <w:t>7</w:t>
      </w:r>
      <w:r w:rsidR="00D11E17" w:rsidRPr="00A2288D">
        <w:rPr>
          <w:rFonts w:ascii="Arial" w:hAnsi="Arial" w:cs="Arial"/>
        </w:rPr>
        <w:t>.6</w:t>
      </w:r>
      <w:r w:rsidR="00D11E17" w:rsidRPr="00A2288D">
        <w:rPr>
          <w:rFonts w:ascii="Arial" w:hAnsi="Arial" w:cs="Arial"/>
        </w:rPr>
        <w:tab/>
      </w:r>
      <w:r w:rsidR="00356FE9" w:rsidRPr="00A2288D">
        <w:rPr>
          <w:rFonts w:ascii="Arial" w:hAnsi="Arial" w:cs="Arial"/>
        </w:rPr>
        <w:t xml:space="preserve">In line with the above statutory duties and recent case law, considerable importance and weight has to be attached the impact of the heritage assets and their setting. It should also be noted that the duties imposed by section 66 and 72 of the Act are in addition to the duty imposed by section 3(6) of the Planning and Compulsory Purchase Act 2004, to determine the application in accordance with the development plan unless material considerations indicate otherwise. </w:t>
      </w:r>
    </w:p>
    <w:p w:rsidR="00A2288D" w:rsidRPr="00A2288D" w:rsidRDefault="001C281F" w:rsidP="0041436A">
      <w:pPr>
        <w:spacing w:after="240"/>
        <w:ind w:left="720" w:hanging="720"/>
        <w:jc w:val="both"/>
        <w:rPr>
          <w:rFonts w:ascii="Arial" w:hAnsi="Arial" w:cs="Arial"/>
        </w:rPr>
      </w:pPr>
      <w:r w:rsidRPr="00A2288D">
        <w:rPr>
          <w:rFonts w:ascii="Arial" w:hAnsi="Arial" w:cs="Arial"/>
        </w:rPr>
        <w:t>7</w:t>
      </w:r>
      <w:r w:rsidR="00D11E17" w:rsidRPr="00A2288D">
        <w:rPr>
          <w:rFonts w:ascii="Arial" w:hAnsi="Arial" w:cs="Arial"/>
        </w:rPr>
        <w:t>.7</w:t>
      </w:r>
      <w:r w:rsidR="00D11E17" w:rsidRPr="00A2288D">
        <w:rPr>
          <w:rFonts w:ascii="Arial" w:hAnsi="Arial" w:cs="Arial"/>
        </w:rPr>
        <w:tab/>
      </w:r>
      <w:r w:rsidR="00356FE9" w:rsidRPr="00A2288D">
        <w:rPr>
          <w:rFonts w:ascii="Arial" w:hAnsi="Arial" w:cs="Arial"/>
        </w:rPr>
        <w:t>The NPPF requires its own exercise to be undertaken as set out in its chapter 12, Conserving and enhancing the historic environment. Paragraph 129 requires Local planning authorities should identify and assess the particular significance of any heritage asset that may be affected by a proposal. Paragraphs 132-134 and 138 require consideration as to the impact of a proposed development on the significance of a designated heritage asset and assessment of the identification of any harm.</w:t>
      </w:r>
    </w:p>
    <w:p w:rsidR="00356FE9" w:rsidRPr="00A2288D" w:rsidRDefault="00356FE9" w:rsidP="00A2288D">
      <w:pPr>
        <w:ind w:firstLine="720"/>
        <w:jc w:val="both"/>
        <w:rPr>
          <w:rFonts w:ascii="Arial" w:hAnsi="Arial" w:cs="Arial"/>
          <w:u w:val="single"/>
        </w:rPr>
      </w:pPr>
      <w:r w:rsidRPr="00A2288D">
        <w:rPr>
          <w:rFonts w:ascii="Arial" w:hAnsi="Arial" w:cs="Arial"/>
          <w:u w:val="single"/>
        </w:rPr>
        <w:t>Significance</w:t>
      </w:r>
    </w:p>
    <w:p w:rsidR="00D11E17" w:rsidRPr="00A2288D" w:rsidRDefault="00D11E17" w:rsidP="00A2288D">
      <w:pPr>
        <w:jc w:val="both"/>
        <w:rPr>
          <w:rFonts w:ascii="Arial" w:hAnsi="Arial" w:cs="Arial"/>
        </w:rPr>
      </w:pPr>
    </w:p>
    <w:p w:rsidR="00B56285" w:rsidRPr="00A2288D" w:rsidRDefault="00A2288D" w:rsidP="00A2288D">
      <w:pPr>
        <w:ind w:left="720" w:hanging="720"/>
        <w:jc w:val="both"/>
        <w:rPr>
          <w:rFonts w:ascii="Arial" w:hAnsi="Arial" w:cs="Arial"/>
        </w:rPr>
      </w:pPr>
      <w:r>
        <w:rPr>
          <w:rFonts w:ascii="Arial" w:hAnsi="Arial" w:cs="Arial"/>
        </w:rPr>
        <w:t>7.8</w:t>
      </w:r>
      <w:r w:rsidR="00B56285" w:rsidRPr="00A2288D">
        <w:rPr>
          <w:rFonts w:ascii="Arial" w:hAnsi="Arial" w:cs="Arial"/>
        </w:rPr>
        <w:tab/>
        <w:t>The application site is a grade-II-listed building and is therefore considered to be a building of national historic and architectural importance. The application site forms part of a terrace (1 to 8) of listed buildings which includes the front railings. As a listed building, the site is considered to be a positive contributor to the conservation area.  DP25 Conserving Camden’s heritage states that the Council will only grant alterations and extension to listed buildings which do not cause harm and not permit development which harms the setting of listed building or harms the character and appearance of conservation areas.</w:t>
      </w:r>
    </w:p>
    <w:p w:rsidR="00356FE9" w:rsidRPr="00A2288D" w:rsidRDefault="00356FE9" w:rsidP="00A2288D">
      <w:pPr>
        <w:jc w:val="both"/>
        <w:rPr>
          <w:rFonts w:ascii="Arial" w:hAnsi="Arial" w:cs="Arial"/>
        </w:rPr>
      </w:pPr>
    </w:p>
    <w:p w:rsidR="00356FE9" w:rsidRPr="00A2288D" w:rsidRDefault="00356FE9" w:rsidP="00A2288D">
      <w:pPr>
        <w:ind w:firstLine="720"/>
        <w:jc w:val="both"/>
        <w:rPr>
          <w:rFonts w:ascii="Arial" w:hAnsi="Arial" w:cs="Arial"/>
          <w:u w:val="single"/>
        </w:rPr>
      </w:pPr>
      <w:r w:rsidRPr="00A2288D">
        <w:rPr>
          <w:rFonts w:ascii="Arial" w:hAnsi="Arial" w:cs="Arial"/>
          <w:u w:val="single"/>
        </w:rPr>
        <w:t xml:space="preserve">Impact of the proposed work on the significance of the listed building </w:t>
      </w:r>
    </w:p>
    <w:p w:rsidR="00356FE9" w:rsidRPr="00A2288D" w:rsidRDefault="00356FE9" w:rsidP="00A2288D">
      <w:pPr>
        <w:jc w:val="both"/>
        <w:rPr>
          <w:rFonts w:ascii="Arial" w:hAnsi="Arial" w:cs="Arial"/>
          <w:i/>
        </w:rPr>
      </w:pPr>
    </w:p>
    <w:p w:rsidR="00356FE9" w:rsidRPr="00A2288D" w:rsidRDefault="00001EA6" w:rsidP="00A2288D">
      <w:pPr>
        <w:ind w:firstLine="720"/>
        <w:jc w:val="both"/>
        <w:rPr>
          <w:rFonts w:ascii="Arial" w:hAnsi="Arial" w:cs="Arial"/>
          <w:i/>
        </w:rPr>
      </w:pPr>
      <w:r w:rsidRPr="00A2288D">
        <w:rPr>
          <w:rFonts w:ascii="Arial" w:hAnsi="Arial" w:cs="Arial"/>
          <w:i/>
        </w:rPr>
        <w:t>Internal works</w:t>
      </w:r>
      <w:r w:rsidR="00356FE9" w:rsidRPr="00A2288D">
        <w:rPr>
          <w:rFonts w:ascii="Arial" w:hAnsi="Arial" w:cs="Arial"/>
          <w:i/>
        </w:rPr>
        <w:t xml:space="preserve"> </w:t>
      </w:r>
    </w:p>
    <w:p w:rsidR="00001EA6" w:rsidRPr="00A2288D" w:rsidRDefault="001C281F" w:rsidP="00A2288D">
      <w:pPr>
        <w:ind w:left="720" w:hanging="720"/>
        <w:jc w:val="both"/>
        <w:rPr>
          <w:rFonts w:ascii="Arial" w:hAnsi="Arial" w:cs="Arial"/>
        </w:rPr>
      </w:pPr>
      <w:r w:rsidRPr="00A2288D">
        <w:rPr>
          <w:rFonts w:ascii="Arial" w:hAnsi="Arial" w:cs="Arial"/>
        </w:rPr>
        <w:t>7</w:t>
      </w:r>
      <w:r w:rsidR="00D11E17" w:rsidRPr="00A2288D">
        <w:rPr>
          <w:rFonts w:ascii="Arial" w:hAnsi="Arial" w:cs="Arial"/>
        </w:rPr>
        <w:t>.</w:t>
      </w:r>
      <w:r w:rsidR="00A2288D">
        <w:rPr>
          <w:rFonts w:ascii="Arial" w:hAnsi="Arial" w:cs="Arial"/>
        </w:rPr>
        <w:t>9</w:t>
      </w:r>
      <w:r w:rsidR="006E2589" w:rsidRPr="00A2288D">
        <w:rPr>
          <w:rFonts w:ascii="Arial" w:hAnsi="Arial" w:cs="Arial"/>
        </w:rPr>
        <w:tab/>
      </w:r>
      <w:r w:rsidR="00B56285" w:rsidRPr="00A2288D">
        <w:rPr>
          <w:rFonts w:ascii="Arial" w:hAnsi="Arial" w:cs="Arial"/>
        </w:rPr>
        <w:t>As parts of the</w:t>
      </w:r>
      <w:r w:rsidR="009C544A" w:rsidRPr="00A2288D">
        <w:rPr>
          <w:rFonts w:ascii="Arial" w:hAnsi="Arial" w:cs="Arial"/>
        </w:rPr>
        <w:t xml:space="preserve"> interior have been destroyed, the pre</w:t>
      </w:r>
      <w:r w:rsidR="00AD2DF8" w:rsidRPr="00A2288D">
        <w:rPr>
          <w:rFonts w:ascii="Arial" w:hAnsi="Arial" w:cs="Arial"/>
        </w:rPr>
        <w:t xml:space="preserve">-existing condition of the </w:t>
      </w:r>
      <w:r w:rsidR="00B56285" w:rsidRPr="00A2288D">
        <w:rPr>
          <w:rFonts w:ascii="Arial" w:hAnsi="Arial" w:cs="Arial"/>
        </w:rPr>
        <w:t xml:space="preserve">ground floor </w:t>
      </w:r>
      <w:r w:rsidR="00AD2DF8" w:rsidRPr="00A2288D">
        <w:rPr>
          <w:rFonts w:ascii="Arial" w:hAnsi="Arial" w:cs="Arial"/>
        </w:rPr>
        <w:t>room</w:t>
      </w:r>
      <w:r w:rsidR="009C544A" w:rsidRPr="00A2288D">
        <w:rPr>
          <w:rFonts w:ascii="Arial" w:hAnsi="Arial" w:cs="Arial"/>
        </w:rPr>
        <w:t xml:space="preserve"> is not known. However, it is clear that lath and plasterwork and decorative cornices </w:t>
      </w:r>
      <w:r w:rsidR="00B56285" w:rsidRPr="00A2288D">
        <w:rPr>
          <w:rFonts w:ascii="Arial" w:hAnsi="Arial" w:cs="Arial"/>
        </w:rPr>
        <w:t>were</w:t>
      </w:r>
      <w:r w:rsidR="009C544A" w:rsidRPr="00A2288D">
        <w:rPr>
          <w:rFonts w:ascii="Arial" w:hAnsi="Arial" w:cs="Arial"/>
        </w:rPr>
        <w:t xml:space="preserve"> demolished. </w:t>
      </w:r>
      <w:r w:rsidR="00001EA6" w:rsidRPr="00A2288D">
        <w:rPr>
          <w:rFonts w:ascii="Arial" w:hAnsi="Arial" w:cs="Arial"/>
        </w:rPr>
        <w:t xml:space="preserve">The </w:t>
      </w:r>
      <w:r w:rsidR="00AD2DF8" w:rsidRPr="00A2288D">
        <w:rPr>
          <w:rFonts w:ascii="Arial" w:hAnsi="Arial" w:cs="Arial"/>
        </w:rPr>
        <w:t>replacement of</w:t>
      </w:r>
      <w:r w:rsidR="00001EA6" w:rsidRPr="00A2288D">
        <w:rPr>
          <w:rFonts w:ascii="Arial" w:hAnsi="Arial" w:cs="Arial"/>
        </w:rPr>
        <w:t xml:space="preserve"> the kitchen and bathroom</w:t>
      </w:r>
      <w:r w:rsidR="00AD2DF8" w:rsidRPr="00A2288D">
        <w:rPr>
          <w:rFonts w:ascii="Arial" w:hAnsi="Arial" w:cs="Arial"/>
        </w:rPr>
        <w:t xml:space="preserve"> facilities</w:t>
      </w:r>
      <w:r w:rsidR="009C544A" w:rsidRPr="00A2288D">
        <w:rPr>
          <w:rFonts w:ascii="Arial" w:hAnsi="Arial" w:cs="Arial"/>
        </w:rPr>
        <w:t>, as outlined at 4.3,</w:t>
      </w:r>
      <w:r w:rsidR="00001EA6" w:rsidRPr="00A2288D">
        <w:rPr>
          <w:rFonts w:ascii="Arial" w:hAnsi="Arial" w:cs="Arial"/>
        </w:rPr>
        <w:t xml:space="preserve"> have a neutral effect on the special interest of the building because they replace existing facilities</w:t>
      </w:r>
      <w:r w:rsidR="009C544A" w:rsidRPr="00A2288D">
        <w:rPr>
          <w:rFonts w:ascii="Arial" w:hAnsi="Arial" w:cs="Arial"/>
        </w:rPr>
        <w:t xml:space="preserve"> in the existing positions using the existing pipework</w:t>
      </w:r>
      <w:r w:rsidR="00001EA6" w:rsidRPr="00A2288D">
        <w:rPr>
          <w:rFonts w:ascii="Arial" w:hAnsi="Arial" w:cs="Arial"/>
        </w:rPr>
        <w:t>. The replacement of the basement ceiling and repairs to the damaged plasterwork represent an improvement on the</w:t>
      </w:r>
      <w:r w:rsidR="009C544A" w:rsidRPr="00A2288D">
        <w:rPr>
          <w:rFonts w:ascii="Arial" w:hAnsi="Arial" w:cs="Arial"/>
        </w:rPr>
        <w:t xml:space="preserve"> current</w:t>
      </w:r>
      <w:r w:rsidR="00001EA6" w:rsidRPr="00A2288D">
        <w:rPr>
          <w:rFonts w:ascii="Arial" w:hAnsi="Arial" w:cs="Arial"/>
        </w:rPr>
        <w:t xml:space="preserve"> state of the building. </w:t>
      </w:r>
      <w:r w:rsidR="009C544A" w:rsidRPr="00A2288D">
        <w:rPr>
          <w:rFonts w:ascii="Arial" w:hAnsi="Arial" w:cs="Arial"/>
        </w:rPr>
        <w:t xml:space="preserve">The drawings indicate that this reinstatement work will be carried out like for like by an appropriate craftsman. </w:t>
      </w:r>
      <w:r w:rsidR="00235775" w:rsidRPr="00A2288D">
        <w:rPr>
          <w:rFonts w:ascii="Arial" w:hAnsi="Arial" w:cs="Arial"/>
        </w:rPr>
        <w:t xml:space="preserve">A section of cornice survives to be copied, </w:t>
      </w:r>
      <w:r w:rsidR="00B56285" w:rsidRPr="00A2288D">
        <w:rPr>
          <w:rFonts w:ascii="Arial" w:hAnsi="Arial" w:cs="Arial"/>
        </w:rPr>
        <w:t>and a condition is recommended to ensure the works are implemented in accord with this detailing</w:t>
      </w:r>
      <w:r w:rsidR="00235775" w:rsidRPr="00A2288D">
        <w:rPr>
          <w:rFonts w:ascii="Arial" w:hAnsi="Arial" w:cs="Arial"/>
        </w:rPr>
        <w:t xml:space="preserve">. </w:t>
      </w:r>
      <w:r w:rsidR="00E17D5F" w:rsidRPr="00A2288D">
        <w:rPr>
          <w:rFonts w:ascii="Arial" w:hAnsi="Arial" w:cs="Arial"/>
        </w:rPr>
        <w:t>Repair and the addition of s</w:t>
      </w:r>
      <w:r w:rsidR="00001EA6" w:rsidRPr="00A2288D">
        <w:rPr>
          <w:rFonts w:ascii="Arial" w:hAnsi="Arial" w:cs="Arial"/>
        </w:rPr>
        <w:t xml:space="preserve">econdary glazing is the preferred method of upgrading the windows of a listed building, so this part of the proposal is acceptable.   </w:t>
      </w:r>
    </w:p>
    <w:p w:rsidR="00156681" w:rsidRPr="00A2288D" w:rsidRDefault="00156681" w:rsidP="00A2288D">
      <w:pPr>
        <w:jc w:val="both"/>
        <w:rPr>
          <w:rFonts w:ascii="Arial" w:hAnsi="Arial" w:cs="Arial"/>
        </w:rPr>
      </w:pPr>
    </w:p>
    <w:p w:rsidR="00001EA6" w:rsidRPr="00A2288D" w:rsidRDefault="00001EA6" w:rsidP="00A2288D">
      <w:pPr>
        <w:ind w:firstLine="720"/>
        <w:jc w:val="both"/>
        <w:rPr>
          <w:rFonts w:ascii="Arial" w:hAnsi="Arial" w:cs="Arial"/>
          <w:i/>
        </w:rPr>
      </w:pPr>
      <w:r w:rsidRPr="00A2288D">
        <w:rPr>
          <w:rFonts w:ascii="Arial" w:hAnsi="Arial" w:cs="Arial"/>
          <w:i/>
        </w:rPr>
        <w:t xml:space="preserve">External works </w:t>
      </w:r>
    </w:p>
    <w:p w:rsidR="00356FE9" w:rsidRPr="00A2288D" w:rsidRDefault="001C281F" w:rsidP="00A2288D">
      <w:pPr>
        <w:ind w:left="720" w:hanging="720"/>
        <w:jc w:val="both"/>
        <w:rPr>
          <w:rFonts w:ascii="Arial" w:hAnsi="Arial" w:cs="Arial"/>
        </w:rPr>
      </w:pPr>
      <w:r w:rsidRPr="00A2288D">
        <w:rPr>
          <w:rFonts w:ascii="Arial" w:hAnsi="Arial" w:cs="Arial"/>
        </w:rPr>
        <w:t>7</w:t>
      </w:r>
      <w:r w:rsidR="00001EA6" w:rsidRPr="00A2288D">
        <w:rPr>
          <w:rFonts w:ascii="Arial" w:hAnsi="Arial" w:cs="Arial"/>
        </w:rPr>
        <w:t>.</w:t>
      </w:r>
      <w:r w:rsidRPr="00A2288D">
        <w:rPr>
          <w:rFonts w:ascii="Arial" w:hAnsi="Arial" w:cs="Arial"/>
        </w:rPr>
        <w:t>1</w:t>
      </w:r>
      <w:r w:rsidR="00A2288D">
        <w:rPr>
          <w:rFonts w:ascii="Arial" w:hAnsi="Arial" w:cs="Arial"/>
        </w:rPr>
        <w:t>0</w:t>
      </w:r>
      <w:r w:rsidR="00001EA6" w:rsidRPr="00A2288D">
        <w:rPr>
          <w:rFonts w:ascii="Arial" w:hAnsi="Arial" w:cs="Arial"/>
        </w:rPr>
        <w:t xml:space="preserve"> </w:t>
      </w:r>
      <w:r w:rsidR="00001EA6" w:rsidRPr="00A2288D">
        <w:rPr>
          <w:rFonts w:ascii="Arial" w:hAnsi="Arial" w:cs="Arial"/>
        </w:rPr>
        <w:tab/>
        <w:t xml:space="preserve">Double glazing would not normally be considered appropriate in a listed building but, in this case, the replacement door to the rear is in a non-original aperture (i.e. in a non-original rear extension), so it is acceptable in this instance. The banisters </w:t>
      </w:r>
      <w:r w:rsidR="00001EA6" w:rsidRPr="00A2288D">
        <w:rPr>
          <w:rFonts w:ascii="Arial" w:hAnsi="Arial" w:cs="Arial"/>
        </w:rPr>
        <w:lastRenderedPageBreak/>
        <w:t xml:space="preserve">in the front area will not be visible, while the railings around the rear light well will also be concealed from public view. In neither case will the work harm the special interest of the listed building.    </w:t>
      </w:r>
    </w:p>
    <w:p w:rsidR="00356FE9" w:rsidRPr="00A2288D" w:rsidRDefault="00356FE9" w:rsidP="00A2288D">
      <w:pPr>
        <w:jc w:val="both"/>
        <w:rPr>
          <w:rFonts w:ascii="Arial" w:hAnsi="Arial" w:cs="Arial"/>
        </w:rPr>
      </w:pPr>
    </w:p>
    <w:p w:rsidR="00356FE9" w:rsidRPr="00A2288D" w:rsidRDefault="001C281F" w:rsidP="00A2288D">
      <w:pPr>
        <w:ind w:left="720" w:hanging="720"/>
        <w:jc w:val="both"/>
        <w:rPr>
          <w:rFonts w:ascii="Arial" w:hAnsi="Arial" w:cs="Arial"/>
        </w:rPr>
      </w:pPr>
      <w:r w:rsidRPr="00A2288D">
        <w:rPr>
          <w:rFonts w:ascii="Arial" w:hAnsi="Arial" w:cs="Arial"/>
        </w:rPr>
        <w:t>7</w:t>
      </w:r>
      <w:r w:rsidR="00D11E17" w:rsidRPr="00A2288D">
        <w:rPr>
          <w:rFonts w:ascii="Arial" w:hAnsi="Arial" w:cs="Arial"/>
        </w:rPr>
        <w:t>.</w:t>
      </w:r>
      <w:r w:rsidR="00A2288D">
        <w:rPr>
          <w:rFonts w:ascii="Arial" w:hAnsi="Arial" w:cs="Arial"/>
        </w:rPr>
        <w:t>11</w:t>
      </w:r>
      <w:r w:rsidR="00D11E17" w:rsidRPr="00A2288D">
        <w:rPr>
          <w:rFonts w:ascii="Arial" w:hAnsi="Arial" w:cs="Arial"/>
        </w:rPr>
        <w:tab/>
      </w:r>
      <w:r w:rsidR="003751A0" w:rsidRPr="00A2288D">
        <w:rPr>
          <w:rFonts w:ascii="Arial" w:hAnsi="Arial" w:cs="Arial"/>
        </w:rPr>
        <w:t>The works are either internal or of so minor a nature as to have no effect on the character and appearance of the conservation area</w:t>
      </w:r>
      <w:r w:rsidR="00A2288D" w:rsidRPr="00A2288D">
        <w:rPr>
          <w:rFonts w:ascii="Arial" w:hAnsi="Arial" w:cs="Arial"/>
        </w:rPr>
        <w:t xml:space="preserve"> or </w:t>
      </w:r>
      <w:r w:rsidR="003751A0" w:rsidRPr="00A2288D">
        <w:rPr>
          <w:rFonts w:ascii="Arial" w:hAnsi="Arial" w:cs="Arial"/>
        </w:rPr>
        <w:t>the setting of the adjoining listed buildings.</w:t>
      </w:r>
    </w:p>
    <w:p w:rsidR="003751A0" w:rsidRPr="00A2288D" w:rsidRDefault="003751A0" w:rsidP="00A2288D">
      <w:pPr>
        <w:ind w:left="720" w:hanging="720"/>
        <w:jc w:val="both"/>
        <w:rPr>
          <w:rFonts w:ascii="Arial" w:hAnsi="Arial" w:cs="Arial"/>
          <w:i/>
          <w:u w:val="single"/>
        </w:rPr>
      </w:pPr>
    </w:p>
    <w:p w:rsidR="00356FE9" w:rsidRPr="00A2288D" w:rsidRDefault="00356FE9" w:rsidP="00A2288D">
      <w:pPr>
        <w:ind w:firstLine="720"/>
        <w:jc w:val="both"/>
        <w:rPr>
          <w:rFonts w:ascii="Arial" w:hAnsi="Arial" w:cs="Arial"/>
          <w:u w:val="single"/>
        </w:rPr>
      </w:pPr>
      <w:r w:rsidRPr="00A2288D">
        <w:rPr>
          <w:rFonts w:ascii="Arial" w:hAnsi="Arial" w:cs="Arial"/>
          <w:u w:val="single"/>
        </w:rPr>
        <w:t>Conclusion</w:t>
      </w:r>
    </w:p>
    <w:p w:rsidR="00356FE9" w:rsidRPr="00A2288D" w:rsidRDefault="001C281F" w:rsidP="00A2288D">
      <w:pPr>
        <w:ind w:left="720" w:hanging="720"/>
        <w:jc w:val="both"/>
        <w:rPr>
          <w:rFonts w:ascii="Arial" w:hAnsi="Arial" w:cs="Arial"/>
        </w:rPr>
      </w:pPr>
      <w:r w:rsidRPr="00A2288D">
        <w:rPr>
          <w:rFonts w:ascii="Arial" w:hAnsi="Arial" w:cs="Arial"/>
        </w:rPr>
        <w:t>7</w:t>
      </w:r>
      <w:r w:rsidR="00D11E17" w:rsidRPr="00A2288D">
        <w:rPr>
          <w:rFonts w:ascii="Arial" w:hAnsi="Arial" w:cs="Arial"/>
        </w:rPr>
        <w:t>.</w:t>
      </w:r>
      <w:r w:rsidR="00A2288D">
        <w:rPr>
          <w:rFonts w:ascii="Arial" w:hAnsi="Arial" w:cs="Arial"/>
        </w:rPr>
        <w:t>1</w:t>
      </w:r>
      <w:r w:rsidRPr="00A2288D">
        <w:rPr>
          <w:rFonts w:ascii="Arial" w:hAnsi="Arial" w:cs="Arial"/>
        </w:rPr>
        <w:t>2</w:t>
      </w:r>
      <w:r w:rsidR="00D11E17" w:rsidRPr="00A2288D">
        <w:rPr>
          <w:rFonts w:ascii="Arial" w:hAnsi="Arial" w:cs="Arial"/>
        </w:rPr>
        <w:tab/>
      </w:r>
      <w:r w:rsidR="00FF1D37" w:rsidRPr="00A2288D">
        <w:rPr>
          <w:rFonts w:ascii="Arial" w:hAnsi="Arial" w:cs="Arial"/>
        </w:rPr>
        <w:t xml:space="preserve">As set out in paragraph </w:t>
      </w:r>
      <w:r w:rsidR="00AD2DF8" w:rsidRPr="00A2288D">
        <w:rPr>
          <w:rFonts w:ascii="Arial" w:hAnsi="Arial" w:cs="Arial"/>
        </w:rPr>
        <w:t>4</w:t>
      </w:r>
      <w:r w:rsidR="00FF1D37" w:rsidRPr="00A2288D">
        <w:rPr>
          <w:rFonts w:ascii="Arial" w:hAnsi="Arial" w:cs="Arial"/>
        </w:rPr>
        <w:t>.3, works were required as a result of an environmental health improvement notice and a planning enforcement investigation. The application has been submitted as a result of discussions with planning enforcement and conservation and design officers.</w:t>
      </w:r>
    </w:p>
    <w:p w:rsidR="003751A0" w:rsidRPr="00A2288D" w:rsidRDefault="003751A0" w:rsidP="00A2288D">
      <w:pPr>
        <w:ind w:left="720" w:hanging="720"/>
        <w:jc w:val="both"/>
        <w:rPr>
          <w:rFonts w:ascii="Arial" w:hAnsi="Arial" w:cs="Arial"/>
        </w:rPr>
      </w:pPr>
    </w:p>
    <w:p w:rsidR="00356FE9" w:rsidRPr="00A2288D" w:rsidRDefault="001C281F" w:rsidP="00A2288D">
      <w:pPr>
        <w:ind w:left="720" w:hanging="720"/>
        <w:jc w:val="both"/>
        <w:rPr>
          <w:rFonts w:ascii="Arial" w:hAnsi="Arial" w:cs="Arial"/>
        </w:rPr>
      </w:pPr>
      <w:r w:rsidRPr="00A2288D">
        <w:rPr>
          <w:rFonts w:ascii="Arial" w:hAnsi="Arial" w:cs="Arial"/>
        </w:rPr>
        <w:t>7</w:t>
      </w:r>
      <w:r w:rsidR="00D11E17" w:rsidRPr="00A2288D">
        <w:rPr>
          <w:rFonts w:ascii="Arial" w:hAnsi="Arial" w:cs="Arial"/>
        </w:rPr>
        <w:t>.</w:t>
      </w:r>
      <w:r w:rsidR="00A2288D">
        <w:rPr>
          <w:rFonts w:ascii="Arial" w:hAnsi="Arial" w:cs="Arial"/>
        </w:rPr>
        <w:t>1</w:t>
      </w:r>
      <w:r w:rsidRPr="00A2288D">
        <w:rPr>
          <w:rFonts w:ascii="Arial" w:hAnsi="Arial" w:cs="Arial"/>
        </w:rPr>
        <w:t>3</w:t>
      </w:r>
      <w:r w:rsidR="00D11E17" w:rsidRPr="00A2288D">
        <w:rPr>
          <w:rFonts w:ascii="Arial" w:hAnsi="Arial" w:cs="Arial"/>
        </w:rPr>
        <w:tab/>
      </w:r>
      <w:r w:rsidR="00356FE9" w:rsidRPr="00A2288D">
        <w:rPr>
          <w:rFonts w:ascii="Arial" w:hAnsi="Arial" w:cs="Arial"/>
        </w:rPr>
        <w:t xml:space="preserve">In respect to the Planning Act it is considered that the proposal would preserve as well as enhance the </w:t>
      </w:r>
      <w:r w:rsidR="00356FE9" w:rsidRPr="00A2288D">
        <w:rPr>
          <w:rFonts w:ascii="Arial" w:eastAsia="Calibri" w:hAnsi="Arial" w:cs="Arial"/>
        </w:rPr>
        <w:t>special architectural and historic interest of the grade</w:t>
      </w:r>
      <w:r w:rsidR="000D6EF4" w:rsidRPr="00A2288D">
        <w:rPr>
          <w:rFonts w:ascii="Arial" w:eastAsia="Calibri" w:hAnsi="Arial" w:cs="Arial"/>
        </w:rPr>
        <w:t>-II-</w:t>
      </w:r>
      <w:r w:rsidR="00356FE9" w:rsidRPr="00A2288D">
        <w:rPr>
          <w:rFonts w:ascii="Arial" w:eastAsia="Calibri" w:hAnsi="Arial" w:cs="Arial"/>
        </w:rPr>
        <w:t xml:space="preserve">listed </w:t>
      </w:r>
      <w:r w:rsidR="003751A0" w:rsidRPr="00A2288D">
        <w:rPr>
          <w:rFonts w:ascii="Arial" w:eastAsia="Calibri" w:hAnsi="Arial" w:cs="Arial"/>
        </w:rPr>
        <w:t>house</w:t>
      </w:r>
      <w:r w:rsidR="00356FE9" w:rsidRPr="00A2288D">
        <w:rPr>
          <w:rFonts w:ascii="Arial" w:hAnsi="Arial" w:cs="Arial"/>
        </w:rPr>
        <w:t xml:space="preserve">. The proposal is also considered to preserve the character and appearance of the </w:t>
      </w:r>
      <w:r w:rsidR="003751A0" w:rsidRPr="00A2288D">
        <w:rPr>
          <w:rFonts w:ascii="Arial" w:hAnsi="Arial" w:cs="Arial"/>
        </w:rPr>
        <w:t>Primrose Hill</w:t>
      </w:r>
      <w:r w:rsidR="00356FE9" w:rsidRPr="00A2288D">
        <w:rPr>
          <w:rFonts w:ascii="Arial" w:hAnsi="Arial" w:cs="Arial"/>
        </w:rPr>
        <w:t xml:space="preserve"> Conservation Area and the setting of t</w:t>
      </w:r>
      <w:r w:rsidR="003751A0" w:rsidRPr="00A2288D">
        <w:rPr>
          <w:rFonts w:ascii="Arial" w:hAnsi="Arial" w:cs="Arial"/>
        </w:rPr>
        <w:t xml:space="preserve">he adjoining listed buildings. </w:t>
      </w:r>
      <w:r w:rsidR="00356FE9" w:rsidRPr="00A2288D">
        <w:rPr>
          <w:rFonts w:ascii="Arial" w:hAnsi="Arial" w:cs="Arial"/>
        </w:rPr>
        <w:t>No harm would be caused to the listed building, its character and appear</w:t>
      </w:r>
      <w:r w:rsidR="003751A0" w:rsidRPr="00A2288D">
        <w:rPr>
          <w:rFonts w:ascii="Arial" w:hAnsi="Arial" w:cs="Arial"/>
        </w:rPr>
        <w:t xml:space="preserve">ance or significance. </w:t>
      </w:r>
      <w:r w:rsidR="00356FE9" w:rsidRPr="00A2288D">
        <w:rPr>
          <w:rFonts w:ascii="Arial" w:hAnsi="Arial" w:cs="Arial"/>
        </w:rPr>
        <w:t xml:space="preserve">The proposals overall would enhance the </w:t>
      </w:r>
      <w:r w:rsidR="003751A0" w:rsidRPr="00A2288D">
        <w:rPr>
          <w:rFonts w:ascii="Arial" w:hAnsi="Arial" w:cs="Arial"/>
        </w:rPr>
        <w:t>condition</w:t>
      </w:r>
      <w:r w:rsidR="00356FE9" w:rsidRPr="00A2288D">
        <w:rPr>
          <w:rFonts w:ascii="Arial" w:hAnsi="Arial" w:cs="Arial"/>
        </w:rPr>
        <w:t xml:space="preserve"> of the listed building</w:t>
      </w:r>
      <w:r w:rsidR="003751A0" w:rsidRPr="00A2288D">
        <w:rPr>
          <w:rFonts w:ascii="Arial" w:hAnsi="Arial" w:cs="Arial"/>
        </w:rPr>
        <w:t>, thereby ensuring its future health</w:t>
      </w:r>
      <w:r w:rsidR="00356FE9" w:rsidRPr="00A2288D">
        <w:rPr>
          <w:rFonts w:ascii="Arial" w:hAnsi="Arial" w:cs="Arial"/>
        </w:rPr>
        <w:t xml:space="preserve">. </w:t>
      </w:r>
    </w:p>
    <w:p w:rsidR="00356FE9" w:rsidRPr="00A2288D" w:rsidRDefault="00356FE9" w:rsidP="00A2288D">
      <w:pPr>
        <w:jc w:val="both"/>
        <w:rPr>
          <w:rFonts w:ascii="Arial" w:hAnsi="Arial" w:cs="Arial"/>
        </w:rPr>
      </w:pPr>
      <w:r w:rsidRPr="00A2288D">
        <w:rPr>
          <w:rFonts w:ascii="Arial" w:hAnsi="Arial" w:cs="Arial"/>
        </w:rPr>
        <w:t xml:space="preserve"> </w:t>
      </w:r>
    </w:p>
    <w:p w:rsidR="00356FE9" w:rsidRPr="00A2288D" w:rsidRDefault="001C281F" w:rsidP="00A2288D">
      <w:pPr>
        <w:ind w:left="720" w:hanging="720"/>
        <w:jc w:val="both"/>
        <w:rPr>
          <w:rFonts w:ascii="Arial" w:hAnsi="Arial" w:cs="Arial"/>
        </w:rPr>
      </w:pPr>
      <w:r w:rsidRPr="00A2288D">
        <w:rPr>
          <w:rFonts w:ascii="Arial" w:hAnsi="Arial" w:cs="Arial"/>
        </w:rPr>
        <w:t>7</w:t>
      </w:r>
      <w:r w:rsidR="00D11E17" w:rsidRPr="00A2288D">
        <w:rPr>
          <w:rFonts w:ascii="Arial" w:hAnsi="Arial" w:cs="Arial"/>
        </w:rPr>
        <w:t>.</w:t>
      </w:r>
      <w:r w:rsidR="00A2288D">
        <w:rPr>
          <w:rFonts w:ascii="Arial" w:hAnsi="Arial" w:cs="Arial"/>
        </w:rPr>
        <w:t>1</w:t>
      </w:r>
      <w:r w:rsidRPr="00A2288D">
        <w:rPr>
          <w:rFonts w:ascii="Arial" w:hAnsi="Arial" w:cs="Arial"/>
        </w:rPr>
        <w:t>4</w:t>
      </w:r>
      <w:r w:rsidR="00D11E17" w:rsidRPr="00A2288D">
        <w:rPr>
          <w:rFonts w:ascii="Arial" w:hAnsi="Arial" w:cs="Arial"/>
        </w:rPr>
        <w:tab/>
      </w:r>
      <w:r w:rsidR="00356FE9" w:rsidRPr="00A2288D">
        <w:rPr>
          <w:rFonts w:ascii="Arial" w:hAnsi="Arial" w:cs="Arial"/>
        </w:rPr>
        <w:t xml:space="preserve">The scheme has been assessed against the NPPF and </w:t>
      </w:r>
      <w:r w:rsidR="00A2288D" w:rsidRPr="00A2288D">
        <w:rPr>
          <w:rFonts w:ascii="Arial" w:hAnsi="Arial" w:cs="Arial"/>
        </w:rPr>
        <w:t>would not result in any harm</w:t>
      </w:r>
      <w:r w:rsidR="00356FE9" w:rsidRPr="00A2288D">
        <w:rPr>
          <w:rFonts w:ascii="Arial" w:hAnsi="Arial" w:cs="Arial"/>
        </w:rPr>
        <w:t xml:space="preserve"> </w:t>
      </w:r>
      <w:r w:rsidR="00A2288D" w:rsidRPr="00A2288D">
        <w:rPr>
          <w:rFonts w:ascii="Arial" w:hAnsi="Arial" w:cs="Arial"/>
        </w:rPr>
        <w:t>to any</w:t>
      </w:r>
      <w:r w:rsidR="00356FE9" w:rsidRPr="00A2288D">
        <w:rPr>
          <w:rFonts w:ascii="Arial" w:hAnsi="Arial" w:cs="Arial"/>
        </w:rPr>
        <w:t xml:space="preserve"> heritage assets. Finally the scheme has been considered against the Development Plan policies and guidance and is found to comply with the relevant polices. </w:t>
      </w:r>
    </w:p>
    <w:p w:rsidR="001A6B8F" w:rsidRPr="00A2288D" w:rsidRDefault="001A6B8F" w:rsidP="00A2288D">
      <w:pPr>
        <w:spacing w:line="260" w:lineRule="atLeast"/>
        <w:jc w:val="both"/>
        <w:rPr>
          <w:rFonts w:ascii="Arial" w:hAnsi="Arial" w:cs="Arial"/>
        </w:rPr>
      </w:pPr>
    </w:p>
    <w:p w:rsidR="001A6B8F" w:rsidRPr="00A2288D" w:rsidRDefault="001C281F" w:rsidP="00A2288D">
      <w:pPr>
        <w:spacing w:line="260" w:lineRule="atLeast"/>
        <w:jc w:val="both"/>
        <w:rPr>
          <w:rFonts w:ascii="Arial" w:hAnsi="Arial" w:cs="Arial"/>
          <w:b/>
        </w:rPr>
      </w:pPr>
      <w:r w:rsidRPr="00A2288D">
        <w:rPr>
          <w:rFonts w:ascii="Arial" w:hAnsi="Arial" w:cs="Arial"/>
        </w:rPr>
        <w:t>8</w:t>
      </w:r>
      <w:r w:rsidR="001A6B8F" w:rsidRPr="00A2288D">
        <w:rPr>
          <w:rFonts w:ascii="Arial" w:hAnsi="Arial" w:cs="Arial"/>
        </w:rPr>
        <w:t>.</w:t>
      </w:r>
      <w:r w:rsidR="001A6B8F" w:rsidRPr="00A2288D">
        <w:rPr>
          <w:rFonts w:ascii="Arial" w:hAnsi="Arial" w:cs="Arial"/>
          <w:b/>
        </w:rPr>
        <w:tab/>
        <w:t>CONCLUSION</w:t>
      </w:r>
    </w:p>
    <w:p w:rsidR="001A6B8F" w:rsidRPr="00A2288D" w:rsidRDefault="001A6B8F" w:rsidP="00A2288D">
      <w:pPr>
        <w:spacing w:line="260" w:lineRule="atLeast"/>
        <w:jc w:val="both"/>
        <w:rPr>
          <w:rFonts w:ascii="Arial" w:hAnsi="Arial" w:cs="Arial"/>
        </w:rPr>
      </w:pPr>
    </w:p>
    <w:p w:rsidR="00A2288D" w:rsidRPr="00A2288D" w:rsidRDefault="001C281F" w:rsidP="00A2288D">
      <w:pPr>
        <w:ind w:left="720" w:hanging="720"/>
        <w:jc w:val="both"/>
        <w:rPr>
          <w:rFonts w:ascii="Arial" w:hAnsi="Arial" w:cs="Arial"/>
        </w:rPr>
      </w:pPr>
      <w:r w:rsidRPr="00A2288D">
        <w:rPr>
          <w:rFonts w:ascii="Arial" w:hAnsi="Arial" w:cs="Arial"/>
        </w:rPr>
        <w:t>8</w:t>
      </w:r>
      <w:r w:rsidR="006E3C5A" w:rsidRPr="00A2288D">
        <w:rPr>
          <w:rFonts w:ascii="Arial" w:hAnsi="Arial" w:cs="Arial"/>
        </w:rPr>
        <w:t>.1</w:t>
      </w:r>
      <w:r w:rsidR="006E3C5A" w:rsidRPr="00A2288D">
        <w:rPr>
          <w:rFonts w:ascii="Arial" w:hAnsi="Arial" w:cs="Arial"/>
        </w:rPr>
        <w:tab/>
        <w:t>The propos</w:t>
      </w:r>
      <w:r w:rsidR="003751A0" w:rsidRPr="00A2288D">
        <w:rPr>
          <w:rFonts w:ascii="Arial" w:hAnsi="Arial" w:cs="Arial"/>
        </w:rPr>
        <w:t>al is</w:t>
      </w:r>
      <w:r w:rsidR="006E3C5A" w:rsidRPr="00A2288D">
        <w:rPr>
          <w:rFonts w:ascii="Arial" w:hAnsi="Arial" w:cs="Arial"/>
        </w:rPr>
        <w:t xml:space="preserve"> considered to be acceptable in design, conservation and heritage terms and there would be no adverse impact on the residential amenity of neighbouring properties. </w:t>
      </w:r>
      <w:r w:rsidR="001A6B8F" w:rsidRPr="00A2288D">
        <w:rPr>
          <w:rFonts w:ascii="Arial" w:hAnsi="Arial" w:cs="Arial"/>
        </w:rPr>
        <w:t xml:space="preserve">The development would be appropriate and in accordance with relevant National and Regional Policy, Core Strategy and Development policies and Camden </w:t>
      </w:r>
    </w:p>
    <w:p w:rsidR="00A2288D" w:rsidRPr="00A2288D" w:rsidRDefault="00A2288D" w:rsidP="00A2288D">
      <w:pPr>
        <w:ind w:left="709" w:hanging="709"/>
        <w:jc w:val="both"/>
        <w:rPr>
          <w:rFonts w:ascii="Arial" w:hAnsi="Arial" w:cs="Arial"/>
        </w:rPr>
      </w:pPr>
    </w:p>
    <w:p w:rsidR="000D0E93" w:rsidRDefault="00A2288D" w:rsidP="00A2288D">
      <w:pPr>
        <w:ind w:left="709" w:hanging="709"/>
        <w:jc w:val="both"/>
        <w:rPr>
          <w:rFonts w:ascii="Arial" w:hAnsi="Arial" w:cs="Arial"/>
        </w:rPr>
      </w:pPr>
      <w:r w:rsidRPr="00A2288D">
        <w:rPr>
          <w:rFonts w:ascii="Arial" w:hAnsi="Arial" w:cs="Arial"/>
        </w:rPr>
        <w:tab/>
      </w:r>
      <w:r w:rsidR="00FF1D37" w:rsidRPr="00A2288D">
        <w:rPr>
          <w:rFonts w:ascii="Arial" w:hAnsi="Arial" w:cs="Arial"/>
          <w:b/>
        </w:rPr>
        <w:t>Recommendation</w:t>
      </w:r>
    </w:p>
    <w:p w:rsidR="000D0E93" w:rsidRDefault="000D0E93" w:rsidP="00A2288D">
      <w:pPr>
        <w:ind w:left="709" w:hanging="709"/>
        <w:jc w:val="both"/>
        <w:rPr>
          <w:rFonts w:ascii="Arial" w:hAnsi="Arial" w:cs="Arial"/>
        </w:rPr>
      </w:pPr>
    </w:p>
    <w:p w:rsidR="000D0E93" w:rsidRDefault="000D0E93" w:rsidP="000D0E93">
      <w:pPr>
        <w:ind w:left="709" w:hanging="709"/>
        <w:jc w:val="both"/>
        <w:rPr>
          <w:rFonts w:ascii="Arial" w:hAnsi="Arial" w:cs="Arial"/>
          <w:iCs/>
        </w:rPr>
      </w:pPr>
      <w:r>
        <w:rPr>
          <w:rFonts w:ascii="Arial" w:hAnsi="Arial" w:cs="Arial"/>
        </w:rPr>
        <w:t>8.2</w:t>
      </w:r>
      <w:r>
        <w:rPr>
          <w:rFonts w:ascii="Arial" w:hAnsi="Arial" w:cs="Arial"/>
        </w:rPr>
        <w:tab/>
      </w:r>
      <w:r w:rsidRPr="00A2288D">
        <w:rPr>
          <w:rFonts w:ascii="Arial" w:hAnsi="Arial" w:cs="Arial"/>
        </w:rPr>
        <w:t xml:space="preserve">Grant conditional </w:t>
      </w:r>
      <w:r w:rsidRPr="00A2288D">
        <w:rPr>
          <w:rFonts w:ascii="Arial" w:hAnsi="Arial" w:cs="Arial"/>
          <w:iCs/>
        </w:rPr>
        <w:t xml:space="preserve">planning permission </w:t>
      </w:r>
    </w:p>
    <w:p w:rsidR="000D0E93" w:rsidRDefault="000D0E93" w:rsidP="000D0E93">
      <w:pPr>
        <w:ind w:left="709" w:hanging="709"/>
        <w:jc w:val="both"/>
        <w:rPr>
          <w:rFonts w:ascii="Arial" w:hAnsi="Arial" w:cs="Arial"/>
          <w:iCs/>
        </w:rPr>
      </w:pPr>
    </w:p>
    <w:p w:rsidR="00C95894" w:rsidRDefault="000D0E93" w:rsidP="000D0E93">
      <w:pPr>
        <w:ind w:left="709" w:hanging="709"/>
        <w:jc w:val="both"/>
        <w:rPr>
          <w:rFonts w:ascii="Arial" w:hAnsi="Arial" w:cs="Arial"/>
        </w:rPr>
      </w:pPr>
      <w:r>
        <w:rPr>
          <w:rFonts w:ascii="Arial" w:hAnsi="Arial" w:cs="Arial"/>
          <w:iCs/>
        </w:rPr>
        <w:t>8.3</w:t>
      </w:r>
      <w:r>
        <w:rPr>
          <w:rFonts w:ascii="Arial" w:hAnsi="Arial" w:cs="Arial"/>
          <w:iCs/>
        </w:rPr>
        <w:tab/>
      </w:r>
      <w:r w:rsidRPr="000D0E93">
        <w:rPr>
          <w:rFonts w:ascii="Arial" w:hAnsi="Arial" w:cs="Arial"/>
        </w:rPr>
        <w:t xml:space="preserve">Grant conditional </w:t>
      </w:r>
      <w:r w:rsidR="00A2288D" w:rsidRPr="000D0E93">
        <w:rPr>
          <w:rFonts w:ascii="Arial" w:hAnsi="Arial" w:cs="Arial"/>
        </w:rPr>
        <w:t>listed building consent</w:t>
      </w:r>
      <w:r w:rsidR="00C95894">
        <w:rPr>
          <w:rFonts w:ascii="Arial" w:hAnsi="Arial" w:cs="Arial"/>
        </w:rPr>
        <w:t>;</w:t>
      </w:r>
      <w:r w:rsidR="00A2288D" w:rsidRPr="000D0E93">
        <w:rPr>
          <w:rFonts w:ascii="Arial" w:hAnsi="Arial" w:cs="Arial"/>
        </w:rPr>
        <w:t xml:space="preserve"> and </w:t>
      </w:r>
    </w:p>
    <w:p w:rsidR="00C95894" w:rsidRDefault="00C95894" w:rsidP="000D0E93">
      <w:pPr>
        <w:ind w:left="709" w:hanging="709"/>
        <w:jc w:val="both"/>
        <w:rPr>
          <w:rFonts w:ascii="Arial" w:hAnsi="Arial" w:cs="Arial"/>
        </w:rPr>
      </w:pPr>
    </w:p>
    <w:p w:rsidR="00FF1D37" w:rsidRPr="000D0E93" w:rsidRDefault="00C95894" w:rsidP="00C95894">
      <w:pPr>
        <w:ind w:left="709"/>
        <w:jc w:val="both"/>
        <w:rPr>
          <w:rFonts w:ascii="Arial" w:hAnsi="Arial" w:cs="Arial"/>
          <w:iCs/>
        </w:rPr>
      </w:pPr>
      <w:r>
        <w:rPr>
          <w:rFonts w:ascii="Arial" w:hAnsi="Arial" w:cs="Arial"/>
        </w:rPr>
        <w:t>T</w:t>
      </w:r>
      <w:r w:rsidR="00FF1D37" w:rsidRPr="000D0E93">
        <w:rPr>
          <w:rFonts w:ascii="Arial" w:hAnsi="Arial" w:cs="Arial"/>
        </w:rPr>
        <w:t xml:space="preserve">he </w:t>
      </w:r>
      <w:r w:rsidR="000D0E93" w:rsidRPr="000D0E93">
        <w:rPr>
          <w:rFonts w:ascii="Arial" w:hAnsi="Arial" w:cs="Arial"/>
          <w:lang w:val="en"/>
        </w:rPr>
        <w:t xml:space="preserve">Borough Solicitor </w:t>
      </w:r>
      <w:r w:rsidR="00FF1D37" w:rsidRPr="000D0E93">
        <w:rPr>
          <w:rFonts w:ascii="Arial" w:hAnsi="Arial" w:cs="Arial"/>
        </w:rPr>
        <w:t xml:space="preserve">be instructed to issue a Listed Building Enforcement Notice under Section 38 of the Planning (Listed Buildings and Conservation Areas) Act 1990, as amended, and, in the event of non-compliance with the </w:t>
      </w:r>
      <w:r w:rsidR="00410389" w:rsidRPr="000D0E93">
        <w:rPr>
          <w:rFonts w:ascii="Arial" w:hAnsi="Arial" w:cs="Arial"/>
        </w:rPr>
        <w:t>n</w:t>
      </w:r>
      <w:r w:rsidR="00FF1D37" w:rsidRPr="000D0E93">
        <w:rPr>
          <w:rFonts w:ascii="Arial" w:hAnsi="Arial" w:cs="Arial"/>
        </w:rPr>
        <w:t xml:space="preserve">otice, the </w:t>
      </w:r>
      <w:r w:rsidR="000D0E93" w:rsidRPr="000D0E93">
        <w:rPr>
          <w:rFonts w:ascii="Arial" w:hAnsi="Arial" w:cs="Arial"/>
          <w:lang w:val="en"/>
        </w:rPr>
        <w:t xml:space="preserve">Borough Solicitor </w:t>
      </w:r>
      <w:r w:rsidR="00FF1D37" w:rsidRPr="000D0E93">
        <w:rPr>
          <w:rFonts w:ascii="Arial" w:hAnsi="Arial" w:cs="Arial"/>
        </w:rPr>
        <w:t xml:space="preserve">be authorised to pursue any legal action necessary to prosecute the owner under Section 43 of the Act and or other appropriate power and/or the </w:t>
      </w:r>
      <w:r w:rsidR="000D0E93" w:rsidRPr="000D0E93">
        <w:rPr>
          <w:rFonts w:ascii="Arial" w:hAnsi="Arial" w:cs="Arial"/>
          <w:lang w:val="en"/>
        </w:rPr>
        <w:t>Executive Director Supporting Communities</w:t>
      </w:r>
      <w:r w:rsidR="00FF1D37" w:rsidRPr="000D0E93">
        <w:rPr>
          <w:rFonts w:ascii="Arial" w:hAnsi="Arial" w:cs="Arial"/>
        </w:rPr>
        <w:t xml:space="preserve"> be authorised to take direct action under Section 42 of the Act to secure compliance with the </w:t>
      </w:r>
      <w:r w:rsidR="00410389" w:rsidRPr="000D0E93">
        <w:rPr>
          <w:rFonts w:ascii="Arial" w:hAnsi="Arial" w:cs="Arial"/>
        </w:rPr>
        <w:t>n</w:t>
      </w:r>
      <w:r w:rsidR="00FF1D37" w:rsidRPr="000D0E93">
        <w:rPr>
          <w:rFonts w:ascii="Arial" w:hAnsi="Arial" w:cs="Arial"/>
        </w:rPr>
        <w:t>otice.</w:t>
      </w:r>
    </w:p>
    <w:p w:rsidR="00156681" w:rsidRPr="00A2288D" w:rsidRDefault="00156681" w:rsidP="00A2288D">
      <w:pPr>
        <w:jc w:val="both"/>
        <w:rPr>
          <w:rFonts w:ascii="Arial" w:hAnsi="Arial" w:cs="Arial"/>
        </w:rPr>
      </w:pPr>
    </w:p>
    <w:p w:rsidR="00FF1D37" w:rsidRPr="00A2288D" w:rsidRDefault="00A2288D" w:rsidP="00A2288D">
      <w:pPr>
        <w:spacing w:after="240"/>
        <w:jc w:val="both"/>
        <w:rPr>
          <w:rFonts w:ascii="Arial" w:hAnsi="Arial" w:cs="Arial"/>
        </w:rPr>
      </w:pPr>
      <w:r w:rsidRPr="00A2288D">
        <w:rPr>
          <w:rFonts w:ascii="Arial" w:hAnsi="Arial" w:cs="Arial"/>
          <w:bCs/>
        </w:rPr>
        <w:t>8.</w:t>
      </w:r>
      <w:r>
        <w:rPr>
          <w:rFonts w:ascii="Arial" w:hAnsi="Arial" w:cs="Arial"/>
          <w:bCs/>
        </w:rPr>
        <w:t>3</w:t>
      </w:r>
      <w:r>
        <w:rPr>
          <w:rFonts w:ascii="Arial" w:hAnsi="Arial" w:cs="Arial"/>
          <w:b/>
          <w:bCs/>
        </w:rPr>
        <w:tab/>
      </w:r>
      <w:r w:rsidR="00FF1D37" w:rsidRPr="00C95894">
        <w:rPr>
          <w:rFonts w:ascii="Arial" w:hAnsi="Arial" w:cs="Arial"/>
          <w:b/>
          <w:bCs/>
        </w:rPr>
        <w:t xml:space="preserve">The </w:t>
      </w:r>
      <w:r w:rsidR="00410389" w:rsidRPr="00C95894">
        <w:rPr>
          <w:rFonts w:ascii="Arial" w:hAnsi="Arial" w:cs="Arial"/>
          <w:b/>
          <w:bCs/>
        </w:rPr>
        <w:t>n</w:t>
      </w:r>
      <w:r w:rsidR="00FF1D37" w:rsidRPr="00C95894">
        <w:rPr>
          <w:rFonts w:ascii="Arial" w:hAnsi="Arial" w:cs="Arial"/>
          <w:b/>
          <w:bCs/>
        </w:rPr>
        <w:t>otice shall allege the following b</w:t>
      </w:r>
      <w:bookmarkStart w:id="0" w:name="_GoBack"/>
      <w:bookmarkEnd w:id="0"/>
      <w:r w:rsidR="00FF1D37" w:rsidRPr="00C95894">
        <w:rPr>
          <w:rFonts w:ascii="Arial" w:hAnsi="Arial" w:cs="Arial"/>
          <w:b/>
          <w:bCs/>
        </w:rPr>
        <w:t>reach of listed building control</w:t>
      </w:r>
      <w:r w:rsidR="00FF1D37" w:rsidRPr="00C95894">
        <w:rPr>
          <w:rFonts w:ascii="Arial" w:hAnsi="Arial" w:cs="Arial"/>
          <w:b/>
        </w:rPr>
        <w:t>:</w:t>
      </w:r>
      <w:r w:rsidR="00FF1D37" w:rsidRPr="00A2288D">
        <w:rPr>
          <w:rFonts w:ascii="Arial" w:hAnsi="Arial" w:cs="Arial"/>
        </w:rPr>
        <w:t xml:space="preserve">   </w:t>
      </w:r>
    </w:p>
    <w:p w:rsidR="00FF1D37" w:rsidRPr="00A2288D" w:rsidRDefault="00FF1D37" w:rsidP="00A2288D">
      <w:pPr>
        <w:ind w:left="709"/>
        <w:jc w:val="both"/>
        <w:rPr>
          <w:rFonts w:ascii="Arial" w:hAnsi="Arial" w:cs="Arial"/>
        </w:rPr>
      </w:pPr>
      <w:r w:rsidRPr="00A2288D">
        <w:rPr>
          <w:rFonts w:ascii="Arial" w:hAnsi="Arial" w:cs="Arial"/>
        </w:rPr>
        <w:lastRenderedPageBreak/>
        <w:t xml:space="preserve">The notice shall allege that, without listed building consent, the following works were carried out: </w:t>
      </w:r>
    </w:p>
    <w:p w:rsidR="00FF1D37" w:rsidRPr="00A2288D" w:rsidRDefault="00FF1D37" w:rsidP="00A2288D">
      <w:pPr>
        <w:jc w:val="both"/>
        <w:rPr>
          <w:rFonts w:ascii="Arial" w:hAnsi="Arial" w:cs="Arial"/>
        </w:rPr>
      </w:pPr>
    </w:p>
    <w:p w:rsidR="00FF1D37" w:rsidRPr="00A2288D" w:rsidRDefault="00FF1D37" w:rsidP="00A2288D">
      <w:pPr>
        <w:numPr>
          <w:ilvl w:val="1"/>
          <w:numId w:val="29"/>
        </w:numPr>
        <w:jc w:val="both"/>
        <w:rPr>
          <w:rFonts w:ascii="Arial" w:hAnsi="Arial" w:cs="Arial"/>
        </w:rPr>
      </w:pPr>
      <w:r w:rsidRPr="00A2288D">
        <w:rPr>
          <w:rFonts w:ascii="Arial" w:hAnsi="Arial" w:cs="Arial"/>
        </w:rPr>
        <w:t>Within the rear ground floor room, removal of original lath and plaster to large areas of the walls and to the entirety of the ceiling; partial removal of decorative cornice;</w:t>
      </w:r>
    </w:p>
    <w:p w:rsidR="00FF1D37" w:rsidRPr="00A2288D" w:rsidRDefault="00FF1D37" w:rsidP="00A2288D">
      <w:pPr>
        <w:jc w:val="both"/>
        <w:rPr>
          <w:rFonts w:ascii="Arial" w:eastAsiaTheme="minorHAnsi" w:hAnsi="Arial" w:cs="Arial"/>
          <w:b/>
          <w:bCs/>
        </w:rPr>
      </w:pPr>
    </w:p>
    <w:p w:rsidR="00FF1D37" w:rsidRPr="00A2288D" w:rsidRDefault="00FF1D37" w:rsidP="00A2288D">
      <w:pPr>
        <w:ind w:left="709"/>
        <w:jc w:val="both"/>
        <w:rPr>
          <w:rFonts w:ascii="Arial" w:hAnsi="Arial" w:cs="Arial"/>
        </w:rPr>
      </w:pPr>
      <w:r w:rsidRPr="00A2288D">
        <w:rPr>
          <w:rFonts w:ascii="Arial" w:hAnsi="Arial" w:cs="Arial"/>
          <w:b/>
          <w:bCs/>
        </w:rPr>
        <w:t>Requirements</w:t>
      </w:r>
      <w:r w:rsidR="00A2288D" w:rsidRPr="00A2288D">
        <w:rPr>
          <w:rFonts w:ascii="Arial" w:hAnsi="Arial" w:cs="Arial"/>
          <w:b/>
          <w:bCs/>
        </w:rPr>
        <w:t xml:space="preserve">: </w:t>
      </w:r>
      <w:r w:rsidRPr="00A2288D">
        <w:rPr>
          <w:rFonts w:ascii="Arial" w:hAnsi="Arial" w:cs="Arial"/>
        </w:rPr>
        <w:t xml:space="preserve">The </w:t>
      </w:r>
      <w:r w:rsidR="00410389" w:rsidRPr="00A2288D">
        <w:rPr>
          <w:rFonts w:ascii="Arial" w:hAnsi="Arial" w:cs="Arial"/>
        </w:rPr>
        <w:t>n</w:t>
      </w:r>
      <w:r w:rsidRPr="00A2288D">
        <w:rPr>
          <w:rFonts w:ascii="Arial" w:hAnsi="Arial" w:cs="Arial"/>
        </w:rPr>
        <w:t>otice sha</w:t>
      </w:r>
      <w:r w:rsidR="0041436A">
        <w:rPr>
          <w:rFonts w:ascii="Arial" w:hAnsi="Arial" w:cs="Arial"/>
        </w:rPr>
        <w:t>ll require within a period of 6</w:t>
      </w:r>
      <w:r w:rsidRPr="00A2288D">
        <w:rPr>
          <w:rFonts w:ascii="Arial" w:hAnsi="Arial" w:cs="Arial"/>
        </w:rPr>
        <w:t xml:space="preserve"> months of the Notice taking effect: </w:t>
      </w:r>
    </w:p>
    <w:p w:rsidR="00FF1D37" w:rsidRPr="00A2288D" w:rsidRDefault="00FF1D37" w:rsidP="00A2288D">
      <w:pPr>
        <w:jc w:val="both"/>
        <w:rPr>
          <w:rFonts w:ascii="Arial" w:hAnsi="Arial" w:cs="Arial"/>
        </w:rPr>
      </w:pPr>
    </w:p>
    <w:p w:rsidR="00A2288D" w:rsidRPr="00A2288D" w:rsidRDefault="00FF1D37" w:rsidP="0041436A">
      <w:pPr>
        <w:pStyle w:val="ListParagraph"/>
        <w:numPr>
          <w:ilvl w:val="0"/>
          <w:numId w:val="32"/>
        </w:numPr>
        <w:ind w:left="1418" w:hanging="709"/>
        <w:jc w:val="both"/>
        <w:rPr>
          <w:rFonts w:ascii="Arial" w:hAnsi="Arial" w:cs="Arial"/>
          <w:sz w:val="24"/>
          <w:szCs w:val="24"/>
        </w:rPr>
      </w:pPr>
      <w:r w:rsidRPr="00A2288D">
        <w:rPr>
          <w:rFonts w:ascii="Arial" w:hAnsi="Arial" w:cs="Arial"/>
          <w:sz w:val="24"/>
          <w:szCs w:val="24"/>
        </w:rPr>
        <w:t>Completely repair and reinstate the original plaster wall, ceiling and decorative cornicing to match the original</w:t>
      </w:r>
      <w:r w:rsidR="009C544A" w:rsidRPr="00A2288D">
        <w:rPr>
          <w:rFonts w:ascii="Arial" w:hAnsi="Arial" w:cs="Arial"/>
          <w:sz w:val="24"/>
          <w:szCs w:val="24"/>
        </w:rPr>
        <w:t>, as shown in photo IMG4833</w:t>
      </w:r>
      <w:r w:rsidRPr="00A2288D">
        <w:rPr>
          <w:rFonts w:ascii="Arial" w:hAnsi="Arial" w:cs="Arial"/>
          <w:sz w:val="24"/>
          <w:szCs w:val="24"/>
        </w:rPr>
        <w:t>:</w:t>
      </w:r>
      <w:r w:rsidR="00A2288D" w:rsidRPr="00A2288D">
        <w:rPr>
          <w:rFonts w:ascii="Arial" w:hAnsi="Arial" w:cs="Arial"/>
          <w:sz w:val="24"/>
          <w:szCs w:val="24"/>
        </w:rPr>
        <w:t xml:space="preserve"> or</w:t>
      </w:r>
    </w:p>
    <w:p w:rsidR="00A2288D" w:rsidRPr="00A2288D" w:rsidRDefault="00A2288D" w:rsidP="0041436A">
      <w:pPr>
        <w:pStyle w:val="ListParagraph"/>
        <w:ind w:left="1418" w:hanging="709"/>
        <w:jc w:val="both"/>
        <w:rPr>
          <w:rFonts w:ascii="Arial" w:hAnsi="Arial" w:cs="Arial"/>
          <w:sz w:val="24"/>
          <w:szCs w:val="24"/>
        </w:rPr>
      </w:pPr>
    </w:p>
    <w:p w:rsidR="00FF1D37" w:rsidRPr="00A2288D" w:rsidRDefault="00FF1D37" w:rsidP="0041436A">
      <w:pPr>
        <w:pStyle w:val="ListParagraph"/>
        <w:numPr>
          <w:ilvl w:val="0"/>
          <w:numId w:val="32"/>
        </w:numPr>
        <w:ind w:left="1418" w:hanging="709"/>
        <w:jc w:val="both"/>
        <w:rPr>
          <w:rFonts w:ascii="Arial" w:hAnsi="Arial" w:cs="Arial"/>
          <w:sz w:val="24"/>
          <w:szCs w:val="24"/>
        </w:rPr>
      </w:pPr>
      <w:r w:rsidRPr="00A2288D">
        <w:rPr>
          <w:rFonts w:ascii="Arial" w:hAnsi="Arial" w:cs="Arial"/>
          <w:sz w:val="24"/>
          <w:szCs w:val="24"/>
        </w:rPr>
        <w:t>Restore and reinstate the plaster wall and ceiling treatment and the decorative cornices in accordance with the approved drawing 7857 106D.</w:t>
      </w:r>
    </w:p>
    <w:p w:rsidR="00FF1D37" w:rsidRPr="00A2288D" w:rsidRDefault="00FF1D37" w:rsidP="00A2288D">
      <w:pPr>
        <w:jc w:val="both"/>
        <w:rPr>
          <w:rFonts w:ascii="Arial" w:hAnsi="Arial" w:cs="Arial"/>
        </w:rPr>
      </w:pPr>
    </w:p>
    <w:p w:rsidR="00893E51" w:rsidRPr="00A2288D" w:rsidRDefault="00FF1D37" w:rsidP="00A2288D">
      <w:pPr>
        <w:spacing w:after="240"/>
        <w:ind w:left="720"/>
        <w:jc w:val="both"/>
        <w:rPr>
          <w:rFonts w:ascii="Arial" w:hAnsi="Arial" w:cs="Arial"/>
        </w:rPr>
      </w:pPr>
      <w:r w:rsidRPr="00A2288D">
        <w:rPr>
          <w:rFonts w:ascii="Arial" w:hAnsi="Arial" w:cs="Arial"/>
          <w:b/>
          <w:bCs/>
        </w:rPr>
        <w:t>Reason why the Council considers it expedient to issue the notice</w:t>
      </w:r>
      <w:r w:rsidR="00A2288D">
        <w:rPr>
          <w:rFonts w:ascii="Arial" w:hAnsi="Arial" w:cs="Arial"/>
          <w:b/>
          <w:bCs/>
        </w:rPr>
        <w:t xml:space="preserve">: </w:t>
      </w:r>
      <w:r w:rsidRPr="00A2288D">
        <w:rPr>
          <w:rFonts w:ascii="Arial" w:hAnsi="Arial" w:cs="Arial"/>
        </w:rPr>
        <w:t>The unauthorised internal works, including the alterations to original walls, ceilings and decorative plasterwork are detrimental to the special architectural and historic interest of the building and contrary to policy CS14 of the London Borough of Camden Local Development Framework Core Strategy and policy DP25 of the London Borough of Camden Local Development Framework Development Policies.</w:t>
      </w:r>
    </w:p>
    <w:p w:rsidR="001A6B8F" w:rsidRPr="00A2288D" w:rsidRDefault="001C281F" w:rsidP="00A2288D">
      <w:pPr>
        <w:spacing w:line="260" w:lineRule="atLeast"/>
        <w:jc w:val="both"/>
        <w:rPr>
          <w:rFonts w:ascii="Arial" w:hAnsi="Arial" w:cs="Arial"/>
          <w:b/>
        </w:rPr>
      </w:pPr>
      <w:r w:rsidRPr="00A2288D">
        <w:rPr>
          <w:rFonts w:ascii="Arial" w:hAnsi="Arial" w:cs="Arial"/>
        </w:rPr>
        <w:t>9</w:t>
      </w:r>
      <w:r w:rsidR="001A6B8F" w:rsidRPr="00A2288D">
        <w:rPr>
          <w:rFonts w:ascii="Arial" w:hAnsi="Arial" w:cs="Arial"/>
        </w:rPr>
        <w:t>.</w:t>
      </w:r>
      <w:r w:rsidR="001A6B8F" w:rsidRPr="00A2288D">
        <w:rPr>
          <w:rFonts w:ascii="Arial" w:hAnsi="Arial" w:cs="Arial"/>
          <w:b/>
        </w:rPr>
        <w:tab/>
        <w:t>LEGAL COMMENTS</w:t>
      </w:r>
    </w:p>
    <w:p w:rsidR="001A6B8F" w:rsidRPr="006E3C5A" w:rsidRDefault="001A6B8F" w:rsidP="00A2288D">
      <w:pPr>
        <w:spacing w:line="260" w:lineRule="atLeast"/>
        <w:jc w:val="both"/>
        <w:rPr>
          <w:rFonts w:ascii="Arial" w:hAnsi="Arial" w:cs="Arial"/>
        </w:rPr>
      </w:pPr>
    </w:p>
    <w:p w:rsidR="002363D8" w:rsidRDefault="001C281F" w:rsidP="00A2288D">
      <w:pPr>
        <w:spacing w:line="260" w:lineRule="atLeast"/>
        <w:ind w:left="720" w:hanging="720"/>
        <w:jc w:val="both"/>
        <w:rPr>
          <w:rFonts w:eastAsia="MS Mincho"/>
        </w:rPr>
      </w:pPr>
      <w:r>
        <w:rPr>
          <w:rFonts w:ascii="Arial" w:hAnsi="Arial" w:cs="Arial"/>
        </w:rPr>
        <w:t>9</w:t>
      </w:r>
      <w:r w:rsidR="001A6B8F" w:rsidRPr="006E3C5A">
        <w:rPr>
          <w:rFonts w:ascii="Arial" w:hAnsi="Arial" w:cs="Arial"/>
        </w:rPr>
        <w:t>.1</w:t>
      </w:r>
      <w:r w:rsidR="001A6B8F" w:rsidRPr="006E3C5A">
        <w:rPr>
          <w:rFonts w:ascii="Arial" w:hAnsi="Arial" w:cs="Arial"/>
        </w:rPr>
        <w:tab/>
        <w:t>Members are referred to the note from the Legal Division at the start of the Agenda.</w:t>
      </w:r>
    </w:p>
    <w:p w:rsidR="006E3C5A" w:rsidRDefault="006E3C5A" w:rsidP="00A2288D">
      <w:pPr>
        <w:jc w:val="both"/>
        <w:rPr>
          <w:rFonts w:eastAsia="MS Mincho"/>
        </w:rPr>
      </w:pPr>
    </w:p>
    <w:p w:rsidR="006E3C5A" w:rsidRPr="006E3C5A" w:rsidRDefault="006E3C5A" w:rsidP="00A2288D">
      <w:pPr>
        <w:jc w:val="both"/>
        <w:rPr>
          <w:rFonts w:eastAsia="MS Mincho"/>
        </w:rPr>
      </w:pPr>
    </w:p>
    <w:p w:rsidR="006074F2" w:rsidRDefault="006539D0" w:rsidP="006074F2">
      <w:pPr>
        <w:pStyle w:val="CcList"/>
        <w:ind w:left="0" w:firstLine="0"/>
        <w:rPr>
          <w:sz w:val="24"/>
        </w:rPr>
      </w:pPr>
      <w:r>
        <w:rPr>
          <w:rFonts w:eastAsia="MS Mincho"/>
        </w:rPr>
        <w:t xml:space="preserve"> </w:t>
      </w:r>
      <w:r w:rsidR="006074F2">
        <w:rPr>
          <w:sz w:val="24"/>
        </w:rPr>
        <w:t xml:space="preserve">Condition(s) and Reason(s): </w:t>
      </w:r>
      <w:r w:rsidR="006074F2">
        <w:rPr>
          <w:b/>
          <w:sz w:val="24"/>
        </w:rPr>
        <w:t>2015/4896/P</w:t>
      </w:r>
    </w:p>
    <w:p w:rsidR="006074F2" w:rsidRDefault="006074F2" w:rsidP="006074F2">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6074F2" w:rsidTr="00E17DB9">
        <w:tc>
          <w:tcPr>
            <w:tcW w:w="562" w:type="dxa"/>
          </w:tcPr>
          <w:p w:rsidR="006074F2" w:rsidRDefault="006074F2" w:rsidP="00E17DB9">
            <w:pPr>
              <w:pStyle w:val="CcList"/>
              <w:ind w:left="0" w:firstLine="0"/>
              <w:rPr>
                <w:sz w:val="24"/>
              </w:rPr>
            </w:pPr>
            <w:bookmarkStart w:id="1" w:name="Conditions"/>
            <w:r>
              <w:rPr>
                <w:sz w:val="24"/>
              </w:rPr>
              <w:t>1</w:t>
            </w:r>
          </w:p>
        </w:tc>
        <w:tc>
          <w:tcPr>
            <w:tcW w:w="8647" w:type="dxa"/>
          </w:tcPr>
          <w:p w:rsidR="006074F2" w:rsidRDefault="006074F2" w:rsidP="00E17DB9">
            <w:pPr>
              <w:pStyle w:val="CcList"/>
              <w:ind w:left="0" w:firstLine="0"/>
              <w:jc w:val="left"/>
              <w:rPr>
                <w:sz w:val="24"/>
              </w:rPr>
            </w:pPr>
            <w:r>
              <w:rPr>
                <w:sz w:val="24"/>
              </w:rPr>
              <w:t>The development hereby permitted must be begun not later than the end of three years from the date of this permission.</w:t>
            </w:r>
          </w:p>
          <w:p w:rsidR="006074F2" w:rsidRDefault="006074F2" w:rsidP="00E17DB9">
            <w:pPr>
              <w:pStyle w:val="CcList"/>
              <w:ind w:left="0" w:firstLine="0"/>
              <w:jc w:val="left"/>
              <w:rPr>
                <w:sz w:val="24"/>
              </w:rPr>
            </w:pPr>
          </w:p>
          <w:p w:rsidR="006074F2" w:rsidRDefault="006074F2" w:rsidP="00E17DB9">
            <w:pPr>
              <w:pStyle w:val="CcList"/>
              <w:ind w:left="0" w:firstLine="0"/>
              <w:jc w:val="left"/>
              <w:rPr>
                <w:sz w:val="24"/>
              </w:rPr>
            </w:pPr>
            <w:r>
              <w:rPr>
                <w:sz w:val="24"/>
              </w:rPr>
              <w:t>Reason: In order to comply with the provisions of Section 91 of the Town and Country Planning Act 1990 (as amended).</w:t>
            </w:r>
          </w:p>
          <w:p w:rsidR="006074F2" w:rsidRDefault="006074F2" w:rsidP="00E17DB9">
            <w:pPr>
              <w:pStyle w:val="CcList"/>
              <w:ind w:left="0" w:firstLine="0"/>
              <w:jc w:val="left"/>
              <w:rPr>
                <w:sz w:val="24"/>
              </w:rPr>
            </w:pPr>
          </w:p>
        </w:tc>
      </w:tr>
      <w:tr w:rsidR="006074F2" w:rsidTr="00E17DB9">
        <w:tc>
          <w:tcPr>
            <w:tcW w:w="562" w:type="dxa"/>
          </w:tcPr>
          <w:p w:rsidR="006074F2" w:rsidRDefault="006074F2" w:rsidP="00E17DB9">
            <w:pPr>
              <w:pStyle w:val="CcList"/>
              <w:ind w:left="0" w:firstLine="0"/>
              <w:rPr>
                <w:sz w:val="24"/>
              </w:rPr>
            </w:pPr>
            <w:r>
              <w:rPr>
                <w:sz w:val="24"/>
              </w:rPr>
              <w:t>2</w:t>
            </w:r>
          </w:p>
        </w:tc>
        <w:tc>
          <w:tcPr>
            <w:tcW w:w="8647" w:type="dxa"/>
          </w:tcPr>
          <w:p w:rsidR="006074F2" w:rsidRDefault="006074F2" w:rsidP="00E17DB9">
            <w:pPr>
              <w:pStyle w:val="CcList"/>
              <w:ind w:left="0" w:firstLine="0"/>
              <w:jc w:val="left"/>
              <w:rPr>
                <w:sz w:val="24"/>
              </w:rPr>
            </w:pPr>
            <w:r>
              <w:rPr>
                <w:sz w:val="24"/>
              </w:rPr>
              <w:t>All new external work shall be carried out in materials that resemble, as closely as possible, in colour and texture those of the existing building, unless otherwise specified in the approved application.</w:t>
            </w:r>
          </w:p>
          <w:p w:rsidR="006074F2" w:rsidRDefault="006074F2" w:rsidP="00E17DB9">
            <w:pPr>
              <w:pStyle w:val="CcList"/>
              <w:ind w:left="0" w:firstLine="0"/>
              <w:jc w:val="left"/>
              <w:rPr>
                <w:sz w:val="24"/>
              </w:rPr>
            </w:pPr>
          </w:p>
          <w:p w:rsidR="006074F2" w:rsidRDefault="006074F2" w:rsidP="00E17DB9">
            <w:pPr>
              <w:pStyle w:val="CcList"/>
              <w:ind w:left="0" w:firstLine="0"/>
              <w:jc w:val="left"/>
              <w:rPr>
                <w:sz w:val="24"/>
              </w:rPr>
            </w:pPr>
            <w:r>
              <w:rPr>
                <w:sz w:val="24"/>
              </w:rPr>
              <w:t>Reason: To safeguard the appearance of the premises and the character of the immediate area in accordance with the requirements of policy CS14 of the London Borough of Camden Local Development Framework Core Strategy and policy DP24 and DP25 of the London Borough of Camden Local Development Framework Development Policies.</w:t>
            </w:r>
          </w:p>
          <w:p w:rsidR="006074F2" w:rsidRDefault="006074F2" w:rsidP="00E17DB9">
            <w:pPr>
              <w:pStyle w:val="CcList"/>
              <w:ind w:left="0" w:firstLine="0"/>
              <w:jc w:val="left"/>
              <w:rPr>
                <w:sz w:val="24"/>
              </w:rPr>
            </w:pPr>
          </w:p>
        </w:tc>
      </w:tr>
      <w:tr w:rsidR="006074F2" w:rsidTr="00E17DB9">
        <w:tc>
          <w:tcPr>
            <w:tcW w:w="562" w:type="dxa"/>
          </w:tcPr>
          <w:p w:rsidR="006074F2" w:rsidRDefault="006074F2" w:rsidP="00E17DB9">
            <w:pPr>
              <w:pStyle w:val="CcList"/>
              <w:ind w:left="0" w:firstLine="0"/>
              <w:rPr>
                <w:sz w:val="24"/>
              </w:rPr>
            </w:pPr>
            <w:r>
              <w:rPr>
                <w:sz w:val="24"/>
              </w:rPr>
              <w:t>3</w:t>
            </w:r>
          </w:p>
        </w:tc>
        <w:tc>
          <w:tcPr>
            <w:tcW w:w="8647" w:type="dxa"/>
          </w:tcPr>
          <w:p w:rsidR="006074F2" w:rsidRDefault="006074F2" w:rsidP="00E17DB9">
            <w:pPr>
              <w:pStyle w:val="CcList"/>
              <w:ind w:left="0" w:firstLine="0"/>
              <w:jc w:val="left"/>
              <w:rPr>
                <w:sz w:val="24"/>
              </w:rPr>
            </w:pPr>
            <w:r>
              <w:rPr>
                <w:sz w:val="24"/>
              </w:rPr>
              <w:t>The development hereby permitted shall be carried out in accordance with the following approved plans Location plan, heritage statement v2, design &amp; access statement v6, 7857 101A, 7857 102B, 7857 103B, 7857 105B, 7857 107A, 7857 108A, 7857 106D, 7857 108D, 7857 115A, IMG4833.</w:t>
            </w:r>
          </w:p>
          <w:p w:rsidR="006074F2" w:rsidRDefault="006074F2" w:rsidP="00E17DB9">
            <w:pPr>
              <w:pStyle w:val="CcList"/>
              <w:ind w:left="0" w:firstLine="0"/>
              <w:jc w:val="left"/>
              <w:rPr>
                <w:sz w:val="24"/>
              </w:rPr>
            </w:pPr>
          </w:p>
          <w:p w:rsidR="006074F2" w:rsidRDefault="006074F2" w:rsidP="00E17DB9">
            <w:pPr>
              <w:pStyle w:val="CcList"/>
              <w:ind w:left="0" w:firstLine="0"/>
              <w:jc w:val="left"/>
              <w:rPr>
                <w:sz w:val="24"/>
              </w:rPr>
            </w:pPr>
            <w:r>
              <w:rPr>
                <w:sz w:val="24"/>
              </w:rPr>
              <w:t>Reason: For the avoidance of doubt and in the interest of proper planning.</w:t>
            </w:r>
          </w:p>
          <w:p w:rsidR="006074F2" w:rsidRDefault="006074F2" w:rsidP="00E17DB9">
            <w:pPr>
              <w:pStyle w:val="CcList"/>
              <w:ind w:left="0" w:firstLine="0"/>
              <w:jc w:val="left"/>
              <w:rPr>
                <w:sz w:val="24"/>
              </w:rPr>
            </w:pPr>
          </w:p>
        </w:tc>
      </w:tr>
      <w:bookmarkEnd w:id="1"/>
    </w:tbl>
    <w:p w:rsidR="006074F2" w:rsidRDefault="006074F2" w:rsidP="006074F2">
      <w:pPr>
        <w:pStyle w:val="CcList"/>
        <w:ind w:left="0" w:firstLine="0"/>
        <w:rPr>
          <w:sz w:val="24"/>
        </w:rPr>
      </w:pPr>
    </w:p>
    <w:p w:rsidR="006074F2" w:rsidRDefault="006074F2" w:rsidP="006074F2">
      <w:pPr>
        <w:pStyle w:val="CcList"/>
        <w:ind w:left="0" w:firstLine="0"/>
        <w:rPr>
          <w:sz w:val="24"/>
        </w:rPr>
      </w:pPr>
    </w:p>
    <w:p w:rsidR="006074F2" w:rsidRDefault="006074F2" w:rsidP="006074F2">
      <w:pPr>
        <w:pStyle w:val="CcList"/>
        <w:ind w:left="0" w:firstLine="0"/>
        <w:rPr>
          <w:sz w:val="24"/>
        </w:rPr>
      </w:pPr>
      <w:r>
        <w:rPr>
          <w:sz w:val="24"/>
        </w:rPr>
        <w:t>Informative(s):</w:t>
      </w:r>
    </w:p>
    <w:p w:rsidR="006074F2" w:rsidRDefault="006074F2" w:rsidP="006074F2">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6074F2" w:rsidTr="00E17DB9">
        <w:tc>
          <w:tcPr>
            <w:tcW w:w="562" w:type="dxa"/>
          </w:tcPr>
          <w:p w:rsidR="006074F2" w:rsidRDefault="006074F2" w:rsidP="006074F2">
            <w:pPr>
              <w:pStyle w:val="CcList"/>
              <w:numPr>
                <w:ilvl w:val="0"/>
                <w:numId w:val="33"/>
              </w:numPr>
              <w:ind w:left="0" w:firstLine="0"/>
              <w:rPr>
                <w:sz w:val="24"/>
              </w:rPr>
            </w:pPr>
            <w:bookmarkStart w:id="2" w:name="Informatives"/>
          </w:p>
        </w:tc>
        <w:tc>
          <w:tcPr>
            <w:tcW w:w="8647" w:type="dxa"/>
          </w:tcPr>
          <w:p w:rsidR="006074F2" w:rsidRDefault="006074F2" w:rsidP="00E17DB9">
            <w:pPr>
              <w:pStyle w:val="CcList"/>
              <w:ind w:left="0" w:firstLine="0"/>
              <w:jc w:val="left"/>
              <w:rPr>
                <w:sz w:val="24"/>
              </w:rPr>
            </w:pPr>
            <w:r>
              <w:rPr>
                <w:sz w:val="24"/>
              </w:rPr>
              <w:t>Your proposals may be subject to control under the Building Regulations and/or the London Buildings Acts which cover aspects including fire and emergency escape, access and facilities for people with disabilities and sound insulation between dwellings. You are advised to consult the Council's Building Control Service, Camden Town Hall, Argyle Street WC1H 8EQ, (</w:t>
            </w:r>
            <w:proofErr w:type="spellStart"/>
            <w:r>
              <w:rPr>
                <w:sz w:val="24"/>
              </w:rPr>
              <w:t>tel</w:t>
            </w:r>
            <w:proofErr w:type="spellEnd"/>
            <w:r>
              <w:rPr>
                <w:sz w:val="24"/>
              </w:rPr>
              <w:t>: 020-7974 6941).</w:t>
            </w:r>
          </w:p>
          <w:p w:rsidR="006074F2" w:rsidRDefault="006074F2" w:rsidP="00E17DB9">
            <w:pPr>
              <w:pStyle w:val="CcList"/>
              <w:ind w:left="0" w:firstLine="0"/>
              <w:jc w:val="left"/>
              <w:rPr>
                <w:sz w:val="24"/>
              </w:rPr>
            </w:pPr>
          </w:p>
        </w:tc>
      </w:tr>
      <w:tr w:rsidR="006074F2" w:rsidTr="00E17DB9">
        <w:tc>
          <w:tcPr>
            <w:tcW w:w="562" w:type="dxa"/>
          </w:tcPr>
          <w:p w:rsidR="006074F2" w:rsidRDefault="006074F2" w:rsidP="006074F2">
            <w:pPr>
              <w:pStyle w:val="CcList"/>
              <w:numPr>
                <w:ilvl w:val="0"/>
                <w:numId w:val="33"/>
              </w:numPr>
              <w:ind w:left="0" w:firstLine="0"/>
              <w:rPr>
                <w:sz w:val="24"/>
              </w:rPr>
            </w:pPr>
          </w:p>
        </w:tc>
        <w:tc>
          <w:tcPr>
            <w:tcW w:w="8647" w:type="dxa"/>
          </w:tcPr>
          <w:p w:rsidR="006074F2" w:rsidRDefault="006074F2" w:rsidP="00E17DB9">
            <w:pPr>
              <w:pStyle w:val="CcList"/>
              <w:ind w:left="0" w:firstLine="0"/>
              <w:jc w:val="left"/>
              <w:rPr>
                <w:sz w:val="24"/>
              </w:rPr>
            </w:pPr>
            <w:r>
              <w:rPr>
                <w:sz w:val="24"/>
              </w:rPr>
              <w:t>You are advised that any works of alterations or upgrading not included on the approved drawings which are required to satisfy Building Regulations or Fire Certification may require a further application for listed building consent.</w:t>
            </w:r>
          </w:p>
          <w:p w:rsidR="006074F2" w:rsidRDefault="006074F2" w:rsidP="00E17DB9">
            <w:pPr>
              <w:pStyle w:val="CcList"/>
              <w:ind w:left="0" w:firstLine="0"/>
              <w:jc w:val="left"/>
              <w:rPr>
                <w:sz w:val="24"/>
              </w:rPr>
            </w:pPr>
          </w:p>
        </w:tc>
      </w:tr>
      <w:tr w:rsidR="006074F2" w:rsidTr="00E17DB9">
        <w:tc>
          <w:tcPr>
            <w:tcW w:w="562" w:type="dxa"/>
          </w:tcPr>
          <w:p w:rsidR="006074F2" w:rsidRDefault="006074F2" w:rsidP="006074F2">
            <w:pPr>
              <w:pStyle w:val="CcList"/>
              <w:numPr>
                <w:ilvl w:val="0"/>
                <w:numId w:val="33"/>
              </w:numPr>
              <w:ind w:left="0" w:firstLine="0"/>
              <w:rPr>
                <w:sz w:val="24"/>
              </w:rPr>
            </w:pPr>
          </w:p>
        </w:tc>
        <w:tc>
          <w:tcPr>
            <w:tcW w:w="8647" w:type="dxa"/>
          </w:tcPr>
          <w:p w:rsidR="006074F2" w:rsidRDefault="006074F2" w:rsidP="00E17DB9">
            <w:pPr>
              <w:pStyle w:val="CcList"/>
              <w:ind w:left="0" w:firstLine="0"/>
              <w:jc w:val="left"/>
              <w:rPr>
                <w:sz w:val="24"/>
              </w:rPr>
            </w:pPr>
            <w:r>
              <w:rPr>
                <w:sz w:val="24"/>
              </w:rPr>
              <w:t>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Holidays.  You are advised to consult the Council's Compliance and Enforcement team [Regulatory Services], Camden Town Hall, Argyle Street, WC1H 8EQ (Tel. No. 020 7974 4444 or on the website http://www.camden.gov.uk/ccm/content/contacts/council-contacts/environment/contact-the-environmental-health-team.en or seek prior approval under Section 61 of the Act if you anticipate any difficulty in carrying out construction other than within the hours stated above.</w:t>
            </w:r>
          </w:p>
          <w:p w:rsidR="006074F2" w:rsidRDefault="006074F2" w:rsidP="00E17DB9">
            <w:pPr>
              <w:pStyle w:val="CcList"/>
              <w:ind w:left="0" w:firstLine="0"/>
              <w:jc w:val="left"/>
              <w:rPr>
                <w:sz w:val="24"/>
              </w:rPr>
            </w:pPr>
          </w:p>
        </w:tc>
      </w:tr>
      <w:tr w:rsidR="006074F2" w:rsidTr="00E17DB9">
        <w:tc>
          <w:tcPr>
            <w:tcW w:w="562" w:type="dxa"/>
          </w:tcPr>
          <w:p w:rsidR="006074F2" w:rsidRDefault="006074F2" w:rsidP="006074F2">
            <w:pPr>
              <w:pStyle w:val="CcList"/>
              <w:numPr>
                <w:ilvl w:val="0"/>
                <w:numId w:val="33"/>
              </w:numPr>
              <w:ind w:left="0" w:firstLine="0"/>
              <w:rPr>
                <w:sz w:val="24"/>
              </w:rPr>
            </w:pPr>
          </w:p>
        </w:tc>
        <w:tc>
          <w:tcPr>
            <w:tcW w:w="8647" w:type="dxa"/>
          </w:tcPr>
          <w:p w:rsidR="006074F2" w:rsidRDefault="006074F2" w:rsidP="00E17DB9">
            <w:pPr>
              <w:pStyle w:val="CcList"/>
              <w:ind w:left="0" w:firstLine="0"/>
              <w:jc w:val="left"/>
              <w:rPr>
                <w:sz w:val="24"/>
              </w:rPr>
            </w:pPr>
            <w:r>
              <w:rPr>
                <w:sz w:val="24"/>
              </w:rPr>
              <w:t xml:space="preserve">The Mayor of London introduced a Community Infrastructure Levy (CIL) to help pay for </w:t>
            </w:r>
            <w:proofErr w:type="spellStart"/>
            <w:r>
              <w:rPr>
                <w:sz w:val="24"/>
              </w:rPr>
              <w:t>Crossrail</w:t>
            </w:r>
            <w:proofErr w:type="spellEnd"/>
            <w:r>
              <w:rPr>
                <w:sz w:val="24"/>
              </w:rPr>
              <w:t xml:space="preserve"> on 1st April 2012. Any permission granted after this time which adds more than 100sqm </w:t>
            </w:r>
            <w:proofErr w:type="gramStart"/>
            <w:r>
              <w:rPr>
                <w:sz w:val="24"/>
              </w:rPr>
              <w:t>of  new</w:t>
            </w:r>
            <w:proofErr w:type="gramEnd"/>
            <w:r>
              <w:rPr>
                <w:sz w:val="24"/>
              </w:rPr>
              <w:t xml:space="preserve"> floorspace or a new dwelling will need to pay this CIL. It will be collected by Camden on behalf of the Mayor of London. Camden will be sending out liability notices setting out how much CIL will need to be paid if an affected planning application is implemented and who will be liable.  </w:t>
            </w:r>
          </w:p>
          <w:p w:rsidR="006074F2" w:rsidRDefault="006074F2" w:rsidP="00E17DB9">
            <w:pPr>
              <w:pStyle w:val="CcList"/>
              <w:ind w:left="0" w:firstLine="0"/>
              <w:jc w:val="left"/>
              <w:rPr>
                <w:sz w:val="24"/>
              </w:rPr>
            </w:pPr>
          </w:p>
          <w:p w:rsidR="006074F2" w:rsidRDefault="006074F2" w:rsidP="00E17DB9">
            <w:pPr>
              <w:pStyle w:val="CcList"/>
              <w:ind w:left="0" w:firstLine="0"/>
              <w:jc w:val="left"/>
              <w:rPr>
                <w:sz w:val="24"/>
              </w:rPr>
            </w:pPr>
            <w:r>
              <w:rPr>
                <w:sz w:val="24"/>
              </w:rPr>
              <w:t>The proposed charge in Camden will be £50 per sqm on all uses except affordable housing, education, healthcare, and development by charities for their charitable purposes. You will be expected to advise us when planning permissions are implemented. Please use the forms at the link below to advise who will be paying the CIL and when the development is to commence. You can also access forms to allow you to provide us with more information which can be taken into account in your CIL calculation and to apply for relief from CIL.</w:t>
            </w:r>
          </w:p>
          <w:p w:rsidR="006074F2" w:rsidRDefault="006074F2" w:rsidP="00E17DB9">
            <w:pPr>
              <w:pStyle w:val="CcList"/>
              <w:ind w:left="0" w:firstLine="0"/>
              <w:jc w:val="left"/>
              <w:rPr>
                <w:sz w:val="24"/>
              </w:rPr>
            </w:pPr>
          </w:p>
          <w:p w:rsidR="006074F2" w:rsidRDefault="006074F2" w:rsidP="00E17DB9">
            <w:pPr>
              <w:pStyle w:val="CcList"/>
              <w:ind w:left="0" w:firstLine="0"/>
              <w:jc w:val="left"/>
              <w:rPr>
                <w:sz w:val="24"/>
              </w:rPr>
            </w:pPr>
            <w:r>
              <w:rPr>
                <w:sz w:val="24"/>
              </w:rPr>
              <w:t>http://www.planningportal.gov.uk/planning/applications/howtoapply/whattosubmit/cil</w:t>
            </w:r>
          </w:p>
          <w:p w:rsidR="006074F2" w:rsidRDefault="006074F2" w:rsidP="00E17DB9">
            <w:pPr>
              <w:pStyle w:val="CcList"/>
              <w:ind w:left="0" w:firstLine="0"/>
              <w:jc w:val="left"/>
              <w:rPr>
                <w:sz w:val="24"/>
              </w:rPr>
            </w:pPr>
          </w:p>
          <w:p w:rsidR="006074F2" w:rsidRDefault="006074F2" w:rsidP="00E17DB9">
            <w:pPr>
              <w:pStyle w:val="CcList"/>
              <w:ind w:left="0" w:firstLine="0"/>
              <w:jc w:val="left"/>
              <w:rPr>
                <w:sz w:val="24"/>
              </w:rPr>
            </w:pPr>
            <w:r>
              <w:rPr>
                <w:sz w:val="24"/>
              </w:rPr>
              <w:t xml:space="preserve">We will then issue a CIL demand notice setting out what monies needs to </w:t>
            </w:r>
            <w:proofErr w:type="gramStart"/>
            <w:r>
              <w:rPr>
                <w:sz w:val="24"/>
              </w:rPr>
              <w:t>paid</w:t>
            </w:r>
            <w:proofErr w:type="gramEnd"/>
            <w:r>
              <w:rPr>
                <w:sz w:val="24"/>
              </w:rPr>
              <w:t xml:space="preserve"> when and how to pay.  Failure to notify Camden of the commencement of development will result in a surcharge of £2500 or 20% being added to the CIL payment. Other surcharges may also apply for failure to assume liability and late payment. Payments will also be subject to indexation in line with the construction costs index.</w:t>
            </w:r>
          </w:p>
          <w:p w:rsidR="006074F2" w:rsidRDefault="006074F2" w:rsidP="00E17DB9">
            <w:pPr>
              <w:pStyle w:val="CcList"/>
              <w:ind w:left="0" w:firstLine="0"/>
              <w:jc w:val="left"/>
              <w:rPr>
                <w:sz w:val="24"/>
              </w:rPr>
            </w:pPr>
          </w:p>
          <w:p w:rsidR="006074F2" w:rsidRDefault="006074F2" w:rsidP="00E17DB9">
            <w:pPr>
              <w:pStyle w:val="CcList"/>
              <w:ind w:left="0" w:firstLine="0"/>
              <w:jc w:val="left"/>
              <w:rPr>
                <w:sz w:val="24"/>
              </w:rPr>
            </w:pPr>
            <w:r>
              <w:rPr>
                <w:sz w:val="24"/>
              </w:rPr>
              <w:t>Please send CIL related documents or correspondence to CIL@Camden.gov.uk</w:t>
            </w:r>
          </w:p>
          <w:p w:rsidR="006074F2" w:rsidRDefault="006074F2" w:rsidP="00E17DB9">
            <w:pPr>
              <w:pStyle w:val="CcList"/>
              <w:ind w:left="0" w:firstLine="0"/>
              <w:jc w:val="left"/>
              <w:rPr>
                <w:sz w:val="24"/>
              </w:rPr>
            </w:pPr>
          </w:p>
        </w:tc>
      </w:tr>
      <w:bookmarkEnd w:id="2"/>
    </w:tbl>
    <w:p w:rsidR="00F604D4" w:rsidRDefault="00F604D4" w:rsidP="00A2288D">
      <w:pPr>
        <w:jc w:val="both"/>
        <w:rPr>
          <w:rFonts w:ascii="Arial" w:hAnsi="Arial" w:cs="Arial"/>
          <w:lang w:eastAsia="en-GB"/>
        </w:rPr>
      </w:pPr>
    </w:p>
    <w:p w:rsidR="006A2353" w:rsidRDefault="006A2353" w:rsidP="00A2288D">
      <w:pPr>
        <w:jc w:val="both"/>
        <w:rPr>
          <w:rFonts w:eastAsia="MS Mincho"/>
        </w:rPr>
      </w:pPr>
    </w:p>
    <w:p w:rsidR="006074F2" w:rsidRDefault="006074F2" w:rsidP="006074F2">
      <w:pPr>
        <w:pStyle w:val="CcList"/>
        <w:ind w:left="0" w:firstLine="0"/>
        <w:rPr>
          <w:sz w:val="24"/>
        </w:rPr>
      </w:pPr>
      <w:r>
        <w:rPr>
          <w:sz w:val="24"/>
        </w:rPr>
        <w:t xml:space="preserve">Conditions </w:t>
      </w:r>
      <w:proofErr w:type="gramStart"/>
      <w:r>
        <w:rPr>
          <w:sz w:val="24"/>
        </w:rPr>
        <w:t>And</w:t>
      </w:r>
      <w:proofErr w:type="gramEnd"/>
      <w:r>
        <w:rPr>
          <w:sz w:val="24"/>
        </w:rPr>
        <w:t xml:space="preserve"> Reasons: </w:t>
      </w:r>
      <w:r>
        <w:rPr>
          <w:b/>
          <w:sz w:val="24"/>
        </w:rPr>
        <w:t>2015/5813/L</w:t>
      </w:r>
    </w:p>
    <w:p w:rsidR="006074F2" w:rsidRDefault="006074F2" w:rsidP="006074F2">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6074F2" w:rsidTr="00E17DB9">
        <w:tc>
          <w:tcPr>
            <w:tcW w:w="562" w:type="dxa"/>
          </w:tcPr>
          <w:p w:rsidR="006074F2" w:rsidRDefault="006074F2" w:rsidP="00E17DB9">
            <w:pPr>
              <w:pStyle w:val="CcList"/>
              <w:ind w:left="0" w:firstLine="0"/>
              <w:rPr>
                <w:sz w:val="24"/>
              </w:rPr>
            </w:pPr>
            <w:r>
              <w:rPr>
                <w:sz w:val="24"/>
              </w:rPr>
              <w:t>1</w:t>
            </w:r>
          </w:p>
        </w:tc>
        <w:tc>
          <w:tcPr>
            <w:tcW w:w="8647" w:type="dxa"/>
          </w:tcPr>
          <w:p w:rsidR="006074F2" w:rsidRDefault="006074F2" w:rsidP="00E17DB9">
            <w:pPr>
              <w:pStyle w:val="CcList"/>
              <w:ind w:left="0" w:firstLine="0"/>
              <w:rPr>
                <w:sz w:val="24"/>
              </w:rPr>
            </w:pPr>
            <w:r>
              <w:rPr>
                <w:sz w:val="24"/>
              </w:rPr>
              <w:t>The works hereby permitted shall be begun not later than the end of three years from the date of this consent.</w:t>
            </w:r>
          </w:p>
          <w:p w:rsidR="006074F2" w:rsidRDefault="006074F2" w:rsidP="00E17DB9">
            <w:pPr>
              <w:pStyle w:val="CcList"/>
              <w:ind w:left="0" w:firstLine="0"/>
              <w:rPr>
                <w:sz w:val="24"/>
              </w:rPr>
            </w:pPr>
          </w:p>
          <w:p w:rsidR="006074F2" w:rsidRDefault="006074F2" w:rsidP="00E17DB9">
            <w:pPr>
              <w:pStyle w:val="CcList"/>
              <w:ind w:left="0" w:firstLine="0"/>
              <w:rPr>
                <w:sz w:val="24"/>
              </w:rPr>
            </w:pPr>
            <w:r>
              <w:rPr>
                <w:sz w:val="24"/>
              </w:rPr>
              <w:t>Reason: In order to comply with the provisions of Section 18 of the Planning (Listed Buildings and Conservation Areas) Act 1990.</w:t>
            </w:r>
          </w:p>
          <w:p w:rsidR="006074F2" w:rsidRDefault="006074F2" w:rsidP="00E17DB9">
            <w:pPr>
              <w:pStyle w:val="CcList"/>
              <w:ind w:left="0" w:firstLine="0"/>
              <w:rPr>
                <w:sz w:val="24"/>
              </w:rPr>
            </w:pPr>
          </w:p>
        </w:tc>
      </w:tr>
      <w:tr w:rsidR="006074F2" w:rsidTr="00E17DB9">
        <w:tc>
          <w:tcPr>
            <w:tcW w:w="562" w:type="dxa"/>
          </w:tcPr>
          <w:p w:rsidR="006074F2" w:rsidRDefault="006074F2" w:rsidP="00E17DB9">
            <w:pPr>
              <w:pStyle w:val="CcList"/>
              <w:ind w:left="0" w:firstLine="0"/>
              <w:rPr>
                <w:sz w:val="24"/>
              </w:rPr>
            </w:pPr>
            <w:r>
              <w:rPr>
                <w:sz w:val="24"/>
              </w:rPr>
              <w:t>2</w:t>
            </w:r>
          </w:p>
        </w:tc>
        <w:tc>
          <w:tcPr>
            <w:tcW w:w="8647" w:type="dxa"/>
          </w:tcPr>
          <w:p w:rsidR="006074F2" w:rsidRDefault="006074F2" w:rsidP="00E17DB9">
            <w:pPr>
              <w:pStyle w:val="CcList"/>
              <w:ind w:left="0" w:firstLine="0"/>
              <w:rPr>
                <w:sz w:val="24"/>
              </w:rPr>
            </w:pPr>
            <w:r>
              <w:rPr>
                <w:sz w:val="24"/>
              </w:rPr>
              <w:t>All new work and work of making good shall be carried out to match the original work as closely as possible in materials and detailed execution.</w:t>
            </w:r>
          </w:p>
          <w:p w:rsidR="006074F2" w:rsidRDefault="006074F2" w:rsidP="00E17DB9">
            <w:pPr>
              <w:pStyle w:val="CcList"/>
              <w:ind w:left="0" w:firstLine="0"/>
              <w:rPr>
                <w:sz w:val="24"/>
              </w:rPr>
            </w:pPr>
          </w:p>
          <w:p w:rsidR="006074F2" w:rsidRDefault="006074F2" w:rsidP="00E17DB9">
            <w:pPr>
              <w:pStyle w:val="CcList"/>
              <w:ind w:left="0" w:firstLine="0"/>
              <w:rPr>
                <w:sz w:val="24"/>
              </w:rPr>
            </w:pPr>
            <w:r>
              <w:rPr>
                <w:sz w:val="24"/>
              </w:rPr>
              <w:t>Reason: In order to safeguard the special architectural and historic interest of the building in accordance with the requirements of policy CS14 of the London Borough of Camden Local Development Framework Core Strategy and policy DP25 of the London Borough of Camden Local Development Framework Development Policies.</w:t>
            </w:r>
          </w:p>
          <w:p w:rsidR="006074F2" w:rsidRDefault="006074F2" w:rsidP="00E17DB9">
            <w:pPr>
              <w:pStyle w:val="CcList"/>
              <w:ind w:left="0" w:firstLine="0"/>
              <w:rPr>
                <w:sz w:val="24"/>
              </w:rPr>
            </w:pPr>
          </w:p>
        </w:tc>
      </w:tr>
      <w:tr w:rsidR="006074F2" w:rsidTr="00E17DB9">
        <w:tc>
          <w:tcPr>
            <w:tcW w:w="562" w:type="dxa"/>
          </w:tcPr>
          <w:p w:rsidR="006074F2" w:rsidRDefault="006074F2" w:rsidP="00E17DB9">
            <w:pPr>
              <w:pStyle w:val="CcList"/>
              <w:ind w:left="0" w:firstLine="0"/>
              <w:rPr>
                <w:sz w:val="24"/>
              </w:rPr>
            </w:pPr>
            <w:r>
              <w:rPr>
                <w:sz w:val="24"/>
              </w:rPr>
              <w:t>3</w:t>
            </w:r>
          </w:p>
        </w:tc>
        <w:tc>
          <w:tcPr>
            <w:tcW w:w="8647" w:type="dxa"/>
          </w:tcPr>
          <w:p w:rsidR="006074F2" w:rsidRDefault="006074F2" w:rsidP="00E17DB9">
            <w:pPr>
              <w:pStyle w:val="CcList"/>
              <w:ind w:left="0" w:firstLine="0"/>
              <w:rPr>
                <w:sz w:val="24"/>
              </w:rPr>
            </w:pPr>
            <w:r>
              <w:rPr>
                <w:sz w:val="24"/>
              </w:rPr>
              <w:t>The works hereby approved are only those specifically indicated on the drawing(s) referred to above.</w:t>
            </w:r>
          </w:p>
          <w:p w:rsidR="006074F2" w:rsidRDefault="006074F2" w:rsidP="00E17DB9">
            <w:pPr>
              <w:pStyle w:val="CcList"/>
              <w:ind w:left="0" w:firstLine="0"/>
              <w:rPr>
                <w:sz w:val="24"/>
              </w:rPr>
            </w:pPr>
          </w:p>
          <w:p w:rsidR="006074F2" w:rsidRDefault="006074F2" w:rsidP="00E17DB9">
            <w:pPr>
              <w:pStyle w:val="CcList"/>
              <w:ind w:left="0" w:firstLine="0"/>
              <w:rPr>
                <w:sz w:val="24"/>
              </w:rPr>
            </w:pPr>
            <w:r>
              <w:rPr>
                <w:sz w:val="24"/>
              </w:rPr>
              <w:t>Reason: In order to safeguard the special architectural and historic interest of the building in accordance with the requirements of policy CS14 of the London Borough of Camden Local Development Framework Core Strategy and policy DP25 of the London Borough of Camden Local Development Framework Development Policies.</w:t>
            </w:r>
          </w:p>
          <w:p w:rsidR="006074F2" w:rsidRDefault="006074F2" w:rsidP="00E17DB9">
            <w:pPr>
              <w:pStyle w:val="CcList"/>
              <w:ind w:left="0" w:firstLine="0"/>
              <w:rPr>
                <w:sz w:val="24"/>
              </w:rPr>
            </w:pPr>
          </w:p>
        </w:tc>
      </w:tr>
      <w:tr w:rsidR="006074F2" w:rsidTr="00E17DB9">
        <w:tc>
          <w:tcPr>
            <w:tcW w:w="562" w:type="dxa"/>
          </w:tcPr>
          <w:p w:rsidR="006074F2" w:rsidRDefault="006074F2" w:rsidP="00E17DB9">
            <w:pPr>
              <w:pStyle w:val="CcList"/>
              <w:ind w:left="0" w:firstLine="0"/>
              <w:rPr>
                <w:sz w:val="24"/>
              </w:rPr>
            </w:pPr>
            <w:r>
              <w:rPr>
                <w:sz w:val="24"/>
              </w:rPr>
              <w:t>4</w:t>
            </w:r>
          </w:p>
        </w:tc>
        <w:tc>
          <w:tcPr>
            <w:tcW w:w="8647" w:type="dxa"/>
          </w:tcPr>
          <w:p w:rsidR="006074F2" w:rsidRDefault="006074F2" w:rsidP="00E17DB9">
            <w:pPr>
              <w:pStyle w:val="CcList"/>
              <w:ind w:left="0" w:firstLine="0"/>
              <w:rPr>
                <w:sz w:val="24"/>
              </w:rPr>
            </w:pPr>
            <w:r>
              <w:rPr>
                <w:sz w:val="24"/>
              </w:rPr>
              <w:t xml:space="preserve">The reinstated cornice shall match in design and composition that surviving in the corner of the room and shown in photograph IMG 4833. </w:t>
            </w:r>
          </w:p>
          <w:p w:rsidR="006074F2" w:rsidRDefault="006074F2" w:rsidP="00E17DB9">
            <w:pPr>
              <w:pStyle w:val="CcList"/>
              <w:ind w:left="0" w:firstLine="0"/>
              <w:rPr>
                <w:sz w:val="24"/>
              </w:rPr>
            </w:pPr>
          </w:p>
          <w:p w:rsidR="006074F2" w:rsidRDefault="006074F2" w:rsidP="00E17DB9">
            <w:pPr>
              <w:pStyle w:val="CcList"/>
              <w:ind w:left="0" w:firstLine="0"/>
              <w:rPr>
                <w:sz w:val="24"/>
              </w:rPr>
            </w:pPr>
            <w:r>
              <w:rPr>
                <w:sz w:val="24"/>
              </w:rPr>
              <w:t xml:space="preserve">Reason: In order to safeguard the special architectural and historic interest of the building in accordance with the requirements of policy CS14 of the London Borough of Camden Local Development Framework Core Strategy and policy DP25 of the London Borough of Camden Local Development Framework Development Policies. </w:t>
            </w:r>
          </w:p>
        </w:tc>
      </w:tr>
    </w:tbl>
    <w:p w:rsidR="006074F2" w:rsidRDefault="006074F2" w:rsidP="006074F2">
      <w:pPr>
        <w:pStyle w:val="CcList"/>
        <w:ind w:left="113" w:firstLine="0"/>
        <w:rPr>
          <w:sz w:val="24"/>
        </w:rPr>
      </w:pPr>
    </w:p>
    <w:p w:rsidR="006074F2" w:rsidRDefault="006074F2" w:rsidP="006074F2">
      <w:pPr>
        <w:pStyle w:val="CcList"/>
        <w:ind w:left="0" w:firstLine="0"/>
        <w:rPr>
          <w:sz w:val="24"/>
        </w:rPr>
      </w:pPr>
      <w:r>
        <w:rPr>
          <w:sz w:val="24"/>
        </w:rPr>
        <w:t>Informative(s):</w:t>
      </w:r>
    </w:p>
    <w:p w:rsidR="006074F2" w:rsidRDefault="006074F2" w:rsidP="006074F2">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6074F2" w:rsidTr="00E17DB9">
        <w:tc>
          <w:tcPr>
            <w:tcW w:w="562" w:type="dxa"/>
          </w:tcPr>
          <w:p w:rsidR="006074F2" w:rsidRDefault="006074F2" w:rsidP="006074F2">
            <w:pPr>
              <w:pStyle w:val="CcList"/>
              <w:numPr>
                <w:ilvl w:val="0"/>
                <w:numId w:val="34"/>
              </w:numPr>
              <w:rPr>
                <w:sz w:val="24"/>
              </w:rPr>
            </w:pPr>
          </w:p>
        </w:tc>
        <w:tc>
          <w:tcPr>
            <w:tcW w:w="8647" w:type="dxa"/>
          </w:tcPr>
          <w:p w:rsidR="006074F2" w:rsidRDefault="006074F2" w:rsidP="00E17DB9">
            <w:pPr>
              <w:pStyle w:val="CcList"/>
              <w:ind w:left="0" w:firstLine="0"/>
              <w:rPr>
                <w:sz w:val="24"/>
              </w:rPr>
            </w:pPr>
            <w:r>
              <w:rPr>
                <w:sz w:val="24"/>
              </w:rPr>
              <w:t>Your proposals may be subject to control under the Building Regulations and/or the London Buildings Acts which cover aspects including fire and emergency escape, access and facilities for people with disabilities and sound insulation between dwellings. You are advised to consult the Council's Building Control Service, 2nd Floor, 5 Pancras Square, London N1C 4AG, (</w:t>
            </w:r>
            <w:proofErr w:type="spellStart"/>
            <w:r>
              <w:rPr>
                <w:sz w:val="24"/>
              </w:rPr>
              <w:t>tel</w:t>
            </w:r>
            <w:proofErr w:type="spellEnd"/>
            <w:r>
              <w:rPr>
                <w:sz w:val="24"/>
              </w:rPr>
              <w:t>: 020-7974 6941).</w:t>
            </w:r>
          </w:p>
          <w:p w:rsidR="006074F2" w:rsidRDefault="006074F2" w:rsidP="00E17DB9">
            <w:pPr>
              <w:pStyle w:val="CcList"/>
              <w:ind w:left="0" w:firstLine="0"/>
              <w:rPr>
                <w:sz w:val="24"/>
              </w:rPr>
            </w:pPr>
          </w:p>
        </w:tc>
      </w:tr>
      <w:tr w:rsidR="006074F2" w:rsidTr="00E17DB9">
        <w:tc>
          <w:tcPr>
            <w:tcW w:w="562" w:type="dxa"/>
          </w:tcPr>
          <w:p w:rsidR="006074F2" w:rsidRDefault="006074F2" w:rsidP="006074F2">
            <w:pPr>
              <w:pStyle w:val="CcList"/>
              <w:numPr>
                <w:ilvl w:val="0"/>
                <w:numId w:val="34"/>
              </w:numPr>
              <w:rPr>
                <w:sz w:val="24"/>
              </w:rPr>
            </w:pPr>
          </w:p>
        </w:tc>
        <w:tc>
          <w:tcPr>
            <w:tcW w:w="8647" w:type="dxa"/>
          </w:tcPr>
          <w:p w:rsidR="006074F2" w:rsidRDefault="006074F2" w:rsidP="00E17DB9">
            <w:pPr>
              <w:pStyle w:val="CcList"/>
              <w:ind w:left="0" w:firstLine="0"/>
              <w:rPr>
                <w:sz w:val="24"/>
              </w:rPr>
            </w:pPr>
            <w:r>
              <w:rPr>
                <w:sz w:val="24"/>
              </w:rPr>
              <w:t>You are advised that any works of alterations or upgrading not included on the approved drawings which are required to satisfy Building Regulations or Fire Certification may require a further application for listed building consent.</w:t>
            </w:r>
          </w:p>
          <w:p w:rsidR="006074F2" w:rsidRDefault="006074F2" w:rsidP="00E17DB9">
            <w:pPr>
              <w:pStyle w:val="CcList"/>
              <w:ind w:left="0" w:firstLine="0"/>
              <w:rPr>
                <w:sz w:val="24"/>
              </w:rPr>
            </w:pPr>
          </w:p>
        </w:tc>
      </w:tr>
    </w:tbl>
    <w:p w:rsidR="006074F2" w:rsidRDefault="006074F2" w:rsidP="00A2288D">
      <w:pPr>
        <w:jc w:val="both"/>
        <w:rPr>
          <w:rFonts w:eastAsia="MS Mincho"/>
        </w:rPr>
      </w:pPr>
    </w:p>
    <w:sectPr w:rsidR="006074F2" w:rsidSect="00C151D7">
      <w:pgSz w:w="11906" w:h="16838"/>
      <w:pgMar w:top="993" w:right="1152" w:bottom="1440"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0FE"/>
    <w:multiLevelType w:val="hybridMultilevel"/>
    <w:tmpl w:val="20D6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84601"/>
    <w:multiLevelType w:val="hybridMultilevel"/>
    <w:tmpl w:val="C824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116C5"/>
    <w:multiLevelType w:val="hybridMultilevel"/>
    <w:tmpl w:val="908A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326105"/>
    <w:multiLevelType w:val="hybridMultilevel"/>
    <w:tmpl w:val="9B9412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BF423CB"/>
    <w:multiLevelType w:val="hybridMultilevel"/>
    <w:tmpl w:val="C8A6415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1E067E1E"/>
    <w:multiLevelType w:val="hybridMultilevel"/>
    <w:tmpl w:val="18222E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E3C210B"/>
    <w:multiLevelType w:val="multilevel"/>
    <w:tmpl w:val="BEF8E42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238731A0"/>
    <w:multiLevelType w:val="hybridMultilevel"/>
    <w:tmpl w:val="06042D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3AE05DA"/>
    <w:multiLevelType w:val="hybridMultilevel"/>
    <w:tmpl w:val="4EF0AB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6967F55"/>
    <w:multiLevelType w:val="hybridMultilevel"/>
    <w:tmpl w:val="78F0191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nsid w:val="26BA6A94"/>
    <w:multiLevelType w:val="hybridMultilevel"/>
    <w:tmpl w:val="A24CA722"/>
    <w:lvl w:ilvl="0" w:tplc="14623870">
      <w:start w:val="1"/>
      <w:numFmt w:val="decimal"/>
      <w:lvlText w:val="%1"/>
      <w:lvlJc w:val="left"/>
      <w:pPr>
        <w:tabs>
          <w:tab w:val="num" w:pos="473"/>
        </w:tabs>
        <w:ind w:left="473" w:hanging="360"/>
      </w:pPr>
      <w:rPr>
        <w:rFonts w:hint="default"/>
      </w:rPr>
    </w:lvl>
    <w:lvl w:ilvl="1" w:tplc="759A135A" w:tentative="1">
      <w:start w:val="1"/>
      <w:numFmt w:val="lowerLetter"/>
      <w:lvlText w:val="%2."/>
      <w:lvlJc w:val="left"/>
      <w:pPr>
        <w:tabs>
          <w:tab w:val="num" w:pos="1440"/>
        </w:tabs>
        <w:ind w:left="1440" w:hanging="360"/>
      </w:pPr>
    </w:lvl>
    <w:lvl w:ilvl="2" w:tplc="C2E455CE" w:tentative="1">
      <w:start w:val="1"/>
      <w:numFmt w:val="lowerRoman"/>
      <w:lvlText w:val="%3."/>
      <w:lvlJc w:val="right"/>
      <w:pPr>
        <w:tabs>
          <w:tab w:val="num" w:pos="2160"/>
        </w:tabs>
        <w:ind w:left="2160" w:hanging="180"/>
      </w:pPr>
    </w:lvl>
    <w:lvl w:ilvl="3" w:tplc="2E944A88" w:tentative="1">
      <w:start w:val="1"/>
      <w:numFmt w:val="decimal"/>
      <w:lvlText w:val="%4."/>
      <w:lvlJc w:val="left"/>
      <w:pPr>
        <w:tabs>
          <w:tab w:val="num" w:pos="2880"/>
        </w:tabs>
        <w:ind w:left="2880" w:hanging="360"/>
      </w:pPr>
    </w:lvl>
    <w:lvl w:ilvl="4" w:tplc="9A44B11A" w:tentative="1">
      <w:start w:val="1"/>
      <w:numFmt w:val="lowerLetter"/>
      <w:lvlText w:val="%5."/>
      <w:lvlJc w:val="left"/>
      <w:pPr>
        <w:tabs>
          <w:tab w:val="num" w:pos="3600"/>
        </w:tabs>
        <w:ind w:left="3600" w:hanging="360"/>
      </w:pPr>
    </w:lvl>
    <w:lvl w:ilvl="5" w:tplc="E75C7574" w:tentative="1">
      <w:start w:val="1"/>
      <w:numFmt w:val="lowerRoman"/>
      <w:lvlText w:val="%6."/>
      <w:lvlJc w:val="right"/>
      <w:pPr>
        <w:tabs>
          <w:tab w:val="num" w:pos="4320"/>
        </w:tabs>
        <w:ind w:left="4320" w:hanging="180"/>
      </w:pPr>
    </w:lvl>
    <w:lvl w:ilvl="6" w:tplc="6676196E" w:tentative="1">
      <w:start w:val="1"/>
      <w:numFmt w:val="decimal"/>
      <w:lvlText w:val="%7."/>
      <w:lvlJc w:val="left"/>
      <w:pPr>
        <w:tabs>
          <w:tab w:val="num" w:pos="5040"/>
        </w:tabs>
        <w:ind w:left="5040" w:hanging="360"/>
      </w:pPr>
    </w:lvl>
    <w:lvl w:ilvl="7" w:tplc="EE2CCCDE" w:tentative="1">
      <w:start w:val="1"/>
      <w:numFmt w:val="lowerLetter"/>
      <w:lvlText w:val="%8."/>
      <w:lvlJc w:val="left"/>
      <w:pPr>
        <w:tabs>
          <w:tab w:val="num" w:pos="5760"/>
        </w:tabs>
        <w:ind w:left="5760" w:hanging="360"/>
      </w:pPr>
    </w:lvl>
    <w:lvl w:ilvl="8" w:tplc="063EC216" w:tentative="1">
      <w:start w:val="1"/>
      <w:numFmt w:val="lowerRoman"/>
      <w:lvlText w:val="%9."/>
      <w:lvlJc w:val="right"/>
      <w:pPr>
        <w:tabs>
          <w:tab w:val="num" w:pos="6480"/>
        </w:tabs>
        <w:ind w:left="6480" w:hanging="180"/>
      </w:pPr>
    </w:lvl>
  </w:abstractNum>
  <w:abstractNum w:abstractNumId="11">
    <w:nsid w:val="28BB502D"/>
    <w:multiLevelType w:val="hybridMultilevel"/>
    <w:tmpl w:val="801299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4E5A2A"/>
    <w:multiLevelType w:val="hybridMultilevel"/>
    <w:tmpl w:val="39A2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B8364E"/>
    <w:multiLevelType w:val="hybridMultilevel"/>
    <w:tmpl w:val="284092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E745D79"/>
    <w:multiLevelType w:val="hybridMultilevel"/>
    <w:tmpl w:val="0CDEFC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1344E0A"/>
    <w:multiLevelType w:val="hybridMultilevel"/>
    <w:tmpl w:val="23385C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2593BF4"/>
    <w:multiLevelType w:val="hybridMultilevel"/>
    <w:tmpl w:val="9D9873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7E22FB"/>
    <w:multiLevelType w:val="hybridMultilevel"/>
    <w:tmpl w:val="7EF618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40F4649"/>
    <w:multiLevelType w:val="hybridMultilevel"/>
    <w:tmpl w:val="27707D3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A125F98"/>
    <w:multiLevelType w:val="hybridMultilevel"/>
    <w:tmpl w:val="33FEFC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CE94943"/>
    <w:multiLevelType w:val="hybridMultilevel"/>
    <w:tmpl w:val="AEF2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F71798"/>
    <w:multiLevelType w:val="hybridMultilevel"/>
    <w:tmpl w:val="BB5EBE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92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nsid w:val="4F843FFA"/>
    <w:multiLevelType w:val="multilevel"/>
    <w:tmpl w:val="24AAE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34F4D5B"/>
    <w:multiLevelType w:val="hybridMultilevel"/>
    <w:tmpl w:val="AEFEE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C355A5"/>
    <w:multiLevelType w:val="hybridMultilevel"/>
    <w:tmpl w:val="A24CA722"/>
    <w:lvl w:ilvl="0" w:tplc="14623870">
      <w:start w:val="1"/>
      <w:numFmt w:val="decimal"/>
      <w:lvlText w:val="%1"/>
      <w:lvlJc w:val="left"/>
      <w:pPr>
        <w:tabs>
          <w:tab w:val="num" w:pos="473"/>
        </w:tabs>
        <w:ind w:left="473" w:hanging="360"/>
      </w:pPr>
      <w:rPr>
        <w:rFonts w:hint="default"/>
      </w:rPr>
    </w:lvl>
    <w:lvl w:ilvl="1" w:tplc="759A135A" w:tentative="1">
      <w:start w:val="1"/>
      <w:numFmt w:val="lowerLetter"/>
      <w:lvlText w:val="%2."/>
      <w:lvlJc w:val="left"/>
      <w:pPr>
        <w:tabs>
          <w:tab w:val="num" w:pos="1440"/>
        </w:tabs>
        <w:ind w:left="1440" w:hanging="360"/>
      </w:pPr>
    </w:lvl>
    <w:lvl w:ilvl="2" w:tplc="C2E455CE" w:tentative="1">
      <w:start w:val="1"/>
      <w:numFmt w:val="lowerRoman"/>
      <w:lvlText w:val="%3."/>
      <w:lvlJc w:val="right"/>
      <w:pPr>
        <w:tabs>
          <w:tab w:val="num" w:pos="2160"/>
        </w:tabs>
        <w:ind w:left="2160" w:hanging="180"/>
      </w:pPr>
    </w:lvl>
    <w:lvl w:ilvl="3" w:tplc="2E944A88" w:tentative="1">
      <w:start w:val="1"/>
      <w:numFmt w:val="decimal"/>
      <w:lvlText w:val="%4."/>
      <w:lvlJc w:val="left"/>
      <w:pPr>
        <w:tabs>
          <w:tab w:val="num" w:pos="2880"/>
        </w:tabs>
        <w:ind w:left="2880" w:hanging="360"/>
      </w:pPr>
    </w:lvl>
    <w:lvl w:ilvl="4" w:tplc="9A44B11A" w:tentative="1">
      <w:start w:val="1"/>
      <w:numFmt w:val="lowerLetter"/>
      <w:lvlText w:val="%5."/>
      <w:lvlJc w:val="left"/>
      <w:pPr>
        <w:tabs>
          <w:tab w:val="num" w:pos="3600"/>
        </w:tabs>
        <w:ind w:left="3600" w:hanging="360"/>
      </w:pPr>
    </w:lvl>
    <w:lvl w:ilvl="5" w:tplc="E75C7574" w:tentative="1">
      <w:start w:val="1"/>
      <w:numFmt w:val="lowerRoman"/>
      <w:lvlText w:val="%6."/>
      <w:lvlJc w:val="right"/>
      <w:pPr>
        <w:tabs>
          <w:tab w:val="num" w:pos="4320"/>
        </w:tabs>
        <w:ind w:left="4320" w:hanging="180"/>
      </w:pPr>
    </w:lvl>
    <w:lvl w:ilvl="6" w:tplc="6676196E" w:tentative="1">
      <w:start w:val="1"/>
      <w:numFmt w:val="decimal"/>
      <w:lvlText w:val="%7."/>
      <w:lvlJc w:val="left"/>
      <w:pPr>
        <w:tabs>
          <w:tab w:val="num" w:pos="5040"/>
        </w:tabs>
        <w:ind w:left="5040" w:hanging="360"/>
      </w:pPr>
    </w:lvl>
    <w:lvl w:ilvl="7" w:tplc="EE2CCCDE" w:tentative="1">
      <w:start w:val="1"/>
      <w:numFmt w:val="lowerLetter"/>
      <w:lvlText w:val="%8."/>
      <w:lvlJc w:val="left"/>
      <w:pPr>
        <w:tabs>
          <w:tab w:val="num" w:pos="5760"/>
        </w:tabs>
        <w:ind w:left="5760" w:hanging="360"/>
      </w:pPr>
    </w:lvl>
    <w:lvl w:ilvl="8" w:tplc="063EC216" w:tentative="1">
      <w:start w:val="1"/>
      <w:numFmt w:val="lowerRoman"/>
      <w:lvlText w:val="%9."/>
      <w:lvlJc w:val="right"/>
      <w:pPr>
        <w:tabs>
          <w:tab w:val="num" w:pos="6480"/>
        </w:tabs>
        <w:ind w:left="6480" w:hanging="180"/>
      </w:pPr>
    </w:lvl>
  </w:abstractNum>
  <w:abstractNum w:abstractNumId="25">
    <w:nsid w:val="574371C1"/>
    <w:multiLevelType w:val="hybridMultilevel"/>
    <w:tmpl w:val="95E4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6A4272"/>
    <w:multiLevelType w:val="hybridMultilevel"/>
    <w:tmpl w:val="C27A6E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619428A0"/>
    <w:multiLevelType w:val="hybridMultilevel"/>
    <w:tmpl w:val="8914443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6D6B7C29"/>
    <w:multiLevelType w:val="hybridMultilevel"/>
    <w:tmpl w:val="0A060D8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DAA5727"/>
    <w:multiLevelType w:val="hybridMultilevel"/>
    <w:tmpl w:val="5600C17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nsid w:val="6FD6224B"/>
    <w:multiLevelType w:val="hybridMultilevel"/>
    <w:tmpl w:val="BC440B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09A0DD9"/>
    <w:multiLevelType w:val="multilevel"/>
    <w:tmpl w:val="DA2EB5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3E32D55"/>
    <w:multiLevelType w:val="hybridMultilevel"/>
    <w:tmpl w:val="F7FADB32"/>
    <w:lvl w:ilvl="0" w:tplc="452C202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nsid w:val="7C337C02"/>
    <w:multiLevelType w:val="hybridMultilevel"/>
    <w:tmpl w:val="794850E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25"/>
  </w:num>
  <w:num w:numId="3">
    <w:abstractNumId w:val="0"/>
  </w:num>
  <w:num w:numId="4">
    <w:abstractNumId w:val="1"/>
  </w:num>
  <w:num w:numId="5">
    <w:abstractNumId w:val="12"/>
  </w:num>
  <w:num w:numId="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2"/>
  </w:num>
  <w:num w:numId="9">
    <w:abstractNumId w:val="9"/>
  </w:num>
  <w:num w:numId="10">
    <w:abstractNumId w:val="14"/>
  </w:num>
  <w:num w:numId="11">
    <w:abstractNumId w:val="2"/>
  </w:num>
  <w:num w:numId="12">
    <w:abstractNumId w:val="3"/>
  </w:num>
  <w:num w:numId="13">
    <w:abstractNumId w:val="5"/>
  </w:num>
  <w:num w:numId="14">
    <w:abstractNumId w:val="28"/>
  </w:num>
  <w:num w:numId="15">
    <w:abstractNumId w:val="7"/>
  </w:num>
  <w:num w:numId="16">
    <w:abstractNumId w:val="20"/>
  </w:num>
  <w:num w:numId="17">
    <w:abstractNumId w:val="26"/>
  </w:num>
  <w:num w:numId="18">
    <w:abstractNumId w:val="23"/>
  </w:num>
  <w:num w:numId="19">
    <w:abstractNumId w:val="13"/>
  </w:num>
  <w:num w:numId="20">
    <w:abstractNumId w:val="17"/>
  </w:num>
  <w:num w:numId="21">
    <w:abstractNumId w:val="30"/>
  </w:num>
  <w:num w:numId="22">
    <w:abstractNumId w:val="16"/>
  </w:num>
  <w:num w:numId="23">
    <w:abstractNumId w:val="8"/>
  </w:num>
  <w:num w:numId="24">
    <w:abstractNumId w:val="27"/>
  </w:num>
  <w:num w:numId="25">
    <w:abstractNumId w:val="4"/>
  </w:num>
  <w:num w:numId="26">
    <w:abstractNumId w:val="19"/>
  </w:num>
  <w:num w:numId="27">
    <w:abstractNumId w:val="33"/>
  </w:num>
  <w:num w:numId="28">
    <w:abstractNumId w:val="18"/>
  </w:num>
  <w:num w:numId="29">
    <w:abstractNumId w:val="21"/>
  </w:num>
  <w:num w:numId="30">
    <w:abstractNumId w:val="32"/>
  </w:num>
  <w:num w:numId="31">
    <w:abstractNumId w:val="31"/>
  </w:num>
  <w:num w:numId="32">
    <w:abstractNumId w:val="11"/>
  </w:num>
  <w:num w:numId="33">
    <w:abstractNumId w:val="24"/>
  </w:num>
  <w:num w:numId="3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04"/>
    <w:rsid w:val="0000054C"/>
    <w:rsid w:val="00001EA6"/>
    <w:rsid w:val="00016631"/>
    <w:rsid w:val="00020272"/>
    <w:rsid w:val="00040AA2"/>
    <w:rsid w:val="00084DD0"/>
    <w:rsid w:val="0009797C"/>
    <w:rsid w:val="000D0E93"/>
    <w:rsid w:val="000D6EF4"/>
    <w:rsid w:val="00120A89"/>
    <w:rsid w:val="00123038"/>
    <w:rsid w:val="00125A55"/>
    <w:rsid w:val="00130506"/>
    <w:rsid w:val="00156681"/>
    <w:rsid w:val="00157EBD"/>
    <w:rsid w:val="00164885"/>
    <w:rsid w:val="001700A4"/>
    <w:rsid w:val="001A2576"/>
    <w:rsid w:val="001A6B8F"/>
    <w:rsid w:val="001B673F"/>
    <w:rsid w:val="001C281F"/>
    <w:rsid w:val="001D3969"/>
    <w:rsid w:val="001D3CBC"/>
    <w:rsid w:val="001D779F"/>
    <w:rsid w:val="001F4F71"/>
    <w:rsid w:val="00204E7B"/>
    <w:rsid w:val="00213F4B"/>
    <w:rsid w:val="00227D9B"/>
    <w:rsid w:val="00235775"/>
    <w:rsid w:val="002363D8"/>
    <w:rsid w:val="002F0E46"/>
    <w:rsid w:val="00313E8B"/>
    <w:rsid w:val="003352D1"/>
    <w:rsid w:val="00335818"/>
    <w:rsid w:val="0033629F"/>
    <w:rsid w:val="003427CD"/>
    <w:rsid w:val="0034716E"/>
    <w:rsid w:val="003541E7"/>
    <w:rsid w:val="00356FE9"/>
    <w:rsid w:val="00360A57"/>
    <w:rsid w:val="003717AB"/>
    <w:rsid w:val="003751A0"/>
    <w:rsid w:val="003A4386"/>
    <w:rsid w:val="003D60DA"/>
    <w:rsid w:val="003E0891"/>
    <w:rsid w:val="0040686B"/>
    <w:rsid w:val="004074C9"/>
    <w:rsid w:val="00407C86"/>
    <w:rsid w:val="00410389"/>
    <w:rsid w:val="0041436A"/>
    <w:rsid w:val="00424797"/>
    <w:rsid w:val="004310C3"/>
    <w:rsid w:val="00435BBD"/>
    <w:rsid w:val="00466D39"/>
    <w:rsid w:val="004708C7"/>
    <w:rsid w:val="00475D73"/>
    <w:rsid w:val="00476CD3"/>
    <w:rsid w:val="004C54C0"/>
    <w:rsid w:val="00513C4F"/>
    <w:rsid w:val="00521204"/>
    <w:rsid w:val="005213AD"/>
    <w:rsid w:val="005321D6"/>
    <w:rsid w:val="005371A5"/>
    <w:rsid w:val="00555598"/>
    <w:rsid w:val="00562A12"/>
    <w:rsid w:val="00562E7D"/>
    <w:rsid w:val="00582E82"/>
    <w:rsid w:val="005B4517"/>
    <w:rsid w:val="005C27F5"/>
    <w:rsid w:val="005D7596"/>
    <w:rsid w:val="005E37D2"/>
    <w:rsid w:val="006074F2"/>
    <w:rsid w:val="00607C91"/>
    <w:rsid w:val="006539D0"/>
    <w:rsid w:val="00677877"/>
    <w:rsid w:val="00683C6C"/>
    <w:rsid w:val="00696F07"/>
    <w:rsid w:val="006A2353"/>
    <w:rsid w:val="006B0C63"/>
    <w:rsid w:val="006D1EA1"/>
    <w:rsid w:val="006D4164"/>
    <w:rsid w:val="006D7C04"/>
    <w:rsid w:val="006E2589"/>
    <w:rsid w:val="006E3C5A"/>
    <w:rsid w:val="007022A1"/>
    <w:rsid w:val="00723B10"/>
    <w:rsid w:val="00775735"/>
    <w:rsid w:val="0079627F"/>
    <w:rsid w:val="007B37B5"/>
    <w:rsid w:val="007D44E0"/>
    <w:rsid w:val="007D53A1"/>
    <w:rsid w:val="00803AEE"/>
    <w:rsid w:val="008127D1"/>
    <w:rsid w:val="0082254B"/>
    <w:rsid w:val="00825572"/>
    <w:rsid w:val="008661DB"/>
    <w:rsid w:val="00871011"/>
    <w:rsid w:val="00876C00"/>
    <w:rsid w:val="00880A01"/>
    <w:rsid w:val="00893E51"/>
    <w:rsid w:val="008B20AF"/>
    <w:rsid w:val="008C0513"/>
    <w:rsid w:val="008C532F"/>
    <w:rsid w:val="008D0B47"/>
    <w:rsid w:val="008F568B"/>
    <w:rsid w:val="00917E02"/>
    <w:rsid w:val="009603D9"/>
    <w:rsid w:val="00961580"/>
    <w:rsid w:val="00992952"/>
    <w:rsid w:val="009930C4"/>
    <w:rsid w:val="009B3DB9"/>
    <w:rsid w:val="009C3820"/>
    <w:rsid w:val="009C544A"/>
    <w:rsid w:val="009D5310"/>
    <w:rsid w:val="009E28EF"/>
    <w:rsid w:val="009F36EA"/>
    <w:rsid w:val="00A06ECB"/>
    <w:rsid w:val="00A2288D"/>
    <w:rsid w:val="00A24E15"/>
    <w:rsid w:val="00A27725"/>
    <w:rsid w:val="00A30BCF"/>
    <w:rsid w:val="00A33EFD"/>
    <w:rsid w:val="00A42DE5"/>
    <w:rsid w:val="00A716BC"/>
    <w:rsid w:val="00A72EA1"/>
    <w:rsid w:val="00A97B3A"/>
    <w:rsid w:val="00AA1E15"/>
    <w:rsid w:val="00AB1322"/>
    <w:rsid w:val="00AC1DC6"/>
    <w:rsid w:val="00AD2DF8"/>
    <w:rsid w:val="00AD3507"/>
    <w:rsid w:val="00AD764E"/>
    <w:rsid w:val="00AE4EAF"/>
    <w:rsid w:val="00B25E22"/>
    <w:rsid w:val="00B312A0"/>
    <w:rsid w:val="00B32EF1"/>
    <w:rsid w:val="00B33E6E"/>
    <w:rsid w:val="00B56285"/>
    <w:rsid w:val="00B93256"/>
    <w:rsid w:val="00B95449"/>
    <w:rsid w:val="00BA0A9C"/>
    <w:rsid w:val="00BB07DF"/>
    <w:rsid w:val="00BB32A1"/>
    <w:rsid w:val="00BD7B7D"/>
    <w:rsid w:val="00BE17E2"/>
    <w:rsid w:val="00BF6909"/>
    <w:rsid w:val="00C0348E"/>
    <w:rsid w:val="00C0477D"/>
    <w:rsid w:val="00C04A7A"/>
    <w:rsid w:val="00C05115"/>
    <w:rsid w:val="00C07238"/>
    <w:rsid w:val="00C1482F"/>
    <w:rsid w:val="00C151D7"/>
    <w:rsid w:val="00C251B7"/>
    <w:rsid w:val="00C2689F"/>
    <w:rsid w:val="00C470B9"/>
    <w:rsid w:val="00C47C3C"/>
    <w:rsid w:val="00C56516"/>
    <w:rsid w:val="00C616A8"/>
    <w:rsid w:val="00C64B48"/>
    <w:rsid w:val="00C808CB"/>
    <w:rsid w:val="00C95894"/>
    <w:rsid w:val="00CA59A7"/>
    <w:rsid w:val="00CF02EA"/>
    <w:rsid w:val="00CF6D1C"/>
    <w:rsid w:val="00D07046"/>
    <w:rsid w:val="00D110CE"/>
    <w:rsid w:val="00D11E17"/>
    <w:rsid w:val="00D21230"/>
    <w:rsid w:val="00D21A87"/>
    <w:rsid w:val="00D27059"/>
    <w:rsid w:val="00D8398D"/>
    <w:rsid w:val="00DB67FD"/>
    <w:rsid w:val="00DD1B85"/>
    <w:rsid w:val="00DE5122"/>
    <w:rsid w:val="00E00A73"/>
    <w:rsid w:val="00E128DA"/>
    <w:rsid w:val="00E17D5F"/>
    <w:rsid w:val="00E365FB"/>
    <w:rsid w:val="00E37CEE"/>
    <w:rsid w:val="00E566F9"/>
    <w:rsid w:val="00E608CA"/>
    <w:rsid w:val="00E672C3"/>
    <w:rsid w:val="00E806A9"/>
    <w:rsid w:val="00E913AE"/>
    <w:rsid w:val="00E93192"/>
    <w:rsid w:val="00E945E1"/>
    <w:rsid w:val="00EA138C"/>
    <w:rsid w:val="00EA6273"/>
    <w:rsid w:val="00EC31C3"/>
    <w:rsid w:val="00EC6D11"/>
    <w:rsid w:val="00F14863"/>
    <w:rsid w:val="00F15BE4"/>
    <w:rsid w:val="00F362DB"/>
    <w:rsid w:val="00F45F4C"/>
    <w:rsid w:val="00F604D4"/>
    <w:rsid w:val="00F75678"/>
    <w:rsid w:val="00F83ABD"/>
    <w:rsid w:val="00F86191"/>
    <w:rsid w:val="00F872FB"/>
    <w:rsid w:val="00F94916"/>
    <w:rsid w:val="00FA455D"/>
    <w:rsid w:val="00FA5B6B"/>
    <w:rsid w:val="00FB0CAE"/>
    <w:rsid w:val="00FB3D5E"/>
    <w:rsid w:val="00FD1D50"/>
    <w:rsid w:val="00FF1D37"/>
    <w:rsid w:val="00FF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BodyTextIndent">
    <w:name w:val="Body Text Indent"/>
    <w:basedOn w:val="Normal"/>
    <w:link w:val="BodyTextIndentChar"/>
    <w:pPr>
      <w:ind w:left="720" w:hanging="720"/>
    </w:pPr>
    <w:rPr>
      <w:szCs w:val="20"/>
    </w:rPr>
  </w:style>
  <w:style w:type="paragraph" w:styleId="BalloonText">
    <w:name w:val="Balloon Text"/>
    <w:basedOn w:val="Normal"/>
    <w:semiHidden/>
    <w:rsid w:val="00521204"/>
    <w:rPr>
      <w:rFonts w:ascii="Tahoma" w:hAnsi="Tahoma" w:cs="Tahoma"/>
      <w:sz w:val="16"/>
      <w:szCs w:val="16"/>
    </w:rPr>
  </w:style>
  <w:style w:type="table" w:styleId="TableGrid">
    <w:name w:val="Table Grid"/>
    <w:basedOn w:val="TableNormal"/>
    <w:rsid w:val="0099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5310"/>
    <w:rPr>
      <w:i/>
      <w:iCs/>
    </w:rPr>
  </w:style>
  <w:style w:type="character" w:styleId="Strong">
    <w:name w:val="Strong"/>
    <w:qFormat/>
    <w:rsid w:val="009D5310"/>
    <w:rPr>
      <w:b/>
      <w:bCs/>
    </w:rPr>
  </w:style>
  <w:style w:type="paragraph" w:customStyle="1" w:styleId="styleverdana11ptleftbefore5ptafter5pt">
    <w:name w:val="styleverdana11ptleftbefore5ptafter5pt"/>
    <w:basedOn w:val="Normal"/>
    <w:rsid w:val="005371A5"/>
    <w:pPr>
      <w:spacing w:before="100" w:beforeAutospacing="1" w:after="100" w:afterAutospacing="1"/>
    </w:pPr>
    <w:rPr>
      <w:lang w:eastAsia="en-GB"/>
    </w:rPr>
  </w:style>
  <w:style w:type="paragraph" w:customStyle="1" w:styleId="Default">
    <w:name w:val="Default"/>
    <w:rsid w:val="001A6B8F"/>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A6B8F"/>
    <w:pPr>
      <w:ind w:left="720"/>
    </w:pPr>
  </w:style>
  <w:style w:type="paragraph" w:styleId="ListParagraph">
    <w:name w:val="List Paragraph"/>
    <w:basedOn w:val="Normal"/>
    <w:uiPriority w:val="34"/>
    <w:qFormat/>
    <w:rsid w:val="00204E7B"/>
    <w:pPr>
      <w:ind w:left="720"/>
    </w:pPr>
    <w:rPr>
      <w:rFonts w:ascii="Calibri" w:eastAsia="Calibri" w:hAnsi="Calibri"/>
      <w:sz w:val="22"/>
      <w:szCs w:val="22"/>
    </w:rPr>
  </w:style>
  <w:style w:type="character" w:customStyle="1" w:styleId="BodyTextIndentChar">
    <w:name w:val="Body Text Indent Char"/>
    <w:link w:val="BodyTextIndent"/>
    <w:rsid w:val="00893E51"/>
    <w:rPr>
      <w:sz w:val="24"/>
      <w:lang w:eastAsia="en-US"/>
    </w:rPr>
  </w:style>
  <w:style w:type="paragraph" w:customStyle="1" w:styleId="CcList">
    <w:name w:val="Cc List"/>
    <w:basedOn w:val="Normal"/>
    <w:rsid w:val="00893E51"/>
    <w:pPr>
      <w:keepLines/>
      <w:spacing w:line="220" w:lineRule="atLeast"/>
      <w:ind w:left="360" w:hanging="360"/>
      <w:jc w:val="both"/>
    </w:pPr>
    <w:rPr>
      <w:rFonts w:ascii="Arial" w:hAnsi="Arial"/>
      <w:spacing w:val="-5"/>
      <w:sz w:val="20"/>
      <w:szCs w:val="20"/>
    </w:rPr>
  </w:style>
  <w:style w:type="character" w:customStyle="1" w:styleId="PlainTextChar">
    <w:name w:val="Plain Text Char"/>
    <w:link w:val="PlainText"/>
    <w:uiPriority w:val="99"/>
    <w:rsid w:val="0079627F"/>
    <w:rPr>
      <w:rFonts w:ascii="Courier New" w:hAnsi="Courier New" w:cs="Courier New"/>
      <w:lang w:eastAsia="en-US"/>
    </w:rPr>
  </w:style>
  <w:style w:type="paragraph" w:styleId="CommentText">
    <w:name w:val="annotation text"/>
    <w:basedOn w:val="Normal"/>
    <w:link w:val="CommentTextChar"/>
    <w:unhideWhenUsed/>
    <w:rsid w:val="00B32EF1"/>
    <w:rPr>
      <w:sz w:val="20"/>
      <w:szCs w:val="20"/>
    </w:rPr>
  </w:style>
  <w:style w:type="character" w:customStyle="1" w:styleId="CommentTextChar">
    <w:name w:val="Comment Text Char"/>
    <w:link w:val="CommentText"/>
    <w:rsid w:val="00B32EF1"/>
    <w:rPr>
      <w:lang w:eastAsia="en-US"/>
    </w:rPr>
  </w:style>
  <w:style w:type="character" w:styleId="CommentReference">
    <w:name w:val="annotation reference"/>
    <w:unhideWhenUsed/>
    <w:rsid w:val="00B32EF1"/>
    <w:rPr>
      <w:sz w:val="16"/>
      <w:szCs w:val="16"/>
    </w:rPr>
  </w:style>
  <w:style w:type="paragraph" w:styleId="CommentSubject">
    <w:name w:val="annotation subject"/>
    <w:basedOn w:val="CommentText"/>
    <w:next w:val="CommentText"/>
    <w:link w:val="CommentSubjectChar"/>
    <w:rsid w:val="00876C00"/>
    <w:rPr>
      <w:b/>
      <w:bCs/>
    </w:rPr>
  </w:style>
  <w:style w:type="character" w:customStyle="1" w:styleId="CommentSubjectChar">
    <w:name w:val="Comment Subject Char"/>
    <w:link w:val="CommentSubject"/>
    <w:rsid w:val="00876C0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szCs w:val="20"/>
    </w:rPr>
  </w:style>
  <w:style w:type="paragraph" w:styleId="Heading2">
    <w:name w:val="heading 2"/>
    <w:basedOn w:val="Normal"/>
    <w:next w:val="Normal"/>
    <w:qFormat/>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BodyTextIndent">
    <w:name w:val="Body Text Indent"/>
    <w:basedOn w:val="Normal"/>
    <w:link w:val="BodyTextIndentChar"/>
    <w:pPr>
      <w:ind w:left="720" w:hanging="720"/>
    </w:pPr>
    <w:rPr>
      <w:szCs w:val="20"/>
    </w:rPr>
  </w:style>
  <w:style w:type="paragraph" w:styleId="BalloonText">
    <w:name w:val="Balloon Text"/>
    <w:basedOn w:val="Normal"/>
    <w:semiHidden/>
    <w:rsid w:val="00521204"/>
    <w:rPr>
      <w:rFonts w:ascii="Tahoma" w:hAnsi="Tahoma" w:cs="Tahoma"/>
      <w:sz w:val="16"/>
      <w:szCs w:val="16"/>
    </w:rPr>
  </w:style>
  <w:style w:type="table" w:styleId="TableGrid">
    <w:name w:val="Table Grid"/>
    <w:basedOn w:val="TableNormal"/>
    <w:rsid w:val="0099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5310"/>
    <w:rPr>
      <w:i/>
      <w:iCs/>
    </w:rPr>
  </w:style>
  <w:style w:type="character" w:styleId="Strong">
    <w:name w:val="Strong"/>
    <w:qFormat/>
    <w:rsid w:val="009D5310"/>
    <w:rPr>
      <w:b/>
      <w:bCs/>
    </w:rPr>
  </w:style>
  <w:style w:type="paragraph" w:customStyle="1" w:styleId="styleverdana11ptleftbefore5ptafter5pt">
    <w:name w:val="styleverdana11ptleftbefore5ptafter5pt"/>
    <w:basedOn w:val="Normal"/>
    <w:rsid w:val="005371A5"/>
    <w:pPr>
      <w:spacing w:before="100" w:beforeAutospacing="1" w:after="100" w:afterAutospacing="1"/>
    </w:pPr>
    <w:rPr>
      <w:lang w:eastAsia="en-GB"/>
    </w:rPr>
  </w:style>
  <w:style w:type="paragraph" w:customStyle="1" w:styleId="Default">
    <w:name w:val="Default"/>
    <w:rsid w:val="001A6B8F"/>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A6B8F"/>
    <w:pPr>
      <w:ind w:left="720"/>
    </w:pPr>
  </w:style>
  <w:style w:type="paragraph" w:styleId="ListParagraph">
    <w:name w:val="List Paragraph"/>
    <w:basedOn w:val="Normal"/>
    <w:uiPriority w:val="34"/>
    <w:qFormat/>
    <w:rsid w:val="00204E7B"/>
    <w:pPr>
      <w:ind w:left="720"/>
    </w:pPr>
    <w:rPr>
      <w:rFonts w:ascii="Calibri" w:eastAsia="Calibri" w:hAnsi="Calibri"/>
      <w:sz w:val="22"/>
      <w:szCs w:val="22"/>
    </w:rPr>
  </w:style>
  <w:style w:type="character" w:customStyle="1" w:styleId="BodyTextIndentChar">
    <w:name w:val="Body Text Indent Char"/>
    <w:link w:val="BodyTextIndent"/>
    <w:rsid w:val="00893E51"/>
    <w:rPr>
      <w:sz w:val="24"/>
      <w:lang w:eastAsia="en-US"/>
    </w:rPr>
  </w:style>
  <w:style w:type="paragraph" w:customStyle="1" w:styleId="CcList">
    <w:name w:val="Cc List"/>
    <w:basedOn w:val="Normal"/>
    <w:rsid w:val="00893E51"/>
    <w:pPr>
      <w:keepLines/>
      <w:spacing w:line="220" w:lineRule="atLeast"/>
      <w:ind w:left="360" w:hanging="360"/>
      <w:jc w:val="both"/>
    </w:pPr>
    <w:rPr>
      <w:rFonts w:ascii="Arial" w:hAnsi="Arial"/>
      <w:spacing w:val="-5"/>
      <w:sz w:val="20"/>
      <w:szCs w:val="20"/>
    </w:rPr>
  </w:style>
  <w:style w:type="character" w:customStyle="1" w:styleId="PlainTextChar">
    <w:name w:val="Plain Text Char"/>
    <w:link w:val="PlainText"/>
    <w:uiPriority w:val="99"/>
    <w:rsid w:val="0079627F"/>
    <w:rPr>
      <w:rFonts w:ascii="Courier New" w:hAnsi="Courier New" w:cs="Courier New"/>
      <w:lang w:eastAsia="en-US"/>
    </w:rPr>
  </w:style>
  <w:style w:type="paragraph" w:styleId="CommentText">
    <w:name w:val="annotation text"/>
    <w:basedOn w:val="Normal"/>
    <w:link w:val="CommentTextChar"/>
    <w:unhideWhenUsed/>
    <w:rsid w:val="00B32EF1"/>
    <w:rPr>
      <w:sz w:val="20"/>
      <w:szCs w:val="20"/>
    </w:rPr>
  </w:style>
  <w:style w:type="character" w:customStyle="1" w:styleId="CommentTextChar">
    <w:name w:val="Comment Text Char"/>
    <w:link w:val="CommentText"/>
    <w:rsid w:val="00B32EF1"/>
    <w:rPr>
      <w:lang w:eastAsia="en-US"/>
    </w:rPr>
  </w:style>
  <w:style w:type="character" w:styleId="CommentReference">
    <w:name w:val="annotation reference"/>
    <w:unhideWhenUsed/>
    <w:rsid w:val="00B32EF1"/>
    <w:rPr>
      <w:sz w:val="16"/>
      <w:szCs w:val="16"/>
    </w:rPr>
  </w:style>
  <w:style w:type="paragraph" w:styleId="CommentSubject">
    <w:name w:val="annotation subject"/>
    <w:basedOn w:val="CommentText"/>
    <w:next w:val="CommentText"/>
    <w:link w:val="CommentSubjectChar"/>
    <w:rsid w:val="00876C00"/>
    <w:rPr>
      <w:b/>
      <w:bCs/>
    </w:rPr>
  </w:style>
  <w:style w:type="character" w:customStyle="1" w:styleId="CommentSubjectChar">
    <w:name w:val="Comment Subject Char"/>
    <w:link w:val="CommentSubject"/>
    <w:rsid w:val="00876C0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22479">
      <w:bodyDiv w:val="1"/>
      <w:marLeft w:val="0"/>
      <w:marRight w:val="0"/>
      <w:marTop w:val="0"/>
      <w:marBottom w:val="0"/>
      <w:divBdr>
        <w:top w:val="none" w:sz="0" w:space="0" w:color="auto"/>
        <w:left w:val="none" w:sz="0" w:space="0" w:color="auto"/>
        <w:bottom w:val="none" w:sz="0" w:space="0" w:color="auto"/>
        <w:right w:val="none" w:sz="0" w:space="0" w:color="auto"/>
      </w:divBdr>
    </w:div>
    <w:div w:id="76756273">
      <w:bodyDiv w:val="1"/>
      <w:marLeft w:val="0"/>
      <w:marRight w:val="0"/>
      <w:marTop w:val="0"/>
      <w:marBottom w:val="0"/>
      <w:divBdr>
        <w:top w:val="none" w:sz="0" w:space="0" w:color="auto"/>
        <w:left w:val="none" w:sz="0" w:space="0" w:color="auto"/>
        <w:bottom w:val="none" w:sz="0" w:space="0" w:color="auto"/>
        <w:right w:val="none" w:sz="0" w:space="0" w:color="auto"/>
      </w:divBdr>
    </w:div>
    <w:div w:id="135729162">
      <w:bodyDiv w:val="1"/>
      <w:marLeft w:val="0"/>
      <w:marRight w:val="0"/>
      <w:marTop w:val="0"/>
      <w:marBottom w:val="0"/>
      <w:divBdr>
        <w:top w:val="none" w:sz="0" w:space="0" w:color="auto"/>
        <w:left w:val="none" w:sz="0" w:space="0" w:color="auto"/>
        <w:bottom w:val="none" w:sz="0" w:space="0" w:color="auto"/>
        <w:right w:val="none" w:sz="0" w:space="0" w:color="auto"/>
      </w:divBdr>
    </w:div>
    <w:div w:id="419251503">
      <w:bodyDiv w:val="1"/>
      <w:marLeft w:val="0"/>
      <w:marRight w:val="0"/>
      <w:marTop w:val="0"/>
      <w:marBottom w:val="0"/>
      <w:divBdr>
        <w:top w:val="none" w:sz="0" w:space="0" w:color="auto"/>
        <w:left w:val="none" w:sz="0" w:space="0" w:color="auto"/>
        <w:bottom w:val="none" w:sz="0" w:space="0" w:color="auto"/>
        <w:right w:val="none" w:sz="0" w:space="0" w:color="auto"/>
      </w:divBdr>
    </w:div>
    <w:div w:id="549994072">
      <w:bodyDiv w:val="1"/>
      <w:marLeft w:val="0"/>
      <w:marRight w:val="0"/>
      <w:marTop w:val="0"/>
      <w:marBottom w:val="0"/>
      <w:divBdr>
        <w:top w:val="none" w:sz="0" w:space="0" w:color="auto"/>
        <w:left w:val="none" w:sz="0" w:space="0" w:color="auto"/>
        <w:bottom w:val="none" w:sz="0" w:space="0" w:color="auto"/>
        <w:right w:val="none" w:sz="0" w:space="0" w:color="auto"/>
      </w:divBdr>
    </w:div>
    <w:div w:id="658460394">
      <w:bodyDiv w:val="1"/>
      <w:marLeft w:val="0"/>
      <w:marRight w:val="0"/>
      <w:marTop w:val="0"/>
      <w:marBottom w:val="0"/>
      <w:divBdr>
        <w:top w:val="none" w:sz="0" w:space="0" w:color="auto"/>
        <w:left w:val="none" w:sz="0" w:space="0" w:color="auto"/>
        <w:bottom w:val="none" w:sz="0" w:space="0" w:color="auto"/>
        <w:right w:val="none" w:sz="0" w:space="0" w:color="auto"/>
      </w:divBdr>
    </w:div>
    <w:div w:id="762191964">
      <w:bodyDiv w:val="1"/>
      <w:marLeft w:val="0"/>
      <w:marRight w:val="0"/>
      <w:marTop w:val="0"/>
      <w:marBottom w:val="0"/>
      <w:divBdr>
        <w:top w:val="none" w:sz="0" w:space="0" w:color="auto"/>
        <w:left w:val="none" w:sz="0" w:space="0" w:color="auto"/>
        <w:bottom w:val="none" w:sz="0" w:space="0" w:color="auto"/>
        <w:right w:val="none" w:sz="0" w:space="0" w:color="auto"/>
      </w:divBdr>
    </w:div>
    <w:div w:id="779571830">
      <w:bodyDiv w:val="1"/>
      <w:marLeft w:val="0"/>
      <w:marRight w:val="0"/>
      <w:marTop w:val="0"/>
      <w:marBottom w:val="0"/>
      <w:divBdr>
        <w:top w:val="none" w:sz="0" w:space="0" w:color="auto"/>
        <w:left w:val="none" w:sz="0" w:space="0" w:color="auto"/>
        <w:bottom w:val="none" w:sz="0" w:space="0" w:color="auto"/>
        <w:right w:val="none" w:sz="0" w:space="0" w:color="auto"/>
      </w:divBdr>
    </w:div>
    <w:div w:id="780615304">
      <w:bodyDiv w:val="1"/>
      <w:marLeft w:val="0"/>
      <w:marRight w:val="0"/>
      <w:marTop w:val="0"/>
      <w:marBottom w:val="0"/>
      <w:divBdr>
        <w:top w:val="none" w:sz="0" w:space="0" w:color="auto"/>
        <w:left w:val="none" w:sz="0" w:space="0" w:color="auto"/>
        <w:bottom w:val="none" w:sz="0" w:space="0" w:color="auto"/>
        <w:right w:val="none" w:sz="0" w:space="0" w:color="auto"/>
      </w:divBdr>
    </w:div>
    <w:div w:id="895819392">
      <w:bodyDiv w:val="1"/>
      <w:marLeft w:val="0"/>
      <w:marRight w:val="0"/>
      <w:marTop w:val="0"/>
      <w:marBottom w:val="0"/>
      <w:divBdr>
        <w:top w:val="none" w:sz="0" w:space="0" w:color="auto"/>
        <w:left w:val="none" w:sz="0" w:space="0" w:color="auto"/>
        <w:bottom w:val="none" w:sz="0" w:space="0" w:color="auto"/>
        <w:right w:val="none" w:sz="0" w:space="0" w:color="auto"/>
      </w:divBdr>
    </w:div>
    <w:div w:id="939097127">
      <w:bodyDiv w:val="1"/>
      <w:marLeft w:val="0"/>
      <w:marRight w:val="0"/>
      <w:marTop w:val="0"/>
      <w:marBottom w:val="0"/>
      <w:divBdr>
        <w:top w:val="none" w:sz="0" w:space="0" w:color="auto"/>
        <w:left w:val="none" w:sz="0" w:space="0" w:color="auto"/>
        <w:bottom w:val="none" w:sz="0" w:space="0" w:color="auto"/>
        <w:right w:val="none" w:sz="0" w:space="0" w:color="auto"/>
      </w:divBdr>
    </w:div>
    <w:div w:id="1066102597">
      <w:bodyDiv w:val="1"/>
      <w:marLeft w:val="0"/>
      <w:marRight w:val="0"/>
      <w:marTop w:val="0"/>
      <w:marBottom w:val="0"/>
      <w:divBdr>
        <w:top w:val="none" w:sz="0" w:space="0" w:color="auto"/>
        <w:left w:val="none" w:sz="0" w:space="0" w:color="auto"/>
        <w:bottom w:val="none" w:sz="0" w:space="0" w:color="auto"/>
        <w:right w:val="none" w:sz="0" w:space="0" w:color="auto"/>
      </w:divBdr>
    </w:div>
    <w:div w:id="1164319969">
      <w:bodyDiv w:val="1"/>
      <w:marLeft w:val="0"/>
      <w:marRight w:val="0"/>
      <w:marTop w:val="0"/>
      <w:marBottom w:val="0"/>
      <w:divBdr>
        <w:top w:val="none" w:sz="0" w:space="0" w:color="auto"/>
        <w:left w:val="none" w:sz="0" w:space="0" w:color="auto"/>
        <w:bottom w:val="none" w:sz="0" w:space="0" w:color="auto"/>
        <w:right w:val="none" w:sz="0" w:space="0" w:color="auto"/>
      </w:divBdr>
    </w:div>
    <w:div w:id="1201747207">
      <w:bodyDiv w:val="1"/>
      <w:marLeft w:val="0"/>
      <w:marRight w:val="0"/>
      <w:marTop w:val="0"/>
      <w:marBottom w:val="0"/>
      <w:divBdr>
        <w:top w:val="none" w:sz="0" w:space="0" w:color="auto"/>
        <w:left w:val="none" w:sz="0" w:space="0" w:color="auto"/>
        <w:bottom w:val="none" w:sz="0" w:space="0" w:color="auto"/>
        <w:right w:val="none" w:sz="0" w:space="0" w:color="auto"/>
      </w:divBdr>
    </w:div>
    <w:div w:id="1291085933">
      <w:bodyDiv w:val="1"/>
      <w:marLeft w:val="0"/>
      <w:marRight w:val="0"/>
      <w:marTop w:val="0"/>
      <w:marBottom w:val="0"/>
      <w:divBdr>
        <w:top w:val="none" w:sz="0" w:space="0" w:color="auto"/>
        <w:left w:val="none" w:sz="0" w:space="0" w:color="auto"/>
        <w:bottom w:val="none" w:sz="0" w:space="0" w:color="auto"/>
        <w:right w:val="none" w:sz="0" w:space="0" w:color="auto"/>
      </w:divBdr>
    </w:div>
    <w:div w:id="1740326396">
      <w:bodyDiv w:val="1"/>
      <w:marLeft w:val="0"/>
      <w:marRight w:val="0"/>
      <w:marTop w:val="0"/>
      <w:marBottom w:val="0"/>
      <w:divBdr>
        <w:top w:val="none" w:sz="0" w:space="0" w:color="auto"/>
        <w:left w:val="none" w:sz="0" w:space="0" w:color="auto"/>
        <w:bottom w:val="none" w:sz="0" w:space="0" w:color="auto"/>
        <w:right w:val="none" w:sz="0" w:space="0" w:color="auto"/>
      </w:divBdr>
    </w:div>
    <w:div w:id="1866626243">
      <w:bodyDiv w:val="1"/>
      <w:marLeft w:val="0"/>
      <w:marRight w:val="0"/>
      <w:marTop w:val="0"/>
      <w:marBottom w:val="0"/>
      <w:divBdr>
        <w:top w:val="none" w:sz="0" w:space="0" w:color="auto"/>
        <w:left w:val="none" w:sz="0" w:space="0" w:color="auto"/>
        <w:bottom w:val="none" w:sz="0" w:space="0" w:color="auto"/>
        <w:right w:val="none" w:sz="0" w:space="0" w:color="auto"/>
      </w:divBdr>
    </w:div>
    <w:div w:id="1874491193">
      <w:bodyDiv w:val="1"/>
      <w:marLeft w:val="0"/>
      <w:marRight w:val="0"/>
      <w:marTop w:val="0"/>
      <w:marBottom w:val="0"/>
      <w:divBdr>
        <w:top w:val="none" w:sz="0" w:space="0" w:color="auto"/>
        <w:left w:val="none" w:sz="0" w:space="0" w:color="auto"/>
        <w:bottom w:val="none" w:sz="0" w:space="0" w:color="auto"/>
        <w:right w:val="none" w:sz="0" w:space="0" w:color="auto"/>
      </w:divBdr>
    </w:div>
    <w:div w:id="1941646772">
      <w:bodyDiv w:val="1"/>
      <w:marLeft w:val="0"/>
      <w:marRight w:val="0"/>
      <w:marTop w:val="0"/>
      <w:marBottom w:val="0"/>
      <w:divBdr>
        <w:top w:val="none" w:sz="0" w:space="0" w:color="auto"/>
        <w:left w:val="none" w:sz="0" w:space="0" w:color="auto"/>
        <w:bottom w:val="none" w:sz="0" w:space="0" w:color="auto"/>
        <w:right w:val="none" w:sz="0" w:space="0" w:color="auto"/>
      </w:divBdr>
    </w:div>
    <w:div w:id="1968972402">
      <w:bodyDiv w:val="1"/>
      <w:marLeft w:val="0"/>
      <w:marRight w:val="0"/>
      <w:marTop w:val="0"/>
      <w:marBottom w:val="0"/>
      <w:divBdr>
        <w:top w:val="none" w:sz="0" w:space="0" w:color="auto"/>
        <w:left w:val="none" w:sz="0" w:space="0" w:color="auto"/>
        <w:bottom w:val="none" w:sz="0" w:space="0" w:color="auto"/>
        <w:right w:val="none" w:sz="0" w:space="0" w:color="auto"/>
      </w:divBdr>
    </w:div>
    <w:div w:id="197698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E5F4-4342-424F-BBDE-D7331833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3324</Words>
  <Characters>18299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Committee Report -  Main Body Of Document</vt:lpstr>
    </vt:vector>
  </TitlesOfParts>
  <Company>London Borough of Camden</Company>
  <LinksUpToDate>false</LinksUpToDate>
  <CharactersWithSpaces>21580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 -  Main Body Of Document</dc:title>
  <dc:creator>envsg04</dc:creator>
  <cp:lastModifiedBy>Beaumont, Elizabeth</cp:lastModifiedBy>
  <cp:revision>4</cp:revision>
  <cp:lastPrinted>2007-04-13T15:37:00Z</cp:lastPrinted>
  <dcterms:created xsi:type="dcterms:W3CDTF">2016-05-19T11:41:00Z</dcterms:created>
  <dcterms:modified xsi:type="dcterms:W3CDTF">2016-05-19T15:56:00Z</dcterms:modified>
</cp:coreProperties>
</file>