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DE" w:rsidRPr="00A959C2" w:rsidRDefault="00E966DE" w:rsidP="00E966DE">
      <w:pPr>
        <w:pStyle w:val="NoSpacing"/>
      </w:pPr>
      <w:r w:rsidRPr="00A959C2">
        <w:t xml:space="preserve">Raymond </w:t>
      </w:r>
      <w:proofErr w:type="spellStart"/>
      <w:r w:rsidRPr="00A959C2">
        <w:t>Yeung</w:t>
      </w:r>
      <w:proofErr w:type="spellEnd"/>
    </w:p>
    <w:p w:rsidR="00E966DE" w:rsidRPr="00A959C2" w:rsidRDefault="00E966DE" w:rsidP="00E966DE">
      <w:pPr>
        <w:pStyle w:val="NoSpacing"/>
      </w:pPr>
      <w:r w:rsidRPr="00A959C2">
        <w:t>Planning Officer</w:t>
      </w:r>
    </w:p>
    <w:p w:rsidR="00E966DE" w:rsidRPr="00A959C2" w:rsidRDefault="00E966DE" w:rsidP="00E966DE">
      <w:pPr>
        <w:pStyle w:val="NoSpacing"/>
      </w:pPr>
      <w:r w:rsidRPr="00A959C2">
        <w:t>Planning Department</w:t>
      </w:r>
    </w:p>
    <w:p w:rsidR="00E966DE" w:rsidRPr="00A959C2" w:rsidRDefault="00E966DE" w:rsidP="00E966DE">
      <w:pPr>
        <w:pStyle w:val="NoSpacing"/>
      </w:pPr>
      <w:r w:rsidRPr="00A959C2">
        <w:t>London Borough of Camden</w:t>
      </w:r>
    </w:p>
    <w:p w:rsidR="00E966DE" w:rsidRPr="00A959C2" w:rsidRDefault="00E966DE" w:rsidP="00E966DE">
      <w:pPr>
        <w:pStyle w:val="NoSpacing"/>
      </w:pPr>
    </w:p>
    <w:p w:rsidR="00E966DE" w:rsidRPr="00A959C2" w:rsidRDefault="00E966DE" w:rsidP="00E966DE">
      <w:pPr>
        <w:pStyle w:val="NoSpacing"/>
      </w:pPr>
      <w:r w:rsidRPr="00A959C2">
        <w:t>23</w:t>
      </w:r>
      <w:r w:rsidRPr="00A959C2">
        <w:rPr>
          <w:vertAlign w:val="superscript"/>
        </w:rPr>
        <w:t>rd</w:t>
      </w:r>
      <w:r w:rsidRPr="00A959C2">
        <w:t xml:space="preserve"> December 2015</w:t>
      </w:r>
    </w:p>
    <w:p w:rsidR="00E966DE" w:rsidRPr="00A959C2" w:rsidRDefault="00E966DE" w:rsidP="00E966DE">
      <w:pPr>
        <w:pStyle w:val="NoSpacing"/>
      </w:pPr>
    </w:p>
    <w:p w:rsidR="00E966DE" w:rsidRPr="00A959C2" w:rsidRDefault="00E966DE" w:rsidP="00E966DE">
      <w:pPr>
        <w:pStyle w:val="NoSpacing"/>
      </w:pPr>
    </w:p>
    <w:p w:rsidR="00E966DE" w:rsidRPr="00A959C2" w:rsidRDefault="00E966DE" w:rsidP="00E966DE">
      <w:pPr>
        <w:pStyle w:val="NoSpacing"/>
      </w:pPr>
      <w:r w:rsidRPr="00A959C2">
        <w:t xml:space="preserve">Dear Mr </w:t>
      </w:r>
      <w:proofErr w:type="spellStart"/>
      <w:r w:rsidRPr="00A959C2">
        <w:t>Yeung</w:t>
      </w:r>
      <w:proofErr w:type="spellEnd"/>
      <w:r w:rsidRPr="00A959C2">
        <w:t>,</w:t>
      </w:r>
    </w:p>
    <w:p w:rsidR="00E966DE" w:rsidRPr="00A959C2" w:rsidRDefault="00E966DE" w:rsidP="00E966DE">
      <w:pPr>
        <w:pStyle w:val="NoSpacing"/>
      </w:pPr>
    </w:p>
    <w:p w:rsidR="00E966DE" w:rsidRPr="00A959C2" w:rsidRDefault="00E966DE" w:rsidP="00E966DE">
      <w:pPr>
        <w:pStyle w:val="NoSpacing"/>
        <w:rPr>
          <w:b/>
          <w:u w:val="single"/>
        </w:rPr>
      </w:pPr>
      <w:r w:rsidRPr="00A959C2">
        <w:rPr>
          <w:b/>
          <w:u w:val="single"/>
        </w:rPr>
        <w:t>Planning Application 2015/7208/P: 24 Quadrant Grove London NW5</w:t>
      </w:r>
    </w:p>
    <w:p w:rsidR="00E966DE" w:rsidRPr="00A959C2" w:rsidRDefault="00E966DE" w:rsidP="00E966DE">
      <w:pPr>
        <w:pStyle w:val="NoSpacing"/>
        <w:rPr>
          <w:b/>
          <w:u w:val="single"/>
        </w:rPr>
      </w:pPr>
    </w:p>
    <w:p w:rsidR="00E966DE" w:rsidRPr="00A959C2" w:rsidRDefault="00E966DE" w:rsidP="00E966DE">
      <w:pPr>
        <w:pStyle w:val="NoSpacing"/>
      </w:pPr>
      <w:r w:rsidRPr="00A959C2">
        <w:t xml:space="preserve">My attention has been drawn to a renewed application </w:t>
      </w:r>
      <w:r w:rsidR="00F43EDA" w:rsidRPr="00A959C2">
        <w:t xml:space="preserve">by or on behalf of the occupants of 24 Quadrant Grove London NW5 </w:t>
      </w:r>
      <w:r w:rsidRPr="00A959C2">
        <w:t xml:space="preserve">for a Certificate </w:t>
      </w:r>
      <w:r w:rsidR="00023EFA">
        <w:t xml:space="preserve">of </w:t>
      </w:r>
      <w:r w:rsidRPr="00A959C2">
        <w:t xml:space="preserve">Permitted Development </w:t>
      </w:r>
      <w:r w:rsidR="00F43EDA" w:rsidRPr="00A959C2">
        <w:t>for the construction of a basement. It would appear that the application was registered today and was posted on Camden’s p</w:t>
      </w:r>
      <w:r w:rsidR="00FA1E96" w:rsidRPr="00A959C2">
        <w:t>lanning website this afternoon, and that you are the planning officer dealing with the matter. The Quadrant Grove Resident</w:t>
      </w:r>
      <w:r w:rsidR="00023EFA">
        <w:t>s Association</w:t>
      </w:r>
      <w:r w:rsidR="00FA1E96" w:rsidRPr="00A959C2">
        <w:t xml:space="preserve"> wishes to raise the strongest possible objections to this applicat</w:t>
      </w:r>
      <w:r w:rsidR="00693E18">
        <w:t xml:space="preserve">ion and for reasons upon which I shall elaborate, invite you to refer the matter to Camden’s Development Control Committee </w:t>
      </w:r>
      <w:r w:rsidR="006A16E6">
        <w:t xml:space="preserve">[‘DCC’] </w:t>
      </w:r>
      <w:r w:rsidR="00693E18">
        <w:t>for its decision, or alternatively to refuse it. The Grounds of Objection are set out below paragraph 21 below.</w:t>
      </w:r>
    </w:p>
    <w:p w:rsidR="00F43EDA" w:rsidRPr="00A959C2" w:rsidRDefault="00F43EDA" w:rsidP="00E966DE">
      <w:pPr>
        <w:pStyle w:val="NoSpacing"/>
      </w:pPr>
    </w:p>
    <w:p w:rsidR="00F43EDA" w:rsidRPr="00A959C2" w:rsidRDefault="00A959C2" w:rsidP="00E966DE">
      <w:pPr>
        <w:pStyle w:val="NoSpacing"/>
      </w:pPr>
      <w:r>
        <w:t>You may be familiar with the</w:t>
      </w:r>
      <w:r w:rsidR="003D470C" w:rsidRPr="00A959C2">
        <w:t xml:space="preserve"> hist</w:t>
      </w:r>
      <w:r>
        <w:t>ory of this matter, but I summarise it below for your convenience</w:t>
      </w:r>
      <w:r w:rsidR="00F43EDA" w:rsidRPr="00A959C2">
        <w:t>:</w:t>
      </w:r>
    </w:p>
    <w:p w:rsidR="00F43EDA" w:rsidRPr="00A959C2" w:rsidRDefault="00F43EDA" w:rsidP="00E966DE">
      <w:pPr>
        <w:pStyle w:val="NoSpacing"/>
      </w:pPr>
    </w:p>
    <w:p w:rsidR="00693E18" w:rsidRDefault="00693E18" w:rsidP="00F43EDA">
      <w:pPr>
        <w:rPr>
          <w:u w:val="single"/>
        </w:rPr>
      </w:pPr>
      <w:r>
        <w:rPr>
          <w:u w:val="single"/>
        </w:rPr>
        <w:t>Chronology</w:t>
      </w:r>
    </w:p>
    <w:p w:rsidR="00F43EDA" w:rsidRPr="00A959C2" w:rsidRDefault="008B3163" w:rsidP="00F43EDA">
      <w:r w:rsidRPr="00A959C2">
        <w:t>1.</w:t>
      </w:r>
      <w:r w:rsidR="00F43EDA" w:rsidRPr="00A959C2">
        <w:t xml:space="preserve"> In Late</w:t>
      </w:r>
      <w:r w:rsidR="00693E18">
        <w:t xml:space="preserve"> 2013, Mr </w:t>
      </w:r>
      <w:r w:rsidR="00A959C2">
        <w:t>James Ireland (‘the Applicant</w:t>
      </w:r>
      <w:r w:rsidR="00F43EDA" w:rsidRPr="00A959C2">
        <w:t>’)</w:t>
      </w:r>
      <w:r w:rsidR="003D470C" w:rsidRPr="00A959C2">
        <w:t xml:space="preserve"> </w:t>
      </w:r>
      <w:r w:rsidR="00F43EDA" w:rsidRPr="00A959C2">
        <w:t xml:space="preserve">applied to </w:t>
      </w:r>
      <w:r w:rsidR="00693E18">
        <w:t xml:space="preserve">Camden for planning permission </w:t>
      </w:r>
      <w:r w:rsidR="00F43EDA" w:rsidRPr="00A959C2">
        <w:t xml:space="preserve">to </w:t>
      </w:r>
      <w:r w:rsidR="00A959C2">
        <w:t>construct a basement under his</w:t>
      </w:r>
      <w:r w:rsidR="00F43EDA" w:rsidRPr="00A959C2">
        <w:t xml:space="preserve"> small terrace house at 24 Quadrant Grove. The application was supported by a civil engineer’s report.</w:t>
      </w:r>
    </w:p>
    <w:p w:rsidR="00F43EDA" w:rsidRPr="00A959C2" w:rsidRDefault="00F43EDA" w:rsidP="00F43EDA">
      <w:r w:rsidRPr="00A959C2">
        <w:t xml:space="preserve"> </w:t>
      </w:r>
      <w:r w:rsidR="008B3163" w:rsidRPr="00A959C2">
        <w:t xml:space="preserve">2. </w:t>
      </w:r>
      <w:r w:rsidRPr="00A959C2">
        <w:t>In March 2014 the application was withdrawn after civil engineers appointed by Camden questioned the qualifications of the applicant’s engineers and identified a number of problems with the proposed construction.</w:t>
      </w:r>
    </w:p>
    <w:p w:rsidR="00F43EDA" w:rsidRPr="00A959C2" w:rsidRDefault="008B3163" w:rsidP="00F43EDA">
      <w:r w:rsidRPr="00A959C2">
        <w:t xml:space="preserve">3. </w:t>
      </w:r>
      <w:r w:rsidR="00A959C2">
        <w:t>The applicant</w:t>
      </w:r>
      <w:r w:rsidR="00F43EDA" w:rsidRPr="00A959C2">
        <w:t xml:space="preserve"> then applied to Camden Council Planning Department for a lawful development certificate confirming that the</w:t>
      </w:r>
      <w:r w:rsidR="00A959C2">
        <w:t xml:space="preserve"> addition of a basement to his</w:t>
      </w:r>
      <w:r w:rsidR="00F43EDA" w:rsidRPr="00A959C2">
        <w:t xml:space="preserve"> property would be ‘permitted development’ falling within the provisions of the Town and Country Planning (General Permitted Development) Order 1995, and so would not require a separate grant of planning permission. </w:t>
      </w:r>
    </w:p>
    <w:p w:rsidR="00F43EDA" w:rsidRPr="00A959C2" w:rsidRDefault="006B515C" w:rsidP="00F43EDA">
      <w:r w:rsidRPr="00A959C2">
        <w:t xml:space="preserve">4. </w:t>
      </w:r>
      <w:r w:rsidR="00F43EDA" w:rsidRPr="00A959C2">
        <w:t xml:space="preserve">The </w:t>
      </w:r>
      <w:r w:rsidR="003D470C" w:rsidRPr="00A959C2">
        <w:t xml:space="preserve">Quadrant Grove Residents </w:t>
      </w:r>
      <w:r w:rsidR="00F43EDA" w:rsidRPr="00A959C2">
        <w:t>Association, which I chair, opposed the application, and relied on an Opinion obtained from Gwion Lewis of Landmark Chambers</w:t>
      </w:r>
      <w:r w:rsidR="003D470C" w:rsidRPr="00A959C2">
        <w:t xml:space="preserve"> dated 21</w:t>
      </w:r>
      <w:r w:rsidR="003D470C" w:rsidRPr="00A959C2">
        <w:rPr>
          <w:vertAlign w:val="superscript"/>
        </w:rPr>
        <w:t>st</w:t>
      </w:r>
      <w:r w:rsidR="003D470C" w:rsidRPr="00A959C2">
        <w:t xml:space="preserve"> May 2014</w:t>
      </w:r>
      <w:r w:rsidR="00F43EDA" w:rsidRPr="00A959C2">
        <w:t>, who advised that, as a matter of fact and degree, the proposed development involved an “engineering” operation of a scale and complexity which required a separate grant of planning permission and would exceed the scope of (and hence fall outside) of any development right outlined in the GPDO 1995. The Association’s arguments were also supported by the views of a geotechnica</w:t>
      </w:r>
      <w:r w:rsidR="00023EFA">
        <w:t>l engineer Tim Chapman,</w:t>
      </w:r>
      <w:r w:rsidR="00F43EDA" w:rsidRPr="00A959C2">
        <w:t xml:space="preserve"> Director of </w:t>
      </w:r>
      <w:proofErr w:type="spellStart"/>
      <w:r w:rsidR="00F43EDA" w:rsidRPr="00A959C2">
        <w:t>Ove</w:t>
      </w:r>
      <w:proofErr w:type="spellEnd"/>
      <w:r w:rsidR="00F43EDA" w:rsidRPr="00A959C2">
        <w:t xml:space="preserve"> Arup and a recently elected Fellow of the Royal Academy of Engineering.</w:t>
      </w:r>
    </w:p>
    <w:p w:rsidR="00F43EDA" w:rsidRPr="00A959C2" w:rsidRDefault="006B515C" w:rsidP="00F43EDA">
      <w:r w:rsidRPr="00A959C2">
        <w:t xml:space="preserve">5. </w:t>
      </w:r>
      <w:r w:rsidR="00F43EDA" w:rsidRPr="00A959C2">
        <w:t>Despite this, on 15</w:t>
      </w:r>
      <w:r w:rsidR="00F43EDA" w:rsidRPr="00A959C2">
        <w:rPr>
          <w:vertAlign w:val="superscript"/>
        </w:rPr>
        <w:t>th</w:t>
      </w:r>
      <w:r w:rsidR="00F43EDA" w:rsidRPr="00A959C2">
        <w:t xml:space="preserve"> August 2014 Camden’s planning officers concluded that the proposed work did come within the Permitted Development scheme, and recommended that a</w:t>
      </w:r>
      <w:r w:rsidR="003D470C" w:rsidRPr="00A959C2">
        <w:t xml:space="preserve"> l</w:t>
      </w:r>
      <w:r w:rsidR="00F43EDA" w:rsidRPr="00A959C2">
        <w:t xml:space="preserve">awful development certificate should be granted. They maintained that their views were based on an opinion from </w:t>
      </w:r>
      <w:r w:rsidR="00F43EDA" w:rsidRPr="00A959C2">
        <w:lastRenderedPageBreak/>
        <w:t>anoth</w:t>
      </w:r>
      <w:r w:rsidR="00693E18">
        <w:t>er planning barrister, Mark Beard of 6 Pump Court</w:t>
      </w:r>
      <w:r w:rsidR="00F43EDA" w:rsidRPr="00A959C2">
        <w:t xml:space="preserve">, but they refused </w:t>
      </w:r>
      <w:r w:rsidR="003D470C" w:rsidRPr="00A959C2">
        <w:t xml:space="preserve">(and continue to refuse) </w:t>
      </w:r>
      <w:r w:rsidR="00F43EDA" w:rsidRPr="00A959C2">
        <w:t>to disclose it, claiming legal professional privilege.</w:t>
      </w:r>
    </w:p>
    <w:p w:rsidR="003D470C" w:rsidRPr="00A959C2" w:rsidRDefault="006B515C" w:rsidP="00F43EDA">
      <w:r w:rsidRPr="00A959C2">
        <w:t xml:space="preserve">6. </w:t>
      </w:r>
      <w:r w:rsidR="00F43EDA" w:rsidRPr="00A959C2">
        <w:t xml:space="preserve">The application was duly referred to a Members Briefing which (somewhat unusually) decided to refer the </w:t>
      </w:r>
      <w:r w:rsidR="006A16E6">
        <w:t>matter to the DCC</w:t>
      </w:r>
      <w:r w:rsidR="00F43EDA" w:rsidRPr="00A959C2">
        <w:t>.</w:t>
      </w:r>
    </w:p>
    <w:p w:rsidR="003D470C" w:rsidRPr="00A959C2" w:rsidRDefault="00F43EDA" w:rsidP="00F43EDA">
      <w:r w:rsidRPr="00A959C2">
        <w:t xml:space="preserve"> </w:t>
      </w:r>
      <w:r w:rsidR="006B515C" w:rsidRPr="00A959C2">
        <w:t xml:space="preserve">7. </w:t>
      </w:r>
      <w:r w:rsidRPr="00A959C2">
        <w:t xml:space="preserve">On </w:t>
      </w:r>
      <w:r w:rsidR="003D470C" w:rsidRPr="00A959C2">
        <w:t>13</w:t>
      </w:r>
      <w:r w:rsidR="003D470C" w:rsidRPr="00A959C2">
        <w:rPr>
          <w:vertAlign w:val="superscript"/>
        </w:rPr>
        <w:t>th</w:t>
      </w:r>
      <w:r w:rsidR="003D470C" w:rsidRPr="00A959C2">
        <w:t xml:space="preserve"> November</w:t>
      </w:r>
      <w:r w:rsidRPr="00A959C2">
        <w:t xml:space="preserve"> 2014, at a well attended hearing in the Town Hall, the DCC, by a majority, </w:t>
      </w:r>
      <w:r w:rsidR="006048F4" w:rsidRPr="00A959C2">
        <w:t>rejected the argume</w:t>
      </w:r>
      <w:r w:rsidR="00EA7287" w:rsidRPr="00A959C2">
        <w:t>nts of the planning officer,</w:t>
      </w:r>
      <w:r w:rsidR="006048F4" w:rsidRPr="00A959C2">
        <w:t xml:space="preserve"> their Counsel Mark Beard, </w:t>
      </w:r>
      <w:r w:rsidR="00693E18">
        <w:t>and Planning Consultant</w:t>
      </w:r>
      <w:r w:rsidR="00EA7287" w:rsidRPr="00A959C2">
        <w:t xml:space="preserve"> Ian </w:t>
      </w:r>
      <w:proofErr w:type="spellStart"/>
      <w:r w:rsidR="00EA7287" w:rsidRPr="00A959C2">
        <w:t>Trehearne</w:t>
      </w:r>
      <w:proofErr w:type="spellEnd"/>
      <w:r w:rsidR="00EA7287" w:rsidRPr="00A959C2">
        <w:t xml:space="preserve"> on behalf of the app</w:t>
      </w:r>
      <w:r w:rsidR="00A959C2">
        <w:t>licant</w:t>
      </w:r>
      <w:r w:rsidR="00EA7287" w:rsidRPr="00A959C2">
        <w:t xml:space="preserve">, </w:t>
      </w:r>
      <w:r w:rsidR="006048F4" w:rsidRPr="00A959C2">
        <w:t xml:space="preserve">and </w:t>
      </w:r>
      <w:r w:rsidRPr="00A959C2">
        <w:t xml:space="preserve">refused to approve Permitted Development. </w:t>
      </w:r>
    </w:p>
    <w:p w:rsidR="00F43EDA" w:rsidRPr="00A959C2" w:rsidRDefault="006B515C" w:rsidP="00F43EDA">
      <w:r w:rsidRPr="00A959C2">
        <w:t xml:space="preserve">8. </w:t>
      </w:r>
      <w:r w:rsidR="00F43EDA" w:rsidRPr="00A959C2">
        <w:t xml:space="preserve"> On 15</w:t>
      </w:r>
      <w:r w:rsidR="00F43EDA" w:rsidRPr="00A959C2">
        <w:rPr>
          <w:vertAlign w:val="superscript"/>
        </w:rPr>
        <w:t>th</w:t>
      </w:r>
      <w:r w:rsidR="00A959C2">
        <w:t xml:space="preserve"> May 2015, the applicant </w:t>
      </w:r>
      <w:r w:rsidR="00F43EDA" w:rsidRPr="00A959C2">
        <w:t>lodged an appeal to the Planning Inspectorate against Camden’s decision.</w:t>
      </w:r>
      <w:r w:rsidR="003D470C" w:rsidRPr="00A959C2">
        <w:t xml:space="preserve"> It would appear that </w:t>
      </w:r>
      <w:r w:rsidR="00A959C2">
        <w:t xml:space="preserve">at that time </w:t>
      </w:r>
      <w:r w:rsidR="00EA7287" w:rsidRPr="00A959C2">
        <w:t>t</w:t>
      </w:r>
      <w:r w:rsidR="00F43EDA" w:rsidRPr="00A959C2">
        <w:t>he Council’s Pl</w:t>
      </w:r>
      <w:r w:rsidR="003D470C" w:rsidRPr="00A959C2">
        <w:t>anning Officers were</w:t>
      </w:r>
      <w:r w:rsidR="00F43EDA" w:rsidRPr="00A959C2">
        <w:t xml:space="preserve"> proposing to </w:t>
      </w:r>
      <w:r w:rsidR="00A959C2">
        <w:t xml:space="preserve">oppose the appeal. In doing so, the Council would necessarily have had </w:t>
      </w:r>
      <w:r w:rsidR="00023EFA">
        <w:t xml:space="preserve">to </w:t>
      </w:r>
      <w:r w:rsidR="00F43EDA" w:rsidRPr="00A959C2">
        <w:t>adopt the Association’</w:t>
      </w:r>
      <w:r w:rsidR="003D470C" w:rsidRPr="00A959C2">
        <w:t>s arguments and would have sought</w:t>
      </w:r>
      <w:r w:rsidR="00F43EDA" w:rsidRPr="00A959C2">
        <w:t xml:space="preserve"> to rely on the opinion of Gwion Lewis</w:t>
      </w:r>
      <w:r w:rsidR="00E0279C" w:rsidRPr="00A959C2">
        <w:t xml:space="preserve"> in support</w:t>
      </w:r>
      <w:r w:rsidR="00A959C2">
        <w:t xml:space="preserve"> of its position</w:t>
      </w:r>
      <w:r w:rsidR="00F43EDA" w:rsidRPr="00A959C2">
        <w:t>.</w:t>
      </w:r>
    </w:p>
    <w:p w:rsidR="009462E5" w:rsidRPr="00A959C2" w:rsidRDefault="006B515C" w:rsidP="00F43EDA">
      <w:r w:rsidRPr="00A959C2">
        <w:t xml:space="preserve">9. </w:t>
      </w:r>
      <w:r w:rsidR="00B6690D" w:rsidRPr="00A959C2">
        <w:t>Followin</w:t>
      </w:r>
      <w:r w:rsidR="00A959C2">
        <w:t xml:space="preserve">g the High Court decision of Mrs Justice Patterson </w:t>
      </w:r>
      <w:r w:rsidR="00B6690D" w:rsidRPr="00A959C2">
        <w:t xml:space="preserve">in </w:t>
      </w:r>
      <w:r w:rsidR="00B6690D" w:rsidRPr="00A959C2">
        <w:rPr>
          <w:i/>
        </w:rPr>
        <w:t xml:space="preserve">RBKC v Secretary of State for Communities and Local Government </w:t>
      </w:r>
      <w:r w:rsidR="00B6690D" w:rsidRPr="00A959C2">
        <w:rPr>
          <w:rStyle w:val="FootnoteReference"/>
          <w:i/>
        </w:rPr>
        <w:footnoteReference w:id="1"/>
      </w:r>
      <w:r w:rsidR="00516334">
        <w:t xml:space="preserve">, delivered ex tempore </w:t>
      </w:r>
      <w:r w:rsidR="00B6690D" w:rsidRPr="00A959C2">
        <w:t>on 17</w:t>
      </w:r>
      <w:r w:rsidR="00B6690D" w:rsidRPr="00A959C2">
        <w:rPr>
          <w:vertAlign w:val="superscript"/>
        </w:rPr>
        <w:t>th</w:t>
      </w:r>
      <w:r w:rsidR="00B6690D" w:rsidRPr="00A959C2">
        <w:t xml:space="preserve"> June 2015</w:t>
      </w:r>
      <w:r w:rsidR="00516334">
        <w:t xml:space="preserve"> but published at some time during July</w:t>
      </w:r>
      <w:r w:rsidR="003125F2" w:rsidRPr="00A959C2">
        <w:t xml:space="preserve">, </w:t>
      </w:r>
      <w:r w:rsidR="007946A3" w:rsidRPr="00A959C2">
        <w:t xml:space="preserve">and a Planning Inspectorate decision in respect of 20 </w:t>
      </w:r>
      <w:proofErr w:type="spellStart"/>
      <w:r w:rsidR="007946A3" w:rsidRPr="00A959C2">
        <w:t>Mackeson</w:t>
      </w:r>
      <w:proofErr w:type="spellEnd"/>
      <w:r w:rsidR="007946A3" w:rsidRPr="00A959C2">
        <w:t xml:space="preserve"> Road NW3</w:t>
      </w:r>
      <w:r w:rsidR="007946A3" w:rsidRPr="00A959C2">
        <w:rPr>
          <w:rStyle w:val="FootnoteReference"/>
        </w:rPr>
        <w:footnoteReference w:id="2"/>
      </w:r>
      <w:r w:rsidR="007946A3" w:rsidRPr="00A959C2">
        <w:t xml:space="preserve"> on 20</w:t>
      </w:r>
      <w:r w:rsidR="007946A3" w:rsidRPr="00A959C2">
        <w:rPr>
          <w:vertAlign w:val="superscript"/>
        </w:rPr>
        <w:t>th</w:t>
      </w:r>
      <w:r w:rsidR="007946A3" w:rsidRPr="00A959C2">
        <w:t xml:space="preserve"> August 2015</w:t>
      </w:r>
      <w:r w:rsidR="009462E5" w:rsidRPr="00A959C2">
        <w:rPr>
          <w:rStyle w:val="FootnoteReference"/>
        </w:rPr>
        <w:footnoteReference w:id="3"/>
      </w:r>
      <w:r w:rsidR="009462E5" w:rsidRPr="00A959C2">
        <w:t>,</w:t>
      </w:r>
      <w:r w:rsidR="007946A3" w:rsidRPr="00A959C2">
        <w:t xml:space="preserve"> the Council sought further legal advice from </w:t>
      </w:r>
      <w:r w:rsidR="009462E5" w:rsidRPr="00A959C2">
        <w:t xml:space="preserve">barrister </w:t>
      </w:r>
      <w:r w:rsidR="007946A3" w:rsidRPr="00A959C2">
        <w:t>Giles Atkinson</w:t>
      </w:r>
      <w:r w:rsidR="0020711A">
        <w:t>, who is also a member of chambers at 6, Pump Court</w:t>
      </w:r>
      <w:r w:rsidR="007946A3" w:rsidRPr="00A959C2">
        <w:t xml:space="preserve">. </w:t>
      </w:r>
      <w:r w:rsidR="003125F2" w:rsidRPr="00A959C2">
        <w:t xml:space="preserve"> </w:t>
      </w:r>
      <w:r w:rsidR="009462E5" w:rsidRPr="00A959C2">
        <w:t>In a written Opinion dated 2</w:t>
      </w:r>
      <w:r w:rsidR="009462E5" w:rsidRPr="00A959C2">
        <w:rPr>
          <w:vertAlign w:val="superscript"/>
        </w:rPr>
        <w:t>nd</w:t>
      </w:r>
      <w:r w:rsidR="009462E5" w:rsidRPr="00A959C2">
        <w:t xml:space="preserve"> October 2015</w:t>
      </w:r>
      <w:r w:rsidR="00D34062" w:rsidRPr="00A959C2">
        <w:t xml:space="preserve">, he concluded (based on the </w:t>
      </w:r>
      <w:proofErr w:type="spellStart"/>
      <w:r w:rsidR="00D34062" w:rsidRPr="00A959C2">
        <w:t>Mackeson</w:t>
      </w:r>
      <w:proofErr w:type="spellEnd"/>
      <w:r w:rsidR="00D34062" w:rsidRPr="00A959C2">
        <w:t xml:space="preserve"> Road decision) that the stance taken by the Council following the 24 Quadrant Grove overturn in refusing similar Lawful Development Certificates, was ‘misguided’ but warned that it was crucial </w:t>
      </w:r>
      <w:r w:rsidR="00CC25DA" w:rsidRPr="00A959C2">
        <w:t>for the Council ‘to continue to assess each case on the merits and to carefully assess each against the relevant parts of the relevant GPDO</w:t>
      </w:r>
      <w:r w:rsidR="00AA2EA0" w:rsidRPr="00A959C2">
        <w:t>.’</w:t>
      </w:r>
      <w:r w:rsidR="00CC25DA" w:rsidRPr="00A959C2">
        <w:rPr>
          <w:rStyle w:val="FootnoteReference"/>
        </w:rPr>
        <w:footnoteReference w:id="4"/>
      </w:r>
    </w:p>
    <w:p w:rsidR="00EA7287" w:rsidRPr="00A959C2" w:rsidRDefault="009462E5" w:rsidP="00F43EDA">
      <w:r w:rsidRPr="00A959C2">
        <w:t xml:space="preserve">10. </w:t>
      </w:r>
      <w:r w:rsidR="001E50C7" w:rsidRPr="00A959C2">
        <w:t>On or about 9</w:t>
      </w:r>
      <w:r w:rsidR="001E50C7" w:rsidRPr="00A959C2">
        <w:rPr>
          <w:vertAlign w:val="superscript"/>
        </w:rPr>
        <w:t>th</w:t>
      </w:r>
      <w:r w:rsidR="001E50C7" w:rsidRPr="00A959C2">
        <w:t xml:space="preserve"> October 2015, the Planning Inspectorate</w:t>
      </w:r>
      <w:r w:rsidR="005B5525" w:rsidRPr="00A959C2">
        <w:t>, doubtless concerned about the important legal a</w:t>
      </w:r>
      <w:r w:rsidR="00CC25DA" w:rsidRPr="00A959C2">
        <w:t>nd public interest issues at stake</w:t>
      </w:r>
      <w:r w:rsidR="005B5525" w:rsidRPr="00A959C2">
        <w:t xml:space="preserve">, </w:t>
      </w:r>
      <w:r w:rsidR="001E50C7" w:rsidRPr="00A959C2">
        <w:t xml:space="preserve"> </w:t>
      </w:r>
      <w:r w:rsidR="00CC25DA" w:rsidRPr="00A959C2">
        <w:t>announced that the Quadrant Grove appeal</w:t>
      </w:r>
      <w:r w:rsidR="005B5525" w:rsidRPr="00A959C2">
        <w:t xml:space="preserve"> would proceed by way of a Public Inquiry</w:t>
      </w:r>
      <w:r w:rsidR="00EA7287" w:rsidRPr="00A959C2">
        <w:t>.</w:t>
      </w:r>
    </w:p>
    <w:p w:rsidR="00F90287" w:rsidRPr="00A959C2" w:rsidRDefault="00CC25DA" w:rsidP="00F43EDA">
      <w:r w:rsidRPr="00A959C2">
        <w:t>11</w:t>
      </w:r>
      <w:r w:rsidR="006B515C" w:rsidRPr="00A959C2">
        <w:t xml:space="preserve">. </w:t>
      </w:r>
      <w:r w:rsidR="00EA7287" w:rsidRPr="00A959C2">
        <w:t>On 13</w:t>
      </w:r>
      <w:r w:rsidR="00EA7287" w:rsidRPr="00A959C2">
        <w:rPr>
          <w:vertAlign w:val="superscript"/>
        </w:rPr>
        <w:t>th</w:t>
      </w:r>
      <w:r w:rsidRPr="00A959C2">
        <w:t xml:space="preserve"> October 2015, the applicants in the Quadrant Grove matter withdrew their appeal</w:t>
      </w:r>
      <w:r w:rsidR="00EA7287" w:rsidRPr="00A959C2">
        <w:t xml:space="preserve">. </w:t>
      </w:r>
    </w:p>
    <w:p w:rsidR="00956914" w:rsidRPr="00A959C2" w:rsidRDefault="00CC25DA" w:rsidP="00F43EDA">
      <w:r w:rsidRPr="00A959C2">
        <w:t>12. In the interim</w:t>
      </w:r>
      <w:r w:rsidR="00475CCB" w:rsidRPr="00A959C2">
        <w:t>, it would appear that</w:t>
      </w:r>
      <w:r w:rsidR="00023EFA">
        <w:t xml:space="preserve"> </w:t>
      </w:r>
      <w:r w:rsidR="00F90287" w:rsidRPr="00A959C2">
        <w:t xml:space="preserve"> members of</w:t>
      </w:r>
      <w:r w:rsidR="00475CCB" w:rsidRPr="00A959C2">
        <w:t xml:space="preserve"> the</w:t>
      </w:r>
      <w:r w:rsidRPr="00A959C2">
        <w:t xml:space="preserve"> </w:t>
      </w:r>
      <w:r w:rsidR="00475CCB" w:rsidRPr="00A959C2">
        <w:t xml:space="preserve">Council’s </w:t>
      </w:r>
      <w:r w:rsidRPr="00A959C2">
        <w:t xml:space="preserve">Planning </w:t>
      </w:r>
      <w:r w:rsidR="00475CCB" w:rsidRPr="00A959C2">
        <w:t xml:space="preserve">and/or Legal </w:t>
      </w:r>
      <w:r w:rsidRPr="00A959C2">
        <w:t>Department,</w:t>
      </w:r>
      <w:r w:rsidR="00475CCB" w:rsidRPr="00A959C2">
        <w:t xml:space="preserve"> mindful of Giles Atkinson’s opinion</w:t>
      </w:r>
      <w:r w:rsidR="00956914" w:rsidRPr="00A959C2">
        <w:t>, approached</w:t>
      </w:r>
      <w:r w:rsidR="00E0279C" w:rsidRPr="00A959C2">
        <w:t xml:space="preserve"> Councillor Phil Jones, Cabinet Member for Regeneration, Transport and Planning, to </w:t>
      </w:r>
      <w:r w:rsidR="00956914" w:rsidRPr="00A959C2">
        <w:t>conduct a basement training seminar for all councillors, aimed</w:t>
      </w:r>
      <w:r w:rsidR="003347B3">
        <w:t xml:space="preserve"> at reversing</w:t>
      </w:r>
      <w:r w:rsidR="00E0279C" w:rsidRPr="00A959C2">
        <w:t xml:space="preserve"> the Council’s more restrictive</w:t>
      </w:r>
      <w:r w:rsidR="00475CCB" w:rsidRPr="00A959C2">
        <w:t xml:space="preserve"> </w:t>
      </w:r>
      <w:r w:rsidR="00956914" w:rsidRPr="00A959C2">
        <w:t xml:space="preserve">new </w:t>
      </w:r>
      <w:r w:rsidR="00475CCB" w:rsidRPr="00A959C2">
        <w:t>policy</w:t>
      </w:r>
      <w:r w:rsidR="00956914" w:rsidRPr="00A959C2">
        <w:t xml:space="preserve"> on</w:t>
      </w:r>
      <w:r w:rsidR="00E0279C" w:rsidRPr="00A959C2">
        <w:t xml:space="preserve"> perm</w:t>
      </w:r>
      <w:r w:rsidR="00956914" w:rsidRPr="00A959C2">
        <w:t>itted development rights which followed</w:t>
      </w:r>
      <w:r w:rsidR="00475CCB" w:rsidRPr="00A959C2">
        <w:t xml:space="preserve"> the Quadrant Grove overturn</w:t>
      </w:r>
      <w:r w:rsidR="003C6D0F" w:rsidRPr="00A959C2">
        <w:t>,</w:t>
      </w:r>
      <w:r w:rsidR="003347B3">
        <w:t xml:space="preserve"> and to revert </w:t>
      </w:r>
      <w:r w:rsidR="00475CCB" w:rsidRPr="00A959C2">
        <w:t xml:space="preserve">to </w:t>
      </w:r>
      <w:r w:rsidR="00956914" w:rsidRPr="00A959C2">
        <w:t>a</w:t>
      </w:r>
      <w:r w:rsidR="00E0279C" w:rsidRPr="00A959C2">
        <w:t xml:space="preserve"> more permissive </w:t>
      </w:r>
      <w:r w:rsidR="00956914" w:rsidRPr="00A959C2">
        <w:t xml:space="preserve">approach </w:t>
      </w:r>
      <w:r w:rsidR="00E0279C" w:rsidRPr="00A959C2">
        <w:t>to</w:t>
      </w:r>
      <w:r w:rsidR="003347B3">
        <w:t>wards</w:t>
      </w:r>
      <w:r w:rsidR="00E0279C" w:rsidRPr="00A959C2">
        <w:t xml:space="preserve"> those</w:t>
      </w:r>
      <w:r w:rsidR="003C6D0F" w:rsidRPr="00A959C2">
        <w:t xml:space="preserve"> seeking </w:t>
      </w:r>
      <w:r w:rsidR="00E0279C" w:rsidRPr="00A959C2">
        <w:t>Lawful Development Certificates</w:t>
      </w:r>
      <w:r w:rsidR="00956914" w:rsidRPr="00A959C2">
        <w:t>.</w:t>
      </w:r>
      <w:r w:rsidR="006B515C" w:rsidRPr="00A959C2">
        <w:t xml:space="preserve"> </w:t>
      </w:r>
    </w:p>
    <w:p w:rsidR="003C6D0F" w:rsidRPr="00A959C2" w:rsidRDefault="00956914" w:rsidP="00F43EDA">
      <w:r w:rsidRPr="00A959C2">
        <w:t>13</w:t>
      </w:r>
      <w:r w:rsidR="006B515C" w:rsidRPr="00A959C2">
        <w:t xml:space="preserve">. </w:t>
      </w:r>
      <w:r w:rsidR="003C6D0F" w:rsidRPr="00A959C2">
        <w:t>On 28</w:t>
      </w:r>
      <w:r w:rsidR="003C6D0F" w:rsidRPr="00A959C2">
        <w:rPr>
          <w:vertAlign w:val="superscript"/>
        </w:rPr>
        <w:t>th</w:t>
      </w:r>
      <w:r w:rsidR="003C6D0F" w:rsidRPr="00A959C2">
        <w:t xml:space="preserve"> October 2015, Councillor Jones emailed all Councillors</w:t>
      </w:r>
      <w:r w:rsidR="00EE44DD">
        <w:t>,</w:t>
      </w:r>
      <w:r w:rsidR="003C6D0F" w:rsidRPr="00A959C2">
        <w:t xml:space="preserve"> inviting them to attend a meeting the next day, to ‘consider counsel’s advice.’ He drew their attention to so-called ‘key factors’</w:t>
      </w:r>
      <w:r w:rsidR="00FA1E96" w:rsidRPr="00A959C2">
        <w:t>. These were:</w:t>
      </w:r>
    </w:p>
    <w:p w:rsidR="00FA1E96" w:rsidRPr="00A959C2" w:rsidRDefault="006B515C" w:rsidP="00422AAA">
      <w:pPr>
        <w:ind w:left="720"/>
        <w:rPr>
          <w:rFonts w:eastAsia="Times New Roman" w:cs="Arial"/>
          <w:bCs/>
          <w:i/>
          <w:iCs/>
        </w:rPr>
      </w:pPr>
      <w:proofErr w:type="spellStart"/>
      <w:r w:rsidRPr="00A959C2">
        <w:rPr>
          <w:rFonts w:eastAsia="Times New Roman"/>
        </w:rPr>
        <w:lastRenderedPageBreak/>
        <w:t>i</w:t>
      </w:r>
      <w:proofErr w:type="spellEnd"/>
      <w:r w:rsidRPr="00A959C2">
        <w:rPr>
          <w:rFonts w:eastAsia="Times New Roman"/>
        </w:rPr>
        <w:t>)</w:t>
      </w:r>
      <w:r w:rsidR="003C6D0F" w:rsidRPr="00A959C2">
        <w:rPr>
          <w:rFonts w:eastAsia="Times New Roman"/>
        </w:rPr>
        <w:t xml:space="preserve"> </w:t>
      </w:r>
      <w:r w:rsidR="006048F4" w:rsidRPr="00A959C2">
        <w:rPr>
          <w:rFonts w:eastAsia="Times New Roman" w:cs="Arial"/>
          <w:bCs/>
          <w:i/>
          <w:iCs/>
        </w:rPr>
        <w:t>A High Court decision rejecting the Royal Borough of Kensington and Chelsea’s challenge against the Planning Inspectorate’s decision to allow two appeals on the basis that the single storey basements were permitted development</w:t>
      </w:r>
      <w:r w:rsidR="00FA1E96" w:rsidRPr="00A959C2">
        <w:rPr>
          <w:rFonts w:eastAsia="Times New Roman" w:cs="Arial"/>
          <w:bCs/>
          <w:i/>
          <w:iCs/>
        </w:rPr>
        <w:t xml:space="preserve">. </w:t>
      </w:r>
    </w:p>
    <w:p w:rsidR="006048F4" w:rsidRDefault="00EE44DD" w:rsidP="00516334">
      <w:pPr>
        <w:pStyle w:val="NoSpacing"/>
      </w:pPr>
      <w:r>
        <w:t>14</w:t>
      </w:r>
      <w:r w:rsidR="006B515C" w:rsidRPr="00A959C2">
        <w:t xml:space="preserve">. </w:t>
      </w:r>
      <w:r>
        <w:t>This appears to have been</w:t>
      </w:r>
      <w:r w:rsidR="00FA1E96" w:rsidRPr="00A959C2">
        <w:t xml:space="preserve"> a refer</w:t>
      </w:r>
      <w:r w:rsidR="006B515C" w:rsidRPr="00A959C2">
        <w:t>ence to the High Court judgment</w:t>
      </w:r>
      <w:r w:rsidR="00FA1E96" w:rsidRPr="00A959C2">
        <w:t xml:space="preserve"> in </w:t>
      </w:r>
      <w:r w:rsidR="00516334" w:rsidRPr="00A959C2">
        <w:rPr>
          <w:i/>
        </w:rPr>
        <w:t xml:space="preserve">RBKC v Secretary of State for Communities and Local Government </w:t>
      </w:r>
      <w:r w:rsidR="00516334">
        <w:t>(</w:t>
      </w:r>
      <w:r w:rsidR="00516334">
        <w:rPr>
          <w:i/>
        </w:rPr>
        <w:t>ibid</w:t>
      </w:r>
      <w:r w:rsidR="00516334">
        <w:t xml:space="preserve">). </w:t>
      </w:r>
    </w:p>
    <w:p w:rsidR="00516334" w:rsidRPr="00516334" w:rsidRDefault="00516334" w:rsidP="00516334">
      <w:pPr>
        <w:pStyle w:val="NoSpacing"/>
      </w:pPr>
    </w:p>
    <w:p w:rsidR="008E559C" w:rsidRPr="00A959C2" w:rsidRDefault="006B515C" w:rsidP="008E559C">
      <w:pPr>
        <w:ind w:left="720"/>
        <w:rPr>
          <w:rFonts w:eastAsia="Times New Roman" w:cs="Arial"/>
          <w:bCs/>
          <w:i/>
          <w:iCs/>
        </w:rPr>
      </w:pPr>
      <w:r w:rsidRPr="00A959C2">
        <w:rPr>
          <w:rFonts w:eastAsia="Times New Roman" w:cs="Arial"/>
          <w:bCs/>
          <w:i/>
          <w:iCs/>
        </w:rPr>
        <w:t xml:space="preserve">ii) </w:t>
      </w:r>
      <w:r w:rsidR="00422AAA" w:rsidRPr="00A959C2">
        <w:rPr>
          <w:rFonts w:eastAsia="Times New Roman" w:cs="Arial"/>
          <w:bCs/>
          <w:i/>
          <w:iCs/>
        </w:rPr>
        <w:t xml:space="preserve"> </w:t>
      </w:r>
      <w:r w:rsidR="00EC1C23" w:rsidRPr="00A959C2">
        <w:rPr>
          <w:rFonts w:eastAsia="Times New Roman" w:cs="Arial"/>
          <w:bCs/>
          <w:i/>
          <w:iCs/>
        </w:rPr>
        <w:t xml:space="preserve">The </w:t>
      </w:r>
      <w:r w:rsidR="008E559C" w:rsidRPr="00A959C2">
        <w:rPr>
          <w:rFonts w:eastAsia="Times New Roman" w:cs="Arial"/>
          <w:bCs/>
          <w:i/>
          <w:iCs/>
        </w:rPr>
        <w:t xml:space="preserve">Planning Inspectorate decision in relation to 20 </w:t>
      </w:r>
      <w:proofErr w:type="spellStart"/>
      <w:r w:rsidR="008E559C" w:rsidRPr="00A959C2">
        <w:rPr>
          <w:rFonts w:eastAsia="Times New Roman" w:cs="Arial"/>
          <w:bCs/>
          <w:i/>
          <w:iCs/>
        </w:rPr>
        <w:t>Mackeson</w:t>
      </w:r>
      <w:proofErr w:type="spellEnd"/>
      <w:r w:rsidR="008E559C" w:rsidRPr="00A959C2">
        <w:rPr>
          <w:rFonts w:eastAsia="Times New Roman" w:cs="Arial"/>
          <w:bCs/>
          <w:i/>
          <w:iCs/>
        </w:rPr>
        <w:t xml:space="preserve"> Road London NW3 </w:t>
      </w:r>
    </w:p>
    <w:p w:rsidR="006048F4" w:rsidRPr="00A959C2" w:rsidRDefault="00EE44DD" w:rsidP="008E559C">
      <w:pPr>
        <w:rPr>
          <w:rFonts w:eastAsia="Times New Roman"/>
        </w:rPr>
      </w:pPr>
      <w:r>
        <w:rPr>
          <w:rFonts w:eastAsia="Times New Roman" w:cs="Arial"/>
          <w:bCs/>
          <w:iCs/>
        </w:rPr>
        <w:t>15</w:t>
      </w:r>
      <w:r w:rsidR="006B515C" w:rsidRPr="00A959C2">
        <w:rPr>
          <w:rFonts w:eastAsia="Times New Roman" w:cs="Arial"/>
          <w:bCs/>
          <w:iCs/>
        </w:rPr>
        <w:t xml:space="preserve">. </w:t>
      </w:r>
      <w:r w:rsidR="00084B77" w:rsidRPr="00A959C2">
        <w:rPr>
          <w:rFonts w:eastAsia="Times New Roman" w:cs="Arial"/>
          <w:bCs/>
          <w:iCs/>
        </w:rPr>
        <w:t xml:space="preserve"> Councillor Jones claimed </w:t>
      </w:r>
      <w:r w:rsidR="00EC1C23" w:rsidRPr="00A959C2">
        <w:rPr>
          <w:rFonts w:eastAsia="Times New Roman" w:cs="Arial"/>
          <w:bCs/>
          <w:iCs/>
        </w:rPr>
        <w:t xml:space="preserve">that this decision </w:t>
      </w:r>
      <w:r w:rsidR="00084B77" w:rsidRPr="00A959C2">
        <w:rPr>
          <w:rFonts w:eastAsia="Times New Roman" w:cs="Arial"/>
          <w:bCs/>
          <w:iCs/>
        </w:rPr>
        <w:t xml:space="preserve">had “fundamentally [called] into question our </w:t>
      </w:r>
      <w:r w:rsidR="00EC1C23" w:rsidRPr="00A959C2">
        <w:rPr>
          <w:rFonts w:eastAsia="Times New Roman" w:cs="Arial"/>
          <w:bCs/>
          <w:iCs/>
        </w:rPr>
        <w:t xml:space="preserve">[Camden Council’s] </w:t>
      </w:r>
      <w:r w:rsidR="00084B77" w:rsidRPr="00A959C2">
        <w:rPr>
          <w:rFonts w:eastAsia="Times New Roman" w:cs="Arial"/>
          <w:bCs/>
          <w:iCs/>
        </w:rPr>
        <w:t>line following 24 Quadrant</w:t>
      </w:r>
      <w:r w:rsidR="00023EFA">
        <w:rPr>
          <w:rFonts w:eastAsia="Times New Roman" w:cs="Arial"/>
          <w:bCs/>
          <w:iCs/>
        </w:rPr>
        <w:t xml:space="preserve"> [Grove]</w:t>
      </w:r>
      <w:r w:rsidR="00084B77" w:rsidRPr="00A959C2">
        <w:rPr>
          <w:rFonts w:eastAsia="Times New Roman" w:cs="Arial"/>
          <w:bCs/>
          <w:iCs/>
        </w:rPr>
        <w:t>, that basement excavation is not pd where the extent of the excavation works constitute an engineering operation.”</w:t>
      </w:r>
      <w:r w:rsidR="008E559C" w:rsidRPr="00A959C2">
        <w:rPr>
          <w:rFonts w:eastAsia="Times New Roman" w:cs="Arial"/>
          <w:b/>
          <w:bCs/>
          <w:i/>
          <w:iCs/>
        </w:rPr>
        <w:t xml:space="preserve"> </w:t>
      </w:r>
    </w:p>
    <w:p w:rsidR="006048F4" w:rsidRPr="00A959C2" w:rsidRDefault="006B515C" w:rsidP="006B515C">
      <w:pPr>
        <w:ind w:left="720"/>
        <w:rPr>
          <w:rStyle w:val="apple-converted-space"/>
          <w:rFonts w:eastAsia="Times New Roman" w:cs="Arial"/>
          <w:i/>
          <w:iCs/>
        </w:rPr>
      </w:pPr>
      <w:r w:rsidRPr="00A959C2">
        <w:rPr>
          <w:rFonts w:eastAsia="Times New Roman"/>
          <w:i/>
        </w:rPr>
        <w:t xml:space="preserve">iii) </w:t>
      </w:r>
      <w:r w:rsidR="00084B77" w:rsidRPr="00A959C2">
        <w:rPr>
          <w:rFonts w:eastAsia="Times New Roman"/>
          <w:i/>
        </w:rPr>
        <w:t xml:space="preserve">The </w:t>
      </w:r>
      <w:r w:rsidR="006048F4" w:rsidRPr="00A959C2">
        <w:rPr>
          <w:rFonts w:eastAsia="Times New Roman" w:cs="Arial"/>
          <w:bCs/>
          <w:i/>
          <w:iCs/>
        </w:rPr>
        <w:t>City of Westminster’s decision to apply for an Article 4 Direction seeking to remove pd rights in respect of basements</w:t>
      </w:r>
      <w:r w:rsidR="00084B77" w:rsidRPr="00A959C2">
        <w:rPr>
          <w:rStyle w:val="apple-converted-space"/>
          <w:rFonts w:eastAsia="Times New Roman" w:cs="Arial"/>
          <w:i/>
          <w:iCs/>
        </w:rPr>
        <w:t>; and</w:t>
      </w:r>
    </w:p>
    <w:p w:rsidR="00084B77" w:rsidRPr="00A959C2" w:rsidRDefault="006B515C" w:rsidP="00084B77">
      <w:pPr>
        <w:ind w:left="720" w:firstLine="30"/>
        <w:rPr>
          <w:rFonts w:eastAsia="Times New Roman" w:cs="Arial"/>
          <w:iCs/>
        </w:rPr>
      </w:pPr>
      <w:r w:rsidRPr="00A959C2">
        <w:rPr>
          <w:rFonts w:eastAsia="Times New Roman"/>
          <w:i/>
        </w:rPr>
        <w:t xml:space="preserve">iv) </w:t>
      </w:r>
      <w:r w:rsidR="00084B77" w:rsidRPr="00A959C2">
        <w:rPr>
          <w:rFonts w:eastAsia="Times New Roman"/>
          <w:i/>
        </w:rPr>
        <w:t xml:space="preserve"> </w:t>
      </w:r>
      <w:r w:rsidR="006048F4" w:rsidRPr="00A959C2">
        <w:rPr>
          <w:rFonts w:eastAsia="Times New Roman" w:cs="Arial"/>
          <w:bCs/>
          <w:i/>
          <w:iCs/>
        </w:rPr>
        <w:t xml:space="preserve">Camden’s own advice from Counsel in the light of </w:t>
      </w:r>
      <w:proofErr w:type="gramStart"/>
      <w:r w:rsidR="006048F4" w:rsidRPr="00A959C2">
        <w:rPr>
          <w:rFonts w:eastAsia="Times New Roman" w:cs="Arial"/>
          <w:bCs/>
          <w:i/>
          <w:iCs/>
        </w:rPr>
        <w:t>these  decisions</w:t>
      </w:r>
      <w:proofErr w:type="gramEnd"/>
      <w:r w:rsidR="00EC1C23" w:rsidRPr="00A959C2">
        <w:rPr>
          <w:rFonts w:eastAsia="Times New Roman" w:cs="Arial"/>
          <w:i/>
          <w:iCs/>
        </w:rPr>
        <w:t>.</w:t>
      </w:r>
      <w:r w:rsidR="00EC1C23" w:rsidRPr="00A959C2">
        <w:rPr>
          <w:rStyle w:val="FootnoteReference"/>
          <w:rFonts w:eastAsia="Times New Roman" w:cs="Arial"/>
          <w:i/>
          <w:iCs/>
        </w:rPr>
        <w:footnoteReference w:id="5"/>
      </w:r>
    </w:p>
    <w:p w:rsidR="003F0937" w:rsidRPr="00A959C2" w:rsidRDefault="00EE44DD" w:rsidP="003F0937">
      <w:pPr>
        <w:pStyle w:val="NoSpacing"/>
      </w:pPr>
      <w:r>
        <w:rPr>
          <w:rFonts w:eastAsia="Times New Roman"/>
        </w:rPr>
        <w:t>16</w:t>
      </w:r>
      <w:r w:rsidR="00EC3291" w:rsidRPr="00A959C2">
        <w:rPr>
          <w:rFonts w:eastAsia="Times New Roman"/>
        </w:rPr>
        <w:t xml:space="preserve">. </w:t>
      </w:r>
      <w:r w:rsidR="008B3163" w:rsidRPr="00A959C2">
        <w:rPr>
          <w:rFonts w:eastAsia="Times New Roman"/>
        </w:rPr>
        <w:t>Councillor Jones concluded his email by claiming that “</w:t>
      </w:r>
      <w:r w:rsidR="001E50C7" w:rsidRPr="00A959C2">
        <w:rPr>
          <w:rFonts w:eastAsia="Times New Roman" w:cs="Arial"/>
        </w:rPr>
        <w:t>given the clear facts and financial risks</w:t>
      </w:r>
      <w:r w:rsidR="00EC3291" w:rsidRPr="00A959C2">
        <w:rPr>
          <w:rFonts w:eastAsia="Times New Roman" w:cs="Arial"/>
        </w:rPr>
        <w:t>,</w:t>
      </w:r>
      <w:r w:rsidR="001E50C7" w:rsidRPr="00A959C2">
        <w:rPr>
          <w:rFonts w:eastAsia="Times New Roman" w:cs="Arial"/>
        </w:rPr>
        <w:t xml:space="preserve"> our approach to determining applications under pd rights must regrettably change.</w:t>
      </w:r>
      <w:r w:rsidR="008B3163" w:rsidRPr="00A959C2">
        <w:rPr>
          <w:rFonts w:eastAsia="Times New Roman" w:cs="Arial"/>
        </w:rPr>
        <w:t>”</w:t>
      </w:r>
      <w:r w:rsidR="00516334">
        <w:rPr>
          <w:rFonts w:eastAsia="Times New Roman" w:cs="Arial"/>
        </w:rPr>
        <w:t xml:space="preserve"> Significantly</w:t>
      </w:r>
      <w:r w:rsidR="003F0937">
        <w:rPr>
          <w:rFonts w:eastAsia="Times New Roman" w:cs="Arial"/>
        </w:rPr>
        <w:t xml:space="preserve">, neither Giles Atkinson in his advice, nor Councillor Jones made reference to  the decision of Mrs Justice Lang in the case of </w:t>
      </w:r>
      <w:proofErr w:type="spellStart"/>
      <w:r w:rsidR="003F0937" w:rsidRPr="00A959C2">
        <w:rPr>
          <w:i/>
        </w:rPr>
        <w:t>Zipporah</w:t>
      </w:r>
      <w:proofErr w:type="spellEnd"/>
      <w:r w:rsidR="003F0937" w:rsidRPr="00A959C2">
        <w:rPr>
          <w:i/>
        </w:rPr>
        <w:t xml:space="preserve"> Lisle-Mainwaring v RBKC </w:t>
      </w:r>
      <w:r w:rsidR="003F0937" w:rsidRPr="00A959C2">
        <w:t>[2015] EWHC 2105 (Admin)</w:t>
      </w:r>
      <w:r w:rsidR="003F0937">
        <w:rPr>
          <w:rFonts w:eastAsia="Times New Roman" w:cs="Arial"/>
          <w:i/>
          <w:iCs/>
        </w:rPr>
        <w:t xml:space="preserve"> </w:t>
      </w:r>
      <w:r w:rsidR="003F0937" w:rsidRPr="003F0937">
        <w:rPr>
          <w:rFonts w:eastAsia="Times New Roman" w:cs="Arial"/>
          <w:iCs/>
        </w:rPr>
        <w:t>which</w:t>
      </w:r>
      <w:r w:rsidR="003F0937" w:rsidRPr="003F0937">
        <w:rPr>
          <w:rStyle w:val="apple-converted-space"/>
          <w:rFonts w:eastAsia="Times New Roman" w:cs="Arial"/>
          <w:iCs/>
        </w:rPr>
        <w:t xml:space="preserve"> </w:t>
      </w:r>
      <w:r w:rsidR="003F0937" w:rsidRPr="00A959C2">
        <w:rPr>
          <w:rStyle w:val="apple-converted-space"/>
          <w:rFonts w:eastAsia="Times New Roman" w:cs="Arial"/>
          <w:iCs/>
        </w:rPr>
        <w:t>was delivered on 23</w:t>
      </w:r>
      <w:r w:rsidR="003F0937" w:rsidRPr="00A959C2">
        <w:rPr>
          <w:rStyle w:val="apple-converted-space"/>
          <w:rFonts w:eastAsia="Times New Roman" w:cs="Arial"/>
          <w:iCs/>
          <w:vertAlign w:val="superscript"/>
        </w:rPr>
        <w:t>rd</w:t>
      </w:r>
      <w:r w:rsidR="003F0937" w:rsidRPr="00A959C2">
        <w:rPr>
          <w:rStyle w:val="apple-converted-space"/>
          <w:rFonts w:eastAsia="Times New Roman" w:cs="Arial"/>
          <w:iCs/>
        </w:rPr>
        <w:t xml:space="preserve"> July 2015, it does not appear to have been considered by Giles Atkinson in his Opinion dated 3</w:t>
      </w:r>
      <w:r w:rsidR="003F0937" w:rsidRPr="00A959C2">
        <w:rPr>
          <w:rStyle w:val="apple-converted-space"/>
          <w:rFonts w:eastAsia="Times New Roman" w:cs="Arial"/>
          <w:iCs/>
          <w:vertAlign w:val="superscript"/>
        </w:rPr>
        <w:t>rd</w:t>
      </w:r>
      <w:r w:rsidR="003F0937" w:rsidRPr="00A959C2">
        <w:rPr>
          <w:rStyle w:val="apple-converted-space"/>
          <w:rFonts w:eastAsia="Times New Roman" w:cs="Arial"/>
          <w:iCs/>
        </w:rPr>
        <w:t xml:space="preserve"> October.</w:t>
      </w:r>
    </w:p>
    <w:p w:rsidR="001E50C7" w:rsidRPr="00A959C2" w:rsidRDefault="001E50C7" w:rsidP="001E50C7">
      <w:pPr>
        <w:rPr>
          <w:rFonts w:eastAsia="Times New Roman"/>
        </w:rPr>
      </w:pPr>
    </w:p>
    <w:p w:rsidR="00EC3291" w:rsidRPr="00A959C2" w:rsidRDefault="00EE44DD" w:rsidP="001E50C7">
      <w:pPr>
        <w:rPr>
          <w:rFonts w:eastAsia="Times New Roman" w:cs="Arial"/>
        </w:rPr>
      </w:pPr>
      <w:r>
        <w:rPr>
          <w:rFonts w:eastAsia="Times New Roman" w:cs="Arial"/>
        </w:rPr>
        <w:t>17</w:t>
      </w:r>
      <w:r w:rsidR="00FA5F66" w:rsidRPr="00A959C2">
        <w:rPr>
          <w:rFonts w:eastAsia="Times New Roman" w:cs="Arial"/>
        </w:rPr>
        <w:t>. O</w:t>
      </w:r>
      <w:r w:rsidR="00EC3291" w:rsidRPr="00A959C2">
        <w:rPr>
          <w:rFonts w:eastAsia="Times New Roman" w:cs="Arial"/>
        </w:rPr>
        <w:t>n 29</w:t>
      </w:r>
      <w:r w:rsidR="00EC3291" w:rsidRPr="00A959C2">
        <w:rPr>
          <w:rFonts w:eastAsia="Times New Roman" w:cs="Arial"/>
          <w:vertAlign w:val="superscript"/>
        </w:rPr>
        <w:t>th</w:t>
      </w:r>
      <w:r w:rsidR="00EC3291" w:rsidRPr="00A959C2">
        <w:rPr>
          <w:rFonts w:eastAsia="Times New Roman" w:cs="Arial"/>
        </w:rPr>
        <w:t xml:space="preserve"> October 201</w:t>
      </w:r>
      <w:r w:rsidR="0071536F" w:rsidRPr="00A959C2">
        <w:rPr>
          <w:rFonts w:eastAsia="Times New Roman" w:cs="Arial"/>
        </w:rPr>
        <w:t xml:space="preserve">5, </w:t>
      </w:r>
      <w:r w:rsidR="00EC1C23" w:rsidRPr="00A959C2">
        <w:rPr>
          <w:rFonts w:eastAsia="Times New Roman" w:cs="Arial"/>
        </w:rPr>
        <w:t>a “basement</w:t>
      </w:r>
      <w:r w:rsidR="00EC3291" w:rsidRPr="00A959C2">
        <w:rPr>
          <w:rFonts w:eastAsia="Times New Roman" w:cs="Arial"/>
        </w:rPr>
        <w:t xml:space="preserve"> </w:t>
      </w:r>
      <w:r w:rsidR="00EC1C23" w:rsidRPr="00A959C2">
        <w:rPr>
          <w:rFonts w:eastAsia="Times New Roman" w:cs="Arial"/>
        </w:rPr>
        <w:t xml:space="preserve">training </w:t>
      </w:r>
      <w:r w:rsidR="00FA5F66" w:rsidRPr="00A959C2">
        <w:rPr>
          <w:rFonts w:eastAsia="Times New Roman" w:cs="Arial"/>
        </w:rPr>
        <w:t xml:space="preserve">seminar” </w:t>
      </w:r>
      <w:r w:rsidR="0071536F" w:rsidRPr="00A959C2">
        <w:rPr>
          <w:rFonts w:eastAsia="Times New Roman" w:cs="Arial"/>
        </w:rPr>
        <w:t xml:space="preserve">with councillors </w:t>
      </w:r>
      <w:r w:rsidR="00FA5F66" w:rsidRPr="00A959C2">
        <w:rPr>
          <w:rFonts w:eastAsia="Times New Roman" w:cs="Arial"/>
        </w:rPr>
        <w:t>took place. Mr Atkinson delivered a</w:t>
      </w:r>
      <w:r w:rsidR="00EC3291" w:rsidRPr="00A959C2">
        <w:rPr>
          <w:rFonts w:eastAsia="Times New Roman" w:cs="Arial"/>
        </w:rPr>
        <w:t xml:space="preserve"> power point pre</w:t>
      </w:r>
      <w:r w:rsidR="00FA5F66" w:rsidRPr="00A959C2">
        <w:rPr>
          <w:rFonts w:eastAsia="Times New Roman" w:cs="Arial"/>
        </w:rPr>
        <w:t>sentation</w:t>
      </w:r>
      <w:r w:rsidR="00512ABE" w:rsidRPr="00A959C2">
        <w:rPr>
          <w:rFonts w:eastAsia="Times New Roman" w:cs="Arial"/>
        </w:rPr>
        <w:t xml:space="preserve">, and notes </w:t>
      </w:r>
      <w:r w:rsidR="00FA5F66" w:rsidRPr="00A959C2">
        <w:rPr>
          <w:rFonts w:eastAsia="Times New Roman" w:cs="Arial"/>
        </w:rPr>
        <w:t xml:space="preserve">which had been </w:t>
      </w:r>
      <w:r w:rsidR="00512ABE" w:rsidRPr="00A959C2">
        <w:rPr>
          <w:rFonts w:eastAsia="Times New Roman" w:cs="Arial"/>
        </w:rPr>
        <w:t>prepared by Campbell Reith, Camden’s Basement impact Auditors, were circulated.</w:t>
      </w:r>
    </w:p>
    <w:p w:rsidR="007A2056" w:rsidRPr="00A959C2" w:rsidRDefault="00EE44DD" w:rsidP="001E50C7">
      <w:pPr>
        <w:rPr>
          <w:rFonts w:eastAsia="Times New Roman" w:cs="Arial"/>
        </w:rPr>
      </w:pPr>
      <w:r>
        <w:rPr>
          <w:rFonts w:eastAsia="Times New Roman" w:cs="Arial"/>
        </w:rPr>
        <w:t>18</w:t>
      </w:r>
      <w:r w:rsidR="00FA5F66" w:rsidRPr="00A959C2">
        <w:rPr>
          <w:rFonts w:eastAsia="Times New Roman" w:cs="Arial"/>
        </w:rPr>
        <w:t xml:space="preserve">. </w:t>
      </w:r>
      <w:r w:rsidR="00F90287" w:rsidRPr="00A959C2">
        <w:rPr>
          <w:rFonts w:eastAsia="Times New Roman" w:cs="Arial"/>
        </w:rPr>
        <w:t xml:space="preserve">Following Camden’s policy change, </w:t>
      </w:r>
      <w:r w:rsidR="00097452" w:rsidRPr="00A959C2">
        <w:rPr>
          <w:rFonts w:eastAsia="Times New Roman" w:cs="Arial"/>
        </w:rPr>
        <w:t xml:space="preserve">a further Opinion from Gwion Lewis was jointly sought by residents </w:t>
      </w:r>
      <w:r w:rsidR="005119BA" w:rsidRPr="00A959C2">
        <w:rPr>
          <w:rFonts w:eastAsia="Times New Roman" w:cs="Arial"/>
        </w:rPr>
        <w:t xml:space="preserve">in Quadrant Grove and </w:t>
      </w:r>
      <w:proofErr w:type="spellStart"/>
      <w:r w:rsidR="00097452" w:rsidRPr="00A959C2">
        <w:rPr>
          <w:rFonts w:eastAsia="Times New Roman" w:cs="Arial"/>
        </w:rPr>
        <w:t>Briardale</w:t>
      </w:r>
      <w:proofErr w:type="spellEnd"/>
      <w:r w:rsidR="00097452" w:rsidRPr="00A959C2">
        <w:rPr>
          <w:rFonts w:eastAsia="Times New Roman" w:cs="Arial"/>
        </w:rPr>
        <w:t xml:space="preserve"> Gardens</w:t>
      </w:r>
      <w:r w:rsidR="00097452" w:rsidRPr="00A959C2">
        <w:rPr>
          <w:rStyle w:val="FootnoteReference"/>
          <w:rFonts w:eastAsia="Times New Roman" w:cs="Arial"/>
        </w:rPr>
        <w:footnoteReference w:id="6"/>
      </w:r>
      <w:r w:rsidR="00097452" w:rsidRPr="00A959C2">
        <w:rPr>
          <w:rFonts w:eastAsia="Times New Roman" w:cs="Arial"/>
        </w:rPr>
        <w:t xml:space="preserve"> </w:t>
      </w:r>
      <w:r w:rsidR="005119BA" w:rsidRPr="00A959C2">
        <w:rPr>
          <w:rFonts w:eastAsia="Times New Roman" w:cs="Arial"/>
        </w:rPr>
        <w:t xml:space="preserve">on the lawfulness of prospective renewed applications </w:t>
      </w:r>
      <w:r w:rsidR="0023318F" w:rsidRPr="00A959C2">
        <w:rPr>
          <w:rFonts w:eastAsia="Times New Roman" w:cs="Arial"/>
        </w:rPr>
        <w:t>from the householders in those areas. Specifically, Mr Lewis was asked to advise whether the views that he expressed in his original opinions still stood in the light of the legal developments outlined above,</w:t>
      </w:r>
      <w:r w:rsidR="00C86CAE" w:rsidRPr="00A959C2">
        <w:rPr>
          <w:rFonts w:eastAsia="Times New Roman" w:cs="Arial"/>
        </w:rPr>
        <w:t xml:space="preserve"> </w:t>
      </w:r>
      <w:r>
        <w:rPr>
          <w:rFonts w:eastAsia="Times New Roman" w:cs="Arial"/>
        </w:rPr>
        <w:t xml:space="preserve">as well as </w:t>
      </w:r>
      <w:r w:rsidR="00C86CAE" w:rsidRPr="00A959C2">
        <w:rPr>
          <w:rFonts w:eastAsia="Times New Roman" w:cs="Arial"/>
        </w:rPr>
        <w:t>Giles Atkinson’s Opinion dated 3</w:t>
      </w:r>
      <w:r w:rsidR="00C86CAE" w:rsidRPr="00A959C2">
        <w:rPr>
          <w:rFonts w:eastAsia="Times New Roman" w:cs="Arial"/>
          <w:vertAlign w:val="superscript"/>
        </w:rPr>
        <w:t>rd</w:t>
      </w:r>
      <w:r w:rsidR="00C86CAE" w:rsidRPr="00A959C2">
        <w:rPr>
          <w:rFonts w:eastAsia="Times New Roman" w:cs="Arial"/>
        </w:rPr>
        <w:t xml:space="preserve"> October,</w:t>
      </w:r>
      <w:r w:rsidR="0023318F" w:rsidRPr="00A959C2">
        <w:rPr>
          <w:rFonts w:eastAsia="Times New Roman" w:cs="Arial"/>
        </w:rPr>
        <w:t xml:space="preserve"> </w:t>
      </w:r>
      <w:r w:rsidR="003F0937">
        <w:rPr>
          <w:rFonts w:eastAsia="Times New Roman" w:cs="Arial"/>
        </w:rPr>
        <w:t xml:space="preserve">the power point slides, </w:t>
      </w:r>
      <w:r w:rsidR="0023318F" w:rsidRPr="00A959C2">
        <w:rPr>
          <w:rFonts w:eastAsia="Times New Roman" w:cs="Arial"/>
        </w:rPr>
        <w:t>and the Counc</w:t>
      </w:r>
      <w:r>
        <w:rPr>
          <w:rFonts w:eastAsia="Times New Roman" w:cs="Arial"/>
        </w:rPr>
        <w:t>il’s apparent change of policy</w:t>
      </w:r>
      <w:r w:rsidR="0023318F" w:rsidRPr="00A959C2">
        <w:rPr>
          <w:rFonts w:eastAsia="Times New Roman" w:cs="Arial"/>
        </w:rPr>
        <w:t xml:space="preserve">. </w:t>
      </w:r>
    </w:p>
    <w:p w:rsidR="00C86CAE" w:rsidRPr="00A959C2" w:rsidRDefault="00EE44DD" w:rsidP="001E50C7">
      <w:pPr>
        <w:rPr>
          <w:rFonts w:eastAsia="Times New Roman" w:cs="Arial"/>
        </w:rPr>
      </w:pPr>
      <w:r>
        <w:rPr>
          <w:rFonts w:eastAsia="Times New Roman" w:cs="Arial"/>
        </w:rPr>
        <w:t>19</w:t>
      </w:r>
      <w:r w:rsidR="00C86CAE" w:rsidRPr="00A959C2">
        <w:rPr>
          <w:rFonts w:eastAsia="Times New Roman" w:cs="Arial"/>
        </w:rPr>
        <w:t>. We attach Mr Lewis’s further Opinion dated 14</w:t>
      </w:r>
      <w:r w:rsidR="00C86CAE" w:rsidRPr="00A959C2">
        <w:rPr>
          <w:rFonts w:eastAsia="Times New Roman" w:cs="Arial"/>
          <w:vertAlign w:val="superscript"/>
        </w:rPr>
        <w:t>th</w:t>
      </w:r>
      <w:r w:rsidR="00C86CAE" w:rsidRPr="00A959C2">
        <w:rPr>
          <w:rFonts w:eastAsia="Times New Roman" w:cs="Arial"/>
        </w:rPr>
        <w:t xml:space="preserve"> Dece</w:t>
      </w:r>
      <w:r w:rsidR="00023EFA">
        <w:rPr>
          <w:rFonts w:eastAsia="Times New Roman" w:cs="Arial"/>
        </w:rPr>
        <w:t>mber 2015 in which he reaches the</w:t>
      </w:r>
      <w:r w:rsidR="00C86CAE" w:rsidRPr="00A959C2">
        <w:rPr>
          <w:rFonts w:eastAsia="Times New Roman" w:cs="Arial"/>
        </w:rPr>
        <w:t xml:space="preserve"> following conclusions</w:t>
      </w:r>
      <w:r w:rsidR="00361CFB" w:rsidRPr="00A959C2">
        <w:rPr>
          <w:rFonts w:eastAsia="Times New Roman" w:cs="Arial"/>
        </w:rPr>
        <w:t>:</w:t>
      </w:r>
    </w:p>
    <w:p w:rsidR="00C86CAE" w:rsidRPr="00A959C2" w:rsidRDefault="00C86CAE" w:rsidP="00C86CAE">
      <w:pPr>
        <w:spacing w:line="360" w:lineRule="auto"/>
        <w:ind w:left="720"/>
        <w:jc w:val="both"/>
      </w:pPr>
      <w:proofErr w:type="spellStart"/>
      <w:r w:rsidRPr="00A959C2">
        <w:rPr>
          <w:rFonts w:eastAsia="Times New Roman" w:cs="Arial"/>
        </w:rPr>
        <w:t>i</w:t>
      </w:r>
      <w:proofErr w:type="spellEnd"/>
      <w:r w:rsidRPr="00A959C2">
        <w:rPr>
          <w:rFonts w:eastAsia="Times New Roman" w:cs="Arial"/>
        </w:rPr>
        <w:t xml:space="preserve">) </w:t>
      </w:r>
      <w:r w:rsidRPr="00A959C2">
        <w:t xml:space="preserve">Neither of the High Court judgments relied upon in RBKC v Secretary of State for Communities and Local Government [2015] and </w:t>
      </w:r>
      <w:proofErr w:type="spellStart"/>
      <w:r w:rsidRPr="00A959C2">
        <w:t>Zipporah</w:t>
      </w:r>
      <w:proofErr w:type="spellEnd"/>
      <w:r w:rsidRPr="00A959C2">
        <w:t xml:space="preserve"> Lisle-Mainwaring v RBKC [2015]  determined the fundamental point of whether the substantial excavation works involved in virtually all basement developments are outside the scope of the relevant permitted development right by virtue of being “engineering operations”. </w:t>
      </w:r>
    </w:p>
    <w:p w:rsidR="00C86CAE" w:rsidRPr="00A959C2" w:rsidRDefault="00C86CAE" w:rsidP="00C86CAE">
      <w:pPr>
        <w:spacing w:line="360" w:lineRule="auto"/>
        <w:ind w:left="720"/>
        <w:jc w:val="both"/>
      </w:pPr>
      <w:r w:rsidRPr="00A959C2">
        <w:lastRenderedPageBreak/>
        <w:t>ii) Th</w:t>
      </w:r>
      <w:r w:rsidR="00361CFB" w:rsidRPr="00A959C2">
        <w:t>at although th</w:t>
      </w:r>
      <w:r w:rsidRPr="00A959C2">
        <w:t>e appeal decision</w:t>
      </w:r>
      <w:r w:rsidR="00361CFB" w:rsidRPr="00A959C2">
        <w:t xml:space="preserve"> relating to 20 </w:t>
      </w:r>
      <w:proofErr w:type="spellStart"/>
      <w:r w:rsidR="00361CFB" w:rsidRPr="00A959C2">
        <w:t>Mackeson</w:t>
      </w:r>
      <w:proofErr w:type="spellEnd"/>
      <w:r w:rsidR="00361CFB" w:rsidRPr="00A959C2">
        <w:t xml:space="preserve"> Road </w:t>
      </w:r>
      <w:r w:rsidRPr="00A959C2">
        <w:t>determine</w:t>
      </w:r>
      <w:r w:rsidR="00361CFB" w:rsidRPr="00A959C2">
        <w:t>d</w:t>
      </w:r>
      <w:r w:rsidRPr="00A959C2">
        <w:t xml:space="preserve"> that fundamental point against </w:t>
      </w:r>
      <w:r w:rsidR="00361CFB" w:rsidRPr="00A959C2">
        <w:t xml:space="preserve">the </w:t>
      </w:r>
      <w:r w:rsidRPr="00A959C2">
        <w:t>Quadrant Grove</w:t>
      </w:r>
      <w:r w:rsidR="00361CFB" w:rsidRPr="00A959C2">
        <w:t xml:space="preserve"> objectors</w:t>
      </w:r>
      <w:r w:rsidR="00EE44DD">
        <w:t>, the I</w:t>
      </w:r>
      <w:r w:rsidRPr="00A959C2">
        <w:t xml:space="preserve">nspector’s reasoning was brief </w:t>
      </w:r>
      <w:r w:rsidR="00023EFA">
        <w:t xml:space="preserve">and wrong in law, and </w:t>
      </w:r>
      <w:r w:rsidRPr="00A959C2">
        <w:t>that other appeal decisions by inspectors</w:t>
      </w:r>
      <w:r w:rsidR="00683A08">
        <w:t>, such as the appeal dated 16</w:t>
      </w:r>
      <w:r w:rsidR="00683A08" w:rsidRPr="00683A08">
        <w:rPr>
          <w:vertAlign w:val="superscript"/>
        </w:rPr>
        <w:t>th</w:t>
      </w:r>
      <w:r w:rsidR="00683A08">
        <w:t xml:space="preserve"> March 2015 relating to Wildwood Lodge, 9, North End, Hampstead; and the earlier decision dated 27</w:t>
      </w:r>
      <w:r w:rsidR="00683A08" w:rsidRPr="00683A08">
        <w:rPr>
          <w:vertAlign w:val="superscript"/>
        </w:rPr>
        <w:t>th</w:t>
      </w:r>
      <w:r w:rsidR="00683A08">
        <w:t xml:space="preserve"> August 2009, relating to 4 </w:t>
      </w:r>
      <w:proofErr w:type="spellStart"/>
      <w:r w:rsidR="00683A08">
        <w:t>Turnville</w:t>
      </w:r>
      <w:proofErr w:type="spellEnd"/>
      <w:r w:rsidR="00683A08">
        <w:t xml:space="preserve"> Road London, which</w:t>
      </w:r>
      <w:r w:rsidRPr="00A959C2">
        <w:t xml:space="preserve"> have determined the point in our favour.</w:t>
      </w:r>
    </w:p>
    <w:p w:rsidR="00C86CAE" w:rsidRPr="00A959C2" w:rsidRDefault="00361CFB" w:rsidP="00361CFB">
      <w:pPr>
        <w:spacing w:line="360" w:lineRule="auto"/>
        <w:ind w:left="720"/>
        <w:jc w:val="both"/>
      </w:pPr>
      <w:r w:rsidRPr="00A959C2">
        <w:t>iii)</w:t>
      </w:r>
      <w:r w:rsidR="00EE44DD">
        <w:t xml:space="preserve"> </w:t>
      </w:r>
      <w:r w:rsidR="00C86CAE" w:rsidRPr="00A959C2">
        <w:t>The City of Westminster’s decision to apply for an Article 4 direction in respect of basement development does not appear to be based on accepting t</w:t>
      </w:r>
      <w:r w:rsidR="00EE44DD">
        <w:t>hat the works involved amounted to</w:t>
      </w:r>
      <w:r w:rsidR="00C86CAE" w:rsidRPr="00A959C2">
        <w:t xml:space="preserve"> an “e</w:t>
      </w:r>
      <w:r w:rsidR="00EE44DD">
        <w:t>ngineering operation” which fell</w:t>
      </w:r>
      <w:r w:rsidR="00C86CAE" w:rsidRPr="00A959C2">
        <w:t xml:space="preserve"> within the scope of the permitted development right. Whatever might be the City of Westminster’s basis for applying for the A</w:t>
      </w:r>
      <w:r w:rsidR="00EE44DD">
        <w:t>rticle 4 direction, that point was</w:t>
      </w:r>
      <w:r w:rsidR="00C86CAE" w:rsidRPr="00A959C2">
        <w:t xml:space="preserve"> still at large and not in any event determined definitively in law by any d</w:t>
      </w:r>
      <w:r w:rsidRPr="00A959C2">
        <w:t>ecision made by that authority; and</w:t>
      </w:r>
    </w:p>
    <w:p w:rsidR="00361CFB" w:rsidRPr="00A959C2" w:rsidRDefault="00EE44DD" w:rsidP="00361CFB">
      <w:pPr>
        <w:spacing w:line="360" w:lineRule="auto"/>
        <w:ind w:left="720"/>
        <w:jc w:val="both"/>
      </w:pPr>
      <w:proofErr w:type="gramStart"/>
      <w:r>
        <w:t xml:space="preserve">iv) So far </w:t>
      </w:r>
      <w:r w:rsidR="00C86CAE" w:rsidRPr="00A959C2">
        <w:t>as</w:t>
      </w:r>
      <w:proofErr w:type="gramEnd"/>
      <w:r w:rsidR="00C86CAE" w:rsidRPr="00A959C2">
        <w:t xml:space="preserve"> Cam</w:t>
      </w:r>
      <w:r>
        <w:t>den Council’s change of stance wa</w:t>
      </w:r>
      <w:r w:rsidR="00C86CAE" w:rsidRPr="00A959C2">
        <w:t>s based on the two High Court judgments mentioned above</w:t>
      </w:r>
      <w:r w:rsidR="00023EFA">
        <w:t>,</w:t>
      </w:r>
      <w:r>
        <w:t xml:space="preserve"> it was</w:t>
      </w:r>
      <w:r w:rsidR="00361CFB" w:rsidRPr="00A959C2">
        <w:t xml:space="preserve"> unsound. So far as a </w:t>
      </w:r>
      <w:r w:rsidR="00C86CAE" w:rsidRPr="00A959C2">
        <w:t xml:space="preserve">change of stance following </w:t>
      </w:r>
      <w:r w:rsidR="00361CFB" w:rsidRPr="00A959C2">
        <w:t xml:space="preserve">the 20 </w:t>
      </w:r>
      <w:proofErr w:type="spellStart"/>
      <w:r w:rsidR="00361CFB" w:rsidRPr="00A959C2">
        <w:t>Mackeso</w:t>
      </w:r>
      <w:r>
        <w:t>n</w:t>
      </w:r>
      <w:proofErr w:type="spellEnd"/>
      <w:r>
        <w:t xml:space="preserve"> Road decision was concerned, Mr Lewis pointed</w:t>
      </w:r>
      <w:r w:rsidR="00361CFB" w:rsidRPr="00A959C2">
        <w:t xml:space="preserve"> out that</w:t>
      </w:r>
      <w:r w:rsidR="00BD6FDB" w:rsidRPr="00A959C2">
        <w:t xml:space="preserve"> </w:t>
      </w:r>
      <w:r w:rsidR="00FA0BF9" w:rsidRPr="00A959C2">
        <w:t>Planning I</w:t>
      </w:r>
      <w:r w:rsidR="00BD6FDB" w:rsidRPr="00A959C2">
        <w:t xml:space="preserve">nspectors are not </w:t>
      </w:r>
      <w:r w:rsidR="00C86CAE" w:rsidRPr="00A959C2">
        <w:t>judges</w:t>
      </w:r>
      <w:r w:rsidR="00BD6FDB" w:rsidRPr="00A959C2">
        <w:t>,</w:t>
      </w:r>
      <w:r w:rsidR="00C86CAE" w:rsidRPr="00A959C2">
        <w:t xml:space="preserve"> and their interpretation of the law is not binding. </w:t>
      </w:r>
    </w:p>
    <w:p w:rsidR="00C86CAE" w:rsidRPr="00A959C2" w:rsidRDefault="00361CFB" w:rsidP="00361CFB">
      <w:pPr>
        <w:spacing w:line="360" w:lineRule="auto"/>
        <w:ind w:left="720"/>
        <w:jc w:val="both"/>
      </w:pPr>
      <w:r w:rsidRPr="00A959C2">
        <w:t xml:space="preserve">v) </w:t>
      </w:r>
      <w:r w:rsidR="00C86CAE" w:rsidRPr="00A959C2">
        <w:t xml:space="preserve">Although </w:t>
      </w:r>
      <w:r w:rsidR="00EE44DD">
        <w:t>Mr Lewis conceded</w:t>
      </w:r>
      <w:r w:rsidRPr="00A959C2">
        <w:t xml:space="preserve"> that </w:t>
      </w:r>
      <w:r w:rsidR="00C86CAE" w:rsidRPr="00A959C2">
        <w:t xml:space="preserve">the point of interpretation </w:t>
      </w:r>
      <w:r w:rsidR="00EE44DD">
        <w:t>wa</w:t>
      </w:r>
      <w:r w:rsidRPr="00A959C2">
        <w:t>s not without difficulty, he</w:t>
      </w:r>
      <w:r w:rsidR="00C86CAE" w:rsidRPr="00A959C2">
        <w:t xml:space="preserve"> remain</w:t>
      </w:r>
      <w:r w:rsidR="00EE44DD">
        <w:t>ed</w:t>
      </w:r>
      <w:r w:rsidR="00C86CAE" w:rsidRPr="00A959C2">
        <w:t xml:space="preserve"> of the view that there are good prospects </w:t>
      </w:r>
      <w:r w:rsidR="00BD6FDB" w:rsidRPr="00A959C2">
        <w:t>that a court would reject the</w:t>
      </w:r>
      <w:r w:rsidR="00C86CAE" w:rsidRPr="00A959C2">
        <w:t xml:space="preserve"> construction of the permitted development right</w:t>
      </w:r>
      <w:r w:rsidR="00BD6FDB" w:rsidRPr="00A959C2">
        <w:t xml:space="preserve"> placed by the Inspector in the </w:t>
      </w:r>
      <w:proofErr w:type="spellStart"/>
      <w:r w:rsidR="00BD6FDB" w:rsidRPr="00A959C2">
        <w:t>Mackeson</w:t>
      </w:r>
      <w:proofErr w:type="spellEnd"/>
      <w:r w:rsidR="00BD6FDB" w:rsidRPr="00A959C2">
        <w:t xml:space="preserve"> Road appeal, </w:t>
      </w:r>
      <w:r w:rsidR="00C86CAE" w:rsidRPr="00A959C2">
        <w:t>an</w:t>
      </w:r>
      <w:r w:rsidR="00BD6FDB" w:rsidRPr="00A959C2">
        <w:t>d prefer the construction that he set out in his</w:t>
      </w:r>
      <w:r w:rsidR="00C86CAE" w:rsidRPr="00A959C2">
        <w:t xml:space="preserve"> previous opi</w:t>
      </w:r>
      <w:r w:rsidR="00BD6FDB" w:rsidRPr="00A959C2">
        <w:t xml:space="preserve">nions and </w:t>
      </w:r>
      <w:r w:rsidR="00C86CAE" w:rsidRPr="00A959C2">
        <w:t>also prefer</w:t>
      </w:r>
      <w:r w:rsidR="00BD6FDB" w:rsidRPr="00A959C2">
        <w:t>red by other Inspectors</w:t>
      </w:r>
      <w:r w:rsidR="00C86CAE" w:rsidRPr="00A959C2">
        <w:t xml:space="preserve">. </w:t>
      </w:r>
    </w:p>
    <w:p w:rsidR="00B856C4" w:rsidRPr="00A959C2" w:rsidRDefault="00EE44DD" w:rsidP="00D718D6">
      <w:pPr>
        <w:pStyle w:val="NoSpacing"/>
      </w:pPr>
      <w:r>
        <w:t>20. W</w:t>
      </w:r>
      <w:r w:rsidR="00D23528" w:rsidRPr="00A959C2">
        <w:t xml:space="preserve">e are also aware of the Inspector’s appeal and costs decisions in respect of </w:t>
      </w:r>
      <w:r w:rsidR="002B0B4F" w:rsidRPr="00A959C2">
        <w:t xml:space="preserve">45 </w:t>
      </w:r>
      <w:proofErr w:type="spellStart"/>
      <w:r w:rsidR="00D23528" w:rsidRPr="00A959C2">
        <w:t>Reddington</w:t>
      </w:r>
      <w:proofErr w:type="spellEnd"/>
      <w:r w:rsidR="00D23528" w:rsidRPr="00A959C2">
        <w:t xml:space="preserve"> Road NW3,</w:t>
      </w:r>
      <w:r w:rsidR="00023EFA" w:rsidRPr="00A959C2">
        <w:t xml:space="preserve"> </w:t>
      </w:r>
      <w:r w:rsidR="00D23528" w:rsidRPr="00A959C2">
        <w:t xml:space="preserve">dated </w:t>
      </w:r>
      <w:r w:rsidR="002B0B4F" w:rsidRPr="00A959C2">
        <w:t>2</w:t>
      </w:r>
      <w:r w:rsidR="00D23528" w:rsidRPr="00A959C2">
        <w:t>7</w:t>
      </w:r>
      <w:r w:rsidR="002B0B4F" w:rsidRPr="00A959C2">
        <w:rPr>
          <w:vertAlign w:val="superscript"/>
        </w:rPr>
        <w:t>th</w:t>
      </w:r>
      <w:r w:rsidR="00D23528" w:rsidRPr="00A959C2">
        <w:t xml:space="preserve"> November 2015</w:t>
      </w:r>
      <w:r w:rsidR="002B0B4F" w:rsidRPr="00A959C2">
        <w:t xml:space="preserve"> allowing the appeal and awarding costs against the Council</w:t>
      </w:r>
      <w:r w:rsidR="00D23528" w:rsidRPr="00A959C2">
        <w:t>.</w:t>
      </w:r>
      <w:r w:rsidR="00D718D6" w:rsidRPr="00A959C2">
        <w:t xml:space="preserve"> We invite you to disregard </w:t>
      </w:r>
      <w:r w:rsidR="00B856C4" w:rsidRPr="00A959C2">
        <w:t>the I</w:t>
      </w:r>
      <w:r w:rsidR="00D718D6" w:rsidRPr="00A959C2">
        <w:t xml:space="preserve">nspector's ill-considered and improper suggestion that because Mr Lewis’s original Opinion </w:t>
      </w:r>
      <w:r w:rsidR="002B0B4F" w:rsidRPr="00A959C2">
        <w:t>dated 21</w:t>
      </w:r>
      <w:r w:rsidR="002B0B4F" w:rsidRPr="00A959C2">
        <w:rPr>
          <w:vertAlign w:val="superscript"/>
        </w:rPr>
        <w:t>st</w:t>
      </w:r>
      <w:r w:rsidR="002B0B4F" w:rsidRPr="00A959C2">
        <w:t xml:space="preserve"> May 2014 was obtained by the residents of </w:t>
      </w:r>
      <w:r w:rsidR="00D718D6" w:rsidRPr="00A959C2">
        <w:t xml:space="preserve">Quadrant Grove, it lacked neutrality </w:t>
      </w:r>
      <w:r w:rsidR="002B0B4F" w:rsidRPr="00A959C2">
        <w:t>and should be ignored by th</w:t>
      </w:r>
      <w:r w:rsidR="00B856C4" w:rsidRPr="00A959C2">
        <w:t xml:space="preserve">e Council. More importantly we suggest that </w:t>
      </w:r>
      <w:r w:rsidR="003F0937">
        <w:t xml:space="preserve">in any event, </w:t>
      </w:r>
      <w:r w:rsidR="00B856C4" w:rsidRPr="00A959C2">
        <w:t>this decision should be distinguished from the issues in the Quadrant Grove application since:</w:t>
      </w:r>
    </w:p>
    <w:p w:rsidR="00B856C4" w:rsidRPr="00A959C2" w:rsidRDefault="00B856C4" w:rsidP="00D718D6">
      <w:pPr>
        <w:pStyle w:val="NoSpacing"/>
      </w:pPr>
    </w:p>
    <w:p w:rsidR="00B856C4" w:rsidRPr="00A959C2" w:rsidRDefault="00B856C4" w:rsidP="00B856C4">
      <w:pPr>
        <w:pStyle w:val="NoSpacing"/>
        <w:ind w:left="720" w:firstLine="60"/>
      </w:pPr>
      <w:proofErr w:type="spellStart"/>
      <w:r w:rsidRPr="00A959C2">
        <w:t>i</w:t>
      </w:r>
      <w:proofErr w:type="spellEnd"/>
      <w:r w:rsidRPr="00A959C2">
        <w:t xml:space="preserve">) In the </w:t>
      </w:r>
      <w:proofErr w:type="spellStart"/>
      <w:r w:rsidRPr="00A959C2">
        <w:t>Reddington</w:t>
      </w:r>
      <w:proofErr w:type="spellEnd"/>
      <w:r w:rsidRPr="00A959C2">
        <w:t xml:space="preserve"> Road matter, the Inspector was only required</w:t>
      </w:r>
      <w:r w:rsidR="00D718D6" w:rsidRPr="00A959C2">
        <w:t xml:space="preserve"> to determine the interpretation of the Class E PD right for swimming pools, and not Class A</w:t>
      </w:r>
      <w:r w:rsidRPr="00A959C2">
        <w:t>. The relationship of Classes A and E and the importance of separating them w</w:t>
      </w:r>
      <w:r w:rsidR="00621387" w:rsidRPr="00A959C2">
        <w:t>ere</w:t>
      </w:r>
      <w:r w:rsidRPr="00A959C2">
        <w:t xml:space="preserve"> stressed by Mr Lewis in his original Opinion.</w:t>
      </w:r>
    </w:p>
    <w:p w:rsidR="00B856C4" w:rsidRPr="00A959C2" w:rsidRDefault="00B856C4" w:rsidP="00B856C4">
      <w:pPr>
        <w:pStyle w:val="NoSpacing"/>
        <w:ind w:left="720" w:firstLine="60"/>
      </w:pPr>
      <w:r w:rsidRPr="00A959C2">
        <w:t xml:space="preserve"> </w:t>
      </w:r>
    </w:p>
    <w:p w:rsidR="00D718D6" w:rsidRPr="00A959C2" w:rsidRDefault="00B856C4" w:rsidP="00621387">
      <w:pPr>
        <w:pStyle w:val="NoSpacing"/>
        <w:ind w:left="720"/>
        <w:rPr>
          <w:rFonts w:cs="Arial"/>
          <w:color w:val="000000"/>
        </w:rPr>
      </w:pPr>
      <w:r w:rsidRPr="00A959C2">
        <w:t xml:space="preserve"> </w:t>
      </w:r>
      <w:r w:rsidR="00D718D6" w:rsidRPr="00A959C2">
        <w:t xml:space="preserve"> </w:t>
      </w:r>
      <w:r w:rsidRPr="00A959C2">
        <w:t>(ii) The inspector actually contemplated</w:t>
      </w:r>
      <w:r w:rsidR="00621387" w:rsidRPr="00A959C2">
        <w:t xml:space="preserve"> the scenario in which the engineering work was</w:t>
      </w:r>
      <w:r w:rsidR="00D718D6" w:rsidRPr="00A959C2">
        <w:t xml:space="preserve"> so substantial as not to be</w:t>
      </w:r>
      <w:r w:rsidR="00621387" w:rsidRPr="00A959C2">
        <w:t xml:space="preserve"> ancillary to the building work. This </w:t>
      </w:r>
      <w:r w:rsidR="00D718D6" w:rsidRPr="00A959C2">
        <w:t>is precis</w:t>
      </w:r>
      <w:r w:rsidR="00621387" w:rsidRPr="00A959C2">
        <w:t xml:space="preserve">ely the point made by Mr Lewis in his </w:t>
      </w:r>
      <w:r w:rsidR="00D718D6" w:rsidRPr="00A959C2">
        <w:t xml:space="preserve">latest opinion. </w:t>
      </w:r>
    </w:p>
    <w:p w:rsidR="00621387" w:rsidRPr="00A959C2" w:rsidRDefault="00621387" w:rsidP="00BD6FDB">
      <w:pPr>
        <w:spacing w:line="360" w:lineRule="auto"/>
        <w:jc w:val="both"/>
        <w:rPr>
          <w:rFonts w:eastAsia="Times New Roman" w:cs="Arial"/>
        </w:rPr>
      </w:pPr>
    </w:p>
    <w:p w:rsidR="00EE44DD" w:rsidRDefault="00EE44DD" w:rsidP="00BD6FDB">
      <w:pPr>
        <w:spacing w:line="360" w:lineRule="auto"/>
        <w:jc w:val="both"/>
        <w:rPr>
          <w:u w:val="single"/>
        </w:rPr>
      </w:pPr>
    </w:p>
    <w:p w:rsidR="00EE44DD" w:rsidRDefault="00EE44DD" w:rsidP="00BD6FDB">
      <w:pPr>
        <w:spacing w:line="360" w:lineRule="auto"/>
        <w:jc w:val="both"/>
        <w:rPr>
          <w:u w:val="single"/>
        </w:rPr>
      </w:pPr>
    </w:p>
    <w:p w:rsidR="00BD6FDB" w:rsidRPr="00A959C2" w:rsidRDefault="00BD6FDB" w:rsidP="00BD6FDB">
      <w:pPr>
        <w:spacing w:line="360" w:lineRule="auto"/>
        <w:jc w:val="both"/>
        <w:rPr>
          <w:u w:val="single"/>
        </w:rPr>
      </w:pPr>
      <w:r w:rsidRPr="00A959C2">
        <w:rPr>
          <w:u w:val="single"/>
        </w:rPr>
        <w:t xml:space="preserve">Objections </w:t>
      </w:r>
      <w:r w:rsidR="009229F6" w:rsidRPr="00A959C2">
        <w:rPr>
          <w:u w:val="single"/>
        </w:rPr>
        <w:t xml:space="preserve">by the Quadrant Grove Resident’s Association </w:t>
      </w:r>
      <w:r w:rsidRPr="00A959C2">
        <w:rPr>
          <w:u w:val="single"/>
        </w:rPr>
        <w:t>to the renewed application</w:t>
      </w:r>
    </w:p>
    <w:p w:rsidR="00FA0BF9" w:rsidRPr="00A959C2" w:rsidRDefault="00EE44DD" w:rsidP="00BD6FDB">
      <w:pPr>
        <w:spacing w:line="360" w:lineRule="auto"/>
        <w:jc w:val="both"/>
      </w:pPr>
      <w:r>
        <w:t>21</w:t>
      </w:r>
      <w:r w:rsidR="00BD6FDB" w:rsidRPr="00A959C2">
        <w:t xml:space="preserve">. </w:t>
      </w:r>
      <w:r w:rsidR="009229F6" w:rsidRPr="00A959C2">
        <w:t>We once again adopt and rely on the objections previously raised by Michael Eatherley and Barbara Thorndick at the time of the original applications, namely that</w:t>
      </w:r>
      <w:r w:rsidR="00FA0BF9" w:rsidRPr="00A959C2">
        <w:t>:</w:t>
      </w:r>
    </w:p>
    <w:p w:rsidR="00BD6FDB" w:rsidRPr="00A959C2" w:rsidRDefault="00FA0BF9" w:rsidP="00FA0BF9">
      <w:pPr>
        <w:pStyle w:val="ListParagraph"/>
        <w:numPr>
          <w:ilvl w:val="0"/>
          <w:numId w:val="2"/>
        </w:numPr>
        <w:spacing w:line="360" w:lineRule="auto"/>
        <w:jc w:val="both"/>
      </w:pPr>
      <w:r w:rsidRPr="00A959C2">
        <w:t>Camden is required to consider each case on the merits and to carefully assess each against the rele</w:t>
      </w:r>
      <w:r w:rsidR="00FA1BC1">
        <w:t>vant parts of the relevant GPDO.</w:t>
      </w:r>
    </w:p>
    <w:p w:rsidR="00FA0BF9" w:rsidRPr="00A959C2" w:rsidRDefault="00FA0BF9" w:rsidP="00FA0BF9">
      <w:pPr>
        <w:pStyle w:val="ListParagraph"/>
        <w:numPr>
          <w:ilvl w:val="0"/>
          <w:numId w:val="2"/>
        </w:numPr>
        <w:spacing w:line="360" w:lineRule="auto"/>
        <w:jc w:val="both"/>
      </w:pPr>
      <w:r w:rsidRPr="00A959C2">
        <w:t xml:space="preserve">In the case of the renewed application, the proposals involve excavation works which, as a matter of fact and degree constitute “an engineering operation” and which do not benefit from any permitted development right as governed by section 55  of the Town and Country Planning Act 1990. The application is therefore unlawful. </w:t>
      </w:r>
    </w:p>
    <w:p w:rsidR="00FA0BF9" w:rsidRPr="00A959C2" w:rsidRDefault="00FA0BF9" w:rsidP="00FA0BF9">
      <w:pPr>
        <w:pStyle w:val="ListParagraph"/>
        <w:numPr>
          <w:ilvl w:val="0"/>
          <w:numId w:val="2"/>
        </w:numPr>
        <w:spacing w:line="360" w:lineRule="auto"/>
        <w:jc w:val="both"/>
      </w:pPr>
      <w:r w:rsidRPr="00A959C2">
        <w:t>Basement construction of the kind and extent contemplated are contrary to government and local authority guidance on permitted development. (See e.g. Planning Portal provisions of “Permitted Development for Householders” published by Dept for Communities and Local Government, and Technical Guidance dated April 2014 in which previous references to basements have been omitted.)</w:t>
      </w:r>
    </w:p>
    <w:p w:rsidR="00FA0BF9" w:rsidRPr="00A959C2" w:rsidRDefault="00FA0BF9" w:rsidP="00FA0BF9">
      <w:pPr>
        <w:pStyle w:val="ListParagraph"/>
        <w:numPr>
          <w:ilvl w:val="0"/>
          <w:numId w:val="2"/>
        </w:numPr>
        <w:spacing w:line="360" w:lineRule="auto"/>
        <w:jc w:val="both"/>
      </w:pPr>
      <w:r w:rsidRPr="00A959C2">
        <w:t xml:space="preserve">The operation, contrary to the terms of the current application, is likely to involve the construction of a </w:t>
      </w:r>
      <w:proofErr w:type="spellStart"/>
      <w:r w:rsidRPr="00A959C2">
        <w:t>lightwell</w:t>
      </w:r>
      <w:proofErr w:type="spellEnd"/>
      <w:r w:rsidRPr="00A959C2">
        <w:t xml:space="preserve"> in the front garden (as set out in the original planning application). This is because a large part of the small front garden would have to be excavated to facilitate the various engineering operations involved: underpinning of party walls, removal of spoil from under the house, construction of retaining walls and slab.  In these circumstances it is difficult to imagine that the temptation to convert a dark cellar into a more useable space would not prevail.   PDCs should not be granted where works involve building of </w:t>
      </w:r>
      <w:proofErr w:type="spellStart"/>
      <w:r w:rsidRPr="00A959C2">
        <w:t>lightwells</w:t>
      </w:r>
      <w:proofErr w:type="spellEnd"/>
      <w:r w:rsidRPr="00A959C2">
        <w:t>. Camden is therefore ‘on notice’.</w:t>
      </w:r>
    </w:p>
    <w:p w:rsidR="00FA0BF9" w:rsidRPr="00A959C2" w:rsidRDefault="00FA0BF9" w:rsidP="00FA0BF9">
      <w:pPr>
        <w:pStyle w:val="ListParagraph"/>
        <w:numPr>
          <w:ilvl w:val="0"/>
          <w:numId w:val="2"/>
        </w:numPr>
        <w:spacing w:line="360" w:lineRule="auto"/>
        <w:jc w:val="both"/>
      </w:pPr>
      <w:r w:rsidRPr="00A959C2">
        <w:t xml:space="preserve">The application is no more than a fast track procedure which  attempts to overcome problems identified by Camden’s engineers in an independent </w:t>
      </w:r>
      <w:r w:rsidR="00FA1BC1">
        <w:t xml:space="preserve">BIA, and to defeat the more </w:t>
      </w:r>
      <w:r w:rsidRPr="00A959C2">
        <w:t xml:space="preserve">rigorous requirements of a (potentially problematic) planning application. </w:t>
      </w:r>
    </w:p>
    <w:p w:rsidR="00FA0BF9" w:rsidRPr="00A959C2" w:rsidRDefault="00D23528" w:rsidP="00BD6FDB">
      <w:pPr>
        <w:pStyle w:val="ListParagraph"/>
        <w:numPr>
          <w:ilvl w:val="0"/>
          <w:numId w:val="3"/>
        </w:numPr>
        <w:spacing w:after="200" w:line="360" w:lineRule="auto"/>
        <w:jc w:val="both"/>
      </w:pPr>
      <w:r w:rsidRPr="00A959C2">
        <w:t xml:space="preserve">To grant a PDC in </w:t>
      </w:r>
      <w:r w:rsidR="00FA0BF9" w:rsidRPr="00A959C2">
        <w:t>such circumstances would be illogical and unreasonable</w:t>
      </w:r>
      <w:r w:rsidRPr="00A959C2">
        <w:t>.</w:t>
      </w:r>
    </w:p>
    <w:p w:rsidR="00C86CAE" w:rsidRPr="00A959C2" w:rsidRDefault="00D23528" w:rsidP="001E50C7">
      <w:pPr>
        <w:rPr>
          <w:rFonts w:eastAsia="Times New Roman" w:cs="Arial"/>
          <w:u w:val="single"/>
        </w:rPr>
      </w:pPr>
      <w:proofErr w:type="gramStart"/>
      <w:r w:rsidRPr="00A959C2">
        <w:rPr>
          <w:rFonts w:eastAsia="Times New Roman" w:cs="Arial"/>
          <w:u w:val="single"/>
        </w:rPr>
        <w:t>Camden’s current approach to PD rights an</w:t>
      </w:r>
      <w:r w:rsidR="00621387" w:rsidRPr="00A959C2">
        <w:rPr>
          <w:rFonts w:eastAsia="Times New Roman" w:cs="Arial"/>
          <w:u w:val="single"/>
        </w:rPr>
        <w:t>d</w:t>
      </w:r>
      <w:r w:rsidRPr="00A959C2">
        <w:rPr>
          <w:rFonts w:eastAsia="Times New Roman" w:cs="Arial"/>
          <w:u w:val="single"/>
        </w:rPr>
        <w:t xml:space="preserve"> consultation.</w:t>
      </w:r>
      <w:proofErr w:type="gramEnd"/>
    </w:p>
    <w:p w:rsidR="00FA1BC1" w:rsidRDefault="00EE44DD" w:rsidP="001E50C7">
      <w:pPr>
        <w:rPr>
          <w:rFonts w:eastAsia="Times New Roman" w:cs="Arial"/>
        </w:rPr>
      </w:pPr>
      <w:r>
        <w:rPr>
          <w:rFonts w:eastAsia="Times New Roman" w:cs="Arial"/>
        </w:rPr>
        <w:t>22</w:t>
      </w:r>
      <w:r w:rsidR="00D23528" w:rsidRPr="00A959C2">
        <w:rPr>
          <w:rFonts w:eastAsia="Times New Roman" w:cs="Arial"/>
        </w:rPr>
        <w:t xml:space="preserve">. </w:t>
      </w:r>
      <w:r w:rsidR="00746932" w:rsidRPr="00A959C2">
        <w:rPr>
          <w:rFonts w:eastAsia="Times New Roman" w:cs="Arial"/>
        </w:rPr>
        <w:t>G</w:t>
      </w:r>
      <w:r w:rsidR="00621387" w:rsidRPr="00A959C2">
        <w:rPr>
          <w:rFonts w:eastAsia="Times New Roman" w:cs="Arial"/>
        </w:rPr>
        <w:t>iven the history of this matter</w:t>
      </w:r>
      <w:r w:rsidR="00746932" w:rsidRPr="00A959C2">
        <w:rPr>
          <w:rFonts w:eastAsia="Times New Roman" w:cs="Arial"/>
        </w:rPr>
        <w:t xml:space="preserve"> which I have set out above</w:t>
      </w:r>
      <w:r w:rsidR="00621387" w:rsidRPr="00A959C2">
        <w:rPr>
          <w:rFonts w:eastAsia="Times New Roman" w:cs="Arial"/>
        </w:rPr>
        <w:t xml:space="preserve">, we wish to register our deep concern about the way in which Camden policy and decision making in this area is evolving. First, </w:t>
      </w:r>
      <w:r w:rsidR="00BF2737" w:rsidRPr="00A959C2">
        <w:rPr>
          <w:rFonts w:eastAsia="Times New Roman" w:cs="Arial"/>
        </w:rPr>
        <w:t xml:space="preserve">there is a </w:t>
      </w:r>
      <w:r w:rsidR="003F0937">
        <w:rPr>
          <w:rFonts w:eastAsia="Times New Roman" w:cs="Arial"/>
        </w:rPr>
        <w:t xml:space="preserve">real </w:t>
      </w:r>
      <w:r w:rsidR="00BF2737" w:rsidRPr="00A959C2">
        <w:rPr>
          <w:rFonts w:eastAsia="Times New Roman" w:cs="Arial"/>
        </w:rPr>
        <w:t xml:space="preserve">perception that the Council is not adopting an entirely even-handed approach between </w:t>
      </w:r>
      <w:r w:rsidR="00BF2737" w:rsidRPr="00A959C2">
        <w:rPr>
          <w:rFonts w:eastAsia="Times New Roman" w:cs="Arial"/>
        </w:rPr>
        <w:lastRenderedPageBreak/>
        <w:t>applicants and objectors in this area. It may well be that the close proximity in time between the decision by Mr Ireland to withdraw his</w:t>
      </w:r>
      <w:r w:rsidR="003F0937">
        <w:rPr>
          <w:rFonts w:eastAsia="Times New Roman" w:cs="Arial"/>
        </w:rPr>
        <w:t xml:space="preserve"> appeal to the Inspectorate on 13</w:t>
      </w:r>
      <w:r w:rsidR="00BF2737" w:rsidRPr="00A959C2">
        <w:rPr>
          <w:rFonts w:eastAsia="Times New Roman" w:cs="Arial"/>
          <w:vertAlign w:val="superscript"/>
        </w:rPr>
        <w:t>th</w:t>
      </w:r>
      <w:r w:rsidR="00BF2737" w:rsidRPr="00A959C2">
        <w:rPr>
          <w:rFonts w:eastAsia="Times New Roman" w:cs="Arial"/>
        </w:rPr>
        <w:t xml:space="preserve"> October, and the decision by the Council to </w:t>
      </w:r>
      <w:r w:rsidR="0002015F" w:rsidRPr="00A959C2">
        <w:rPr>
          <w:rFonts w:eastAsia="Times New Roman" w:cs="Arial"/>
        </w:rPr>
        <w:t xml:space="preserve">change its policy and to </w:t>
      </w:r>
      <w:r w:rsidR="00AB5ABE" w:rsidRPr="00A959C2">
        <w:rPr>
          <w:rFonts w:eastAsia="Times New Roman" w:cs="Arial"/>
        </w:rPr>
        <w:t>‘</w:t>
      </w:r>
      <w:r w:rsidR="0002015F" w:rsidRPr="00A959C2">
        <w:rPr>
          <w:rFonts w:eastAsia="Times New Roman" w:cs="Arial"/>
        </w:rPr>
        <w:t>retrain</w:t>
      </w:r>
      <w:r w:rsidR="00AB5ABE" w:rsidRPr="00A959C2">
        <w:rPr>
          <w:rFonts w:eastAsia="Times New Roman" w:cs="Arial"/>
        </w:rPr>
        <w:t>’</w:t>
      </w:r>
      <w:r w:rsidR="0002015F" w:rsidRPr="00A959C2">
        <w:rPr>
          <w:rFonts w:eastAsia="Times New Roman" w:cs="Arial"/>
        </w:rPr>
        <w:t xml:space="preserve"> coun</w:t>
      </w:r>
      <w:r w:rsidR="00746932" w:rsidRPr="00A959C2">
        <w:rPr>
          <w:rFonts w:eastAsia="Times New Roman" w:cs="Arial"/>
        </w:rPr>
        <w:t xml:space="preserve">cillors </w:t>
      </w:r>
      <w:r w:rsidR="00023EFA">
        <w:rPr>
          <w:rFonts w:eastAsia="Times New Roman" w:cs="Arial"/>
        </w:rPr>
        <w:t xml:space="preserve">shortly thereafter </w:t>
      </w:r>
      <w:r w:rsidR="00746932" w:rsidRPr="00A959C2">
        <w:rPr>
          <w:rFonts w:eastAsia="Times New Roman" w:cs="Arial"/>
        </w:rPr>
        <w:t>was mere co-incidence</w:t>
      </w:r>
      <w:r w:rsidR="0002015F" w:rsidRPr="00A959C2">
        <w:rPr>
          <w:rFonts w:eastAsia="Times New Roman" w:cs="Arial"/>
        </w:rPr>
        <w:t>, but the decision to register and post this renewed application on your website two days before Christmas</w:t>
      </w:r>
      <w:r w:rsidR="00FA1BC1">
        <w:rPr>
          <w:rFonts w:eastAsia="Times New Roman" w:cs="Arial"/>
        </w:rPr>
        <w:t>,</w:t>
      </w:r>
      <w:r w:rsidR="0002015F" w:rsidRPr="00A959C2">
        <w:rPr>
          <w:rFonts w:eastAsia="Times New Roman" w:cs="Arial"/>
        </w:rPr>
        <w:t xml:space="preserve"> when most people are away or pre-occupied</w:t>
      </w:r>
      <w:r w:rsidR="0042571F">
        <w:rPr>
          <w:rFonts w:eastAsia="Times New Roman" w:cs="Arial"/>
        </w:rPr>
        <w:t>,</w:t>
      </w:r>
      <w:r w:rsidR="0002015F" w:rsidRPr="00A959C2">
        <w:rPr>
          <w:rFonts w:eastAsia="Times New Roman" w:cs="Arial"/>
        </w:rPr>
        <w:t xml:space="preserve"> is extremely cynical. Moreover, to advise that those who </w:t>
      </w:r>
      <w:r w:rsidR="0042571F">
        <w:rPr>
          <w:rFonts w:eastAsia="Times New Roman" w:cs="Arial"/>
        </w:rPr>
        <w:t>wish to comment upon the matter</w:t>
      </w:r>
      <w:r w:rsidR="0002015F" w:rsidRPr="00A959C2">
        <w:rPr>
          <w:rFonts w:eastAsia="Times New Roman" w:cs="Arial"/>
        </w:rPr>
        <w:t xml:space="preserve"> had until 18</w:t>
      </w:r>
      <w:r w:rsidR="0002015F" w:rsidRPr="00A959C2">
        <w:rPr>
          <w:rFonts w:eastAsia="Times New Roman" w:cs="Arial"/>
          <w:vertAlign w:val="superscript"/>
        </w:rPr>
        <w:t>th</w:t>
      </w:r>
      <w:r w:rsidR="0002015F" w:rsidRPr="00A959C2">
        <w:rPr>
          <w:rFonts w:eastAsia="Times New Roman" w:cs="Arial"/>
        </w:rPr>
        <w:t xml:space="preserve"> December </w:t>
      </w:r>
      <w:proofErr w:type="gramStart"/>
      <w:r w:rsidR="0042571F">
        <w:rPr>
          <w:rFonts w:eastAsia="Times New Roman" w:cs="Arial"/>
        </w:rPr>
        <w:t>( four</w:t>
      </w:r>
      <w:proofErr w:type="gramEnd"/>
      <w:r w:rsidR="0042571F">
        <w:rPr>
          <w:rFonts w:eastAsia="Times New Roman" w:cs="Arial"/>
        </w:rPr>
        <w:t xml:space="preserve"> days before the application was registered) </w:t>
      </w:r>
      <w:r w:rsidR="00023EFA">
        <w:rPr>
          <w:rFonts w:eastAsia="Times New Roman" w:cs="Arial"/>
        </w:rPr>
        <w:t>has caused considerable confusion. I note your email to Mr Eatherley today in which you state that you have now changed the date on the website, although you do not clarify whether the original date was a mist</w:t>
      </w:r>
      <w:r w:rsidR="00FA1BC1">
        <w:rPr>
          <w:rFonts w:eastAsia="Times New Roman" w:cs="Arial"/>
        </w:rPr>
        <w:t>a</w:t>
      </w:r>
      <w:r w:rsidR="00023EFA">
        <w:rPr>
          <w:rFonts w:eastAsia="Times New Roman" w:cs="Arial"/>
        </w:rPr>
        <w:t>ke</w:t>
      </w:r>
      <w:r w:rsidR="00FA1BC1">
        <w:rPr>
          <w:rFonts w:eastAsia="Times New Roman" w:cs="Arial"/>
        </w:rPr>
        <w:t>, nor do you specify the newly published date.</w:t>
      </w:r>
      <w:r w:rsidR="00023EFA">
        <w:rPr>
          <w:rFonts w:eastAsia="Times New Roman" w:cs="Arial"/>
        </w:rPr>
        <w:t xml:space="preserve"> </w:t>
      </w:r>
    </w:p>
    <w:p w:rsidR="00746932" w:rsidRPr="00A959C2" w:rsidRDefault="0042571F" w:rsidP="001E50C7">
      <w:pPr>
        <w:rPr>
          <w:rFonts w:eastAsia="Times New Roman" w:cs="Arial"/>
        </w:rPr>
      </w:pPr>
      <w:r>
        <w:rPr>
          <w:rFonts w:eastAsia="Times New Roman" w:cs="Arial"/>
        </w:rPr>
        <w:t>23</w:t>
      </w:r>
      <w:r w:rsidR="00746932" w:rsidRPr="00A959C2">
        <w:rPr>
          <w:rFonts w:eastAsia="Times New Roman" w:cs="Arial"/>
        </w:rPr>
        <w:t xml:space="preserve">. Secondly, </w:t>
      </w:r>
      <w:r w:rsidR="00621387" w:rsidRPr="00A959C2">
        <w:rPr>
          <w:rFonts w:eastAsia="Times New Roman" w:cs="Arial"/>
        </w:rPr>
        <w:t xml:space="preserve">it has become apparent </w:t>
      </w:r>
      <w:r w:rsidR="00746932" w:rsidRPr="00A959C2">
        <w:rPr>
          <w:rFonts w:eastAsia="Times New Roman" w:cs="Arial"/>
        </w:rPr>
        <w:t xml:space="preserve">from a number of recent cases, </w:t>
      </w:r>
      <w:r w:rsidR="00FA1BC1">
        <w:rPr>
          <w:rFonts w:eastAsia="Times New Roman" w:cs="Arial"/>
        </w:rPr>
        <w:t>that instead of</w:t>
      </w:r>
      <w:r w:rsidR="00621387" w:rsidRPr="00A959C2">
        <w:rPr>
          <w:rFonts w:eastAsia="Times New Roman" w:cs="Arial"/>
        </w:rPr>
        <w:t xml:space="preserve"> deciding each renewed application on its merits, the Council has adopted a pro-forma </w:t>
      </w:r>
      <w:r w:rsidR="00746932" w:rsidRPr="00A959C2">
        <w:rPr>
          <w:rFonts w:eastAsia="Times New Roman" w:cs="Arial"/>
        </w:rPr>
        <w:t xml:space="preserve">rubber stamp </w:t>
      </w:r>
      <w:r w:rsidR="00621387" w:rsidRPr="00A959C2">
        <w:rPr>
          <w:rFonts w:eastAsia="Times New Roman" w:cs="Arial"/>
        </w:rPr>
        <w:t>approach</w:t>
      </w:r>
      <w:r w:rsidR="00746932" w:rsidRPr="00A959C2">
        <w:rPr>
          <w:rFonts w:eastAsia="Times New Roman" w:cs="Arial"/>
        </w:rPr>
        <w:t xml:space="preserve"> which </w:t>
      </w:r>
      <w:r w:rsidR="001918C2" w:rsidRPr="00A959C2">
        <w:rPr>
          <w:rFonts w:eastAsia="Times New Roman" w:cs="Arial"/>
        </w:rPr>
        <w:t xml:space="preserve">tends to </w:t>
      </w:r>
      <w:r w:rsidR="00746932" w:rsidRPr="00A959C2">
        <w:rPr>
          <w:rFonts w:eastAsia="Times New Roman" w:cs="Arial"/>
        </w:rPr>
        <w:t>favour appli</w:t>
      </w:r>
      <w:r w:rsidR="00FA1BC1">
        <w:rPr>
          <w:rFonts w:eastAsia="Times New Roman" w:cs="Arial"/>
        </w:rPr>
        <w:t>cants</w:t>
      </w:r>
      <w:r w:rsidR="00746932" w:rsidRPr="00A959C2">
        <w:rPr>
          <w:rFonts w:eastAsia="Times New Roman" w:cs="Arial"/>
        </w:rPr>
        <w:t>, and which</w:t>
      </w:r>
      <w:r w:rsidR="00FA1BC1">
        <w:rPr>
          <w:rFonts w:eastAsia="Times New Roman" w:cs="Arial"/>
        </w:rPr>
        <w:t>, owing to</w:t>
      </w:r>
      <w:r w:rsidR="00746932" w:rsidRPr="00A959C2">
        <w:rPr>
          <w:rFonts w:eastAsia="Times New Roman" w:cs="Arial"/>
        </w:rPr>
        <w:t xml:space="preserve"> </w:t>
      </w:r>
      <w:r w:rsidR="00FA1BC1">
        <w:rPr>
          <w:rFonts w:eastAsia="Times New Roman" w:cs="Arial"/>
        </w:rPr>
        <w:t xml:space="preserve">40% cuts by central government, </w:t>
      </w:r>
      <w:r w:rsidR="00746932" w:rsidRPr="00A959C2">
        <w:rPr>
          <w:rFonts w:eastAsia="Times New Roman" w:cs="Arial"/>
        </w:rPr>
        <w:t>is wholly cost driven.</w:t>
      </w:r>
    </w:p>
    <w:p w:rsidR="00AB5ABE" w:rsidRPr="00A959C2" w:rsidRDefault="00AB5ABE" w:rsidP="001E50C7">
      <w:pPr>
        <w:rPr>
          <w:rFonts w:eastAsia="Times New Roman" w:cs="Arial"/>
          <w:u w:val="single"/>
        </w:rPr>
      </w:pPr>
      <w:r w:rsidRPr="00A959C2">
        <w:rPr>
          <w:rFonts w:eastAsia="Times New Roman" w:cs="Arial"/>
          <w:u w:val="single"/>
        </w:rPr>
        <w:t>Conclusion</w:t>
      </w:r>
    </w:p>
    <w:p w:rsidR="001918C2" w:rsidRPr="00A959C2" w:rsidRDefault="0042571F" w:rsidP="001E50C7">
      <w:pPr>
        <w:rPr>
          <w:rFonts w:eastAsia="Times New Roman" w:cs="Arial"/>
        </w:rPr>
      </w:pPr>
      <w:r>
        <w:rPr>
          <w:rFonts w:eastAsia="Times New Roman" w:cs="Arial"/>
        </w:rPr>
        <w:t>24</w:t>
      </w:r>
      <w:r w:rsidR="00AB5ABE" w:rsidRPr="00A959C2">
        <w:rPr>
          <w:rFonts w:eastAsia="Times New Roman" w:cs="Arial"/>
        </w:rPr>
        <w:t xml:space="preserve">. We urge you to consider and give weight to our renewed objections and the clear and objective analysis </w:t>
      </w:r>
      <w:r w:rsidR="001918C2" w:rsidRPr="00A959C2">
        <w:rPr>
          <w:rFonts w:eastAsia="Times New Roman" w:cs="Arial"/>
        </w:rPr>
        <w:t xml:space="preserve">of the law </w:t>
      </w:r>
      <w:r w:rsidR="00AB5ABE" w:rsidRPr="00A959C2">
        <w:rPr>
          <w:rFonts w:eastAsia="Times New Roman" w:cs="Arial"/>
        </w:rPr>
        <w:t>provided by Gwion Lewis in his most recent Opinion</w:t>
      </w:r>
      <w:r w:rsidR="001918C2" w:rsidRPr="00A959C2">
        <w:rPr>
          <w:rFonts w:eastAsia="Times New Roman" w:cs="Arial"/>
        </w:rPr>
        <w:t xml:space="preserve">; </w:t>
      </w:r>
      <w:r w:rsidR="00AB5ABE" w:rsidRPr="00A959C2">
        <w:rPr>
          <w:rFonts w:eastAsia="Times New Roman" w:cs="Arial"/>
        </w:rPr>
        <w:t xml:space="preserve">to come to an independent decision based upon the </w:t>
      </w:r>
      <w:r w:rsidR="001918C2" w:rsidRPr="00A959C2">
        <w:rPr>
          <w:rFonts w:eastAsia="Times New Roman" w:cs="Arial"/>
        </w:rPr>
        <w:t xml:space="preserve">individual </w:t>
      </w:r>
      <w:r w:rsidR="00AB5ABE" w:rsidRPr="00A959C2">
        <w:rPr>
          <w:rFonts w:eastAsia="Times New Roman" w:cs="Arial"/>
        </w:rPr>
        <w:t>circumstances of our case</w:t>
      </w:r>
      <w:r w:rsidR="001918C2" w:rsidRPr="00A959C2">
        <w:rPr>
          <w:rFonts w:eastAsia="Times New Roman" w:cs="Arial"/>
        </w:rPr>
        <w:t>, and to</w:t>
      </w:r>
      <w:r w:rsidR="006A16E6">
        <w:rPr>
          <w:rFonts w:eastAsia="Times New Roman" w:cs="Arial"/>
        </w:rPr>
        <w:t xml:space="preserve"> recommend that</w:t>
      </w:r>
      <w:r w:rsidR="001918C2" w:rsidRPr="00A959C2">
        <w:rPr>
          <w:rFonts w:eastAsia="Times New Roman" w:cs="Arial"/>
        </w:rPr>
        <w:t xml:space="preserve"> this application</w:t>
      </w:r>
      <w:r w:rsidR="006A16E6">
        <w:rPr>
          <w:rFonts w:eastAsia="Times New Roman" w:cs="Arial"/>
        </w:rPr>
        <w:t xml:space="preserve"> is refused</w:t>
      </w:r>
      <w:r w:rsidR="001918C2" w:rsidRPr="00A959C2">
        <w:rPr>
          <w:rFonts w:eastAsia="Times New Roman" w:cs="Arial"/>
        </w:rPr>
        <w:t>.</w:t>
      </w:r>
      <w:r w:rsidR="00AB5ABE" w:rsidRPr="00A959C2">
        <w:rPr>
          <w:rFonts w:eastAsia="Times New Roman" w:cs="Arial"/>
        </w:rPr>
        <w:t xml:space="preserve"> The </w:t>
      </w:r>
      <w:r w:rsidR="001918C2" w:rsidRPr="00A959C2">
        <w:rPr>
          <w:rFonts w:eastAsia="Times New Roman" w:cs="Arial"/>
        </w:rPr>
        <w:t>position</w:t>
      </w:r>
      <w:r w:rsidR="00AB5ABE" w:rsidRPr="00A959C2">
        <w:rPr>
          <w:rFonts w:eastAsia="Times New Roman" w:cs="Arial"/>
        </w:rPr>
        <w:t xml:space="preserve"> is not nearly as clear cut as some would like to believe, and if this case has to be litigated, the Council will necessarily incur costs </w:t>
      </w:r>
      <w:r w:rsidR="001918C2" w:rsidRPr="00A959C2">
        <w:rPr>
          <w:rFonts w:eastAsia="Times New Roman" w:cs="Arial"/>
        </w:rPr>
        <w:t>tha</w:t>
      </w:r>
      <w:r w:rsidR="00FA1BC1">
        <w:rPr>
          <w:rFonts w:eastAsia="Times New Roman" w:cs="Arial"/>
        </w:rPr>
        <w:t>t its recent policy changes had</w:t>
      </w:r>
      <w:r w:rsidR="00AB5ABE" w:rsidRPr="00A959C2">
        <w:rPr>
          <w:rFonts w:eastAsia="Times New Roman" w:cs="Arial"/>
        </w:rPr>
        <w:t xml:space="preserve"> hope</w:t>
      </w:r>
      <w:r w:rsidR="001918C2" w:rsidRPr="00A959C2">
        <w:rPr>
          <w:rFonts w:eastAsia="Times New Roman" w:cs="Arial"/>
        </w:rPr>
        <w:t>d</w:t>
      </w:r>
      <w:r w:rsidR="00AB5ABE" w:rsidRPr="00A959C2">
        <w:rPr>
          <w:rFonts w:eastAsia="Times New Roman" w:cs="Arial"/>
        </w:rPr>
        <w:t xml:space="preserve"> to avoid.</w:t>
      </w:r>
    </w:p>
    <w:p w:rsidR="00AB5ABE" w:rsidRPr="00A959C2" w:rsidRDefault="0042571F" w:rsidP="001E50C7">
      <w:pPr>
        <w:rPr>
          <w:rFonts w:eastAsia="Times New Roman" w:cs="Arial"/>
        </w:rPr>
      </w:pPr>
      <w:r>
        <w:rPr>
          <w:rFonts w:eastAsia="Times New Roman" w:cs="Arial"/>
        </w:rPr>
        <w:t>25</w:t>
      </w:r>
      <w:r w:rsidR="001918C2" w:rsidRPr="00A959C2">
        <w:rPr>
          <w:rFonts w:eastAsia="Times New Roman" w:cs="Arial"/>
        </w:rPr>
        <w:t>. We therefore ask you</w:t>
      </w:r>
      <w:r w:rsidR="00284912">
        <w:rPr>
          <w:rFonts w:eastAsia="Times New Roman" w:cs="Arial"/>
        </w:rPr>
        <w:t xml:space="preserve">, if you have not already done so, </w:t>
      </w:r>
      <w:r w:rsidR="001918C2" w:rsidRPr="00A959C2">
        <w:rPr>
          <w:rFonts w:eastAsia="Times New Roman" w:cs="Arial"/>
        </w:rPr>
        <w:t xml:space="preserve">to extend the consultation period to take account of the realities of Christmas and the New Year.  Should the applicants or their developers decide to embark on the proposed basement construction before a decision is </w:t>
      </w:r>
      <w:r w:rsidR="00427E14" w:rsidRPr="00A959C2">
        <w:rPr>
          <w:rFonts w:eastAsia="Times New Roman" w:cs="Arial"/>
        </w:rPr>
        <w:t>reached, we would ask the Council to issue both an urgent “stop notice” pu</w:t>
      </w:r>
      <w:r w:rsidR="00FA1BC1">
        <w:rPr>
          <w:rFonts w:eastAsia="Times New Roman" w:cs="Arial"/>
        </w:rPr>
        <w:t>rsuant to the Town and Country P</w:t>
      </w:r>
      <w:r w:rsidR="00427E14" w:rsidRPr="00A959C2">
        <w:rPr>
          <w:rFonts w:eastAsia="Times New Roman" w:cs="Arial"/>
        </w:rPr>
        <w:t>lanning Act 1990 to prevent any further unlawful operations, and an enforcement notice in respect of any operations already carried out.</w:t>
      </w:r>
    </w:p>
    <w:p w:rsidR="00683A08" w:rsidRDefault="00427E14" w:rsidP="001E50C7">
      <w:pPr>
        <w:rPr>
          <w:rFonts w:eastAsia="Times New Roman" w:cs="Arial"/>
        </w:rPr>
      </w:pPr>
      <w:r w:rsidRPr="00A959C2">
        <w:rPr>
          <w:rFonts w:eastAsia="Times New Roman" w:cs="Arial"/>
        </w:rPr>
        <w:t>2</w:t>
      </w:r>
      <w:r w:rsidR="0042571F">
        <w:rPr>
          <w:rFonts w:eastAsia="Times New Roman" w:cs="Arial"/>
        </w:rPr>
        <w:t>6</w:t>
      </w:r>
      <w:r w:rsidRPr="00A959C2">
        <w:rPr>
          <w:rFonts w:eastAsia="Times New Roman" w:cs="Arial"/>
        </w:rPr>
        <w:t xml:space="preserve">. Lastly, I </w:t>
      </w:r>
      <w:r w:rsidR="00284912">
        <w:rPr>
          <w:rFonts w:eastAsia="Times New Roman" w:cs="Arial"/>
        </w:rPr>
        <w:t xml:space="preserve">submit </w:t>
      </w:r>
      <w:r w:rsidR="006A16E6">
        <w:rPr>
          <w:rFonts w:eastAsia="Times New Roman" w:cs="Arial"/>
        </w:rPr>
        <w:t>that in circumstances where</w:t>
      </w:r>
      <w:r w:rsidR="00284912">
        <w:rPr>
          <w:rFonts w:eastAsia="Times New Roman" w:cs="Arial"/>
        </w:rPr>
        <w:t xml:space="preserve"> the applicant has renewed his</w:t>
      </w:r>
      <w:r w:rsidR="006A16E6">
        <w:rPr>
          <w:rFonts w:eastAsia="Times New Roman" w:cs="Arial"/>
        </w:rPr>
        <w:t xml:space="preserve"> application in terms identical to the original application, and where the DCC, fully constituted</w:t>
      </w:r>
      <w:proofErr w:type="gramStart"/>
      <w:r w:rsidR="006A16E6">
        <w:rPr>
          <w:rFonts w:eastAsia="Times New Roman" w:cs="Arial"/>
        </w:rPr>
        <w:t>,  has</w:t>
      </w:r>
      <w:proofErr w:type="gramEnd"/>
      <w:r w:rsidR="006A16E6">
        <w:rPr>
          <w:rFonts w:eastAsia="Times New Roman" w:cs="Arial"/>
        </w:rPr>
        <w:t xml:space="preserve"> already decided to reject the Planning Officer’s recommendation and to refuse the application, it would be constitutionally and procedurally incorrect for the matter to be decided </w:t>
      </w:r>
      <w:r w:rsidR="00683A08">
        <w:rPr>
          <w:rFonts w:eastAsia="Times New Roman" w:cs="Arial"/>
        </w:rPr>
        <w:t>at a Members Briefing.</w:t>
      </w:r>
    </w:p>
    <w:p w:rsidR="00427E14" w:rsidRPr="00A959C2" w:rsidRDefault="00683A08" w:rsidP="001E50C7">
      <w:pPr>
        <w:rPr>
          <w:rFonts w:eastAsia="Times New Roman" w:cs="Arial"/>
        </w:rPr>
      </w:pPr>
      <w:r>
        <w:rPr>
          <w:rFonts w:eastAsia="Times New Roman" w:cs="Arial"/>
        </w:rPr>
        <w:t xml:space="preserve">27. I </w:t>
      </w:r>
      <w:r w:rsidR="00427E14" w:rsidRPr="00A959C2">
        <w:rPr>
          <w:rFonts w:eastAsia="Times New Roman" w:cs="Arial"/>
        </w:rPr>
        <w:t xml:space="preserve">would be grateful if you would acknowledge safe receipt of this </w:t>
      </w:r>
      <w:r>
        <w:rPr>
          <w:rFonts w:eastAsia="Times New Roman" w:cs="Arial"/>
        </w:rPr>
        <w:t>email and the attached document, and take this opportunity to wish you a Happy Christmas and New Year.</w:t>
      </w:r>
    </w:p>
    <w:p w:rsidR="00427E14" w:rsidRPr="00A959C2" w:rsidRDefault="00427E14" w:rsidP="001E50C7">
      <w:pPr>
        <w:rPr>
          <w:rFonts w:eastAsia="Times New Roman" w:cs="Arial"/>
        </w:rPr>
      </w:pPr>
      <w:r w:rsidRPr="00A959C2">
        <w:rPr>
          <w:rFonts w:eastAsia="Times New Roman" w:cs="Arial"/>
        </w:rPr>
        <w:t>Yours sincerely,</w:t>
      </w:r>
    </w:p>
    <w:p w:rsidR="00427E14" w:rsidRPr="00A959C2" w:rsidRDefault="00427E14" w:rsidP="001E50C7">
      <w:pPr>
        <w:rPr>
          <w:rFonts w:eastAsia="Times New Roman" w:cs="Arial"/>
        </w:rPr>
      </w:pPr>
    </w:p>
    <w:p w:rsidR="00427E14" w:rsidRPr="00A959C2" w:rsidRDefault="00427E14" w:rsidP="001E50C7">
      <w:pPr>
        <w:rPr>
          <w:rFonts w:eastAsia="Times New Roman" w:cs="Arial"/>
        </w:rPr>
      </w:pPr>
      <w:r w:rsidRPr="00A959C2">
        <w:rPr>
          <w:rFonts w:eastAsia="Times New Roman" w:cs="Arial"/>
        </w:rPr>
        <w:t>Christopher Sallon</w:t>
      </w:r>
    </w:p>
    <w:p w:rsidR="00427E14" w:rsidRPr="00A959C2" w:rsidRDefault="00427E14" w:rsidP="001E50C7">
      <w:pPr>
        <w:rPr>
          <w:rFonts w:eastAsia="Times New Roman" w:cs="Arial"/>
        </w:rPr>
      </w:pPr>
      <w:proofErr w:type="gramStart"/>
      <w:r w:rsidRPr="00A959C2">
        <w:rPr>
          <w:rFonts w:eastAsia="Times New Roman" w:cs="Arial"/>
        </w:rPr>
        <w:t>Chairman, Quadrant Grove Residents Association.</w:t>
      </w:r>
      <w:proofErr w:type="gramEnd"/>
    </w:p>
    <w:p w:rsidR="00AB5ABE" w:rsidRPr="00A959C2" w:rsidRDefault="00AB5ABE" w:rsidP="001E50C7">
      <w:pPr>
        <w:rPr>
          <w:rFonts w:eastAsia="Times New Roman" w:cs="Arial"/>
        </w:rPr>
      </w:pPr>
    </w:p>
    <w:sectPr w:rsidR="00AB5ABE" w:rsidRPr="00A959C2" w:rsidSect="00416C2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CE1" w:rsidRDefault="00407CE1" w:rsidP="00FA1E96">
      <w:pPr>
        <w:spacing w:after="0" w:line="240" w:lineRule="auto"/>
      </w:pPr>
      <w:r>
        <w:separator/>
      </w:r>
    </w:p>
  </w:endnote>
  <w:endnote w:type="continuationSeparator" w:id="0">
    <w:p w:rsidR="00407CE1" w:rsidRDefault="00407CE1" w:rsidP="00FA1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485355"/>
      <w:docPartObj>
        <w:docPartGallery w:val="Page Numbers (Bottom of Page)"/>
        <w:docPartUnique/>
      </w:docPartObj>
    </w:sdtPr>
    <w:sdtContent>
      <w:p w:rsidR="00284912" w:rsidRDefault="0080364E">
        <w:pPr>
          <w:pStyle w:val="Footer"/>
          <w:jc w:val="center"/>
        </w:pPr>
        <w:fldSimple w:instr=" PAGE   \* MERGEFORMAT ">
          <w:r w:rsidR="00F96C13">
            <w:rPr>
              <w:noProof/>
            </w:rPr>
            <w:t>6</w:t>
          </w:r>
        </w:fldSimple>
      </w:p>
    </w:sdtContent>
  </w:sdt>
  <w:p w:rsidR="00284912" w:rsidRDefault="002849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CE1" w:rsidRDefault="00407CE1" w:rsidP="00FA1E96">
      <w:pPr>
        <w:spacing w:after="0" w:line="240" w:lineRule="auto"/>
      </w:pPr>
      <w:r>
        <w:separator/>
      </w:r>
    </w:p>
  </w:footnote>
  <w:footnote w:type="continuationSeparator" w:id="0">
    <w:p w:rsidR="00407CE1" w:rsidRDefault="00407CE1" w:rsidP="00FA1E96">
      <w:pPr>
        <w:spacing w:after="0" w:line="240" w:lineRule="auto"/>
      </w:pPr>
      <w:r>
        <w:continuationSeparator/>
      </w:r>
    </w:p>
  </w:footnote>
  <w:footnote w:id="1">
    <w:p w:rsidR="00284912" w:rsidRDefault="00284912">
      <w:pPr>
        <w:pStyle w:val="FootnoteText"/>
      </w:pPr>
      <w:r>
        <w:rPr>
          <w:rStyle w:val="FootnoteReference"/>
        </w:rPr>
        <w:footnoteRef/>
      </w:r>
      <w:r>
        <w:t xml:space="preserve"> [2015]EWCH 2458 (Admin)</w:t>
      </w:r>
    </w:p>
  </w:footnote>
  <w:footnote w:id="2">
    <w:p w:rsidR="00284912" w:rsidRDefault="00284912">
      <w:pPr>
        <w:pStyle w:val="FootnoteText"/>
      </w:pPr>
      <w:r>
        <w:rPr>
          <w:rStyle w:val="FootnoteReference"/>
        </w:rPr>
        <w:footnoteRef/>
      </w:r>
      <w:r>
        <w:t xml:space="preserve"> APP/X5210/X/14/3000342</w:t>
      </w:r>
    </w:p>
  </w:footnote>
  <w:footnote w:id="3">
    <w:p w:rsidR="00284912" w:rsidRDefault="00284912">
      <w:pPr>
        <w:pStyle w:val="FootnoteText"/>
      </w:pPr>
      <w:r>
        <w:rPr>
          <w:rStyle w:val="FootnoteReference"/>
        </w:rPr>
        <w:footnoteRef/>
      </w:r>
      <w:r>
        <w:t xml:space="preserve"> See paragraph 15   below)</w:t>
      </w:r>
    </w:p>
  </w:footnote>
  <w:footnote w:id="4">
    <w:p w:rsidR="00284912" w:rsidRDefault="00284912">
      <w:pPr>
        <w:pStyle w:val="FootnoteText"/>
      </w:pPr>
      <w:r>
        <w:rPr>
          <w:rStyle w:val="FootnoteReference"/>
        </w:rPr>
        <w:footnoteRef/>
      </w:r>
      <w:r>
        <w:t xml:space="preserve"> Opinion of Giles Atkinson 2</w:t>
      </w:r>
      <w:r w:rsidRPr="00CC25DA">
        <w:rPr>
          <w:vertAlign w:val="superscript"/>
        </w:rPr>
        <w:t>nd</w:t>
      </w:r>
      <w:r>
        <w:t xml:space="preserve"> October 2015 paragraph 13</w:t>
      </w:r>
    </w:p>
  </w:footnote>
  <w:footnote w:id="5">
    <w:p w:rsidR="00284912" w:rsidRDefault="00284912">
      <w:pPr>
        <w:pStyle w:val="FootnoteText"/>
      </w:pPr>
      <w:r>
        <w:rPr>
          <w:rStyle w:val="FootnoteReference"/>
        </w:rPr>
        <w:footnoteRef/>
      </w:r>
      <w:r>
        <w:t xml:space="preserve"> This is a reference to the Giles Atkinson opinion dated 3</w:t>
      </w:r>
      <w:r w:rsidRPr="00EC1C23">
        <w:rPr>
          <w:vertAlign w:val="superscript"/>
        </w:rPr>
        <w:t>rd</w:t>
      </w:r>
      <w:r>
        <w:t xml:space="preserve"> October 2015.</w:t>
      </w:r>
    </w:p>
  </w:footnote>
  <w:footnote w:id="6">
    <w:p w:rsidR="00284912" w:rsidRDefault="00284912">
      <w:pPr>
        <w:pStyle w:val="FootnoteText"/>
      </w:pPr>
      <w:r>
        <w:rPr>
          <w:rStyle w:val="FootnoteReference"/>
        </w:rPr>
        <w:footnoteRef/>
      </w:r>
      <w:r>
        <w:t xml:space="preserve"> An application for Permitted Development by the occupants </w:t>
      </w:r>
      <w:proofErr w:type="gramStart"/>
      <w:r>
        <w:t>of  31</w:t>
      </w:r>
      <w:proofErr w:type="gramEnd"/>
      <w:r>
        <w:t xml:space="preserve"> </w:t>
      </w:r>
      <w:proofErr w:type="spellStart"/>
      <w:r>
        <w:t>Briardale</w:t>
      </w:r>
      <w:proofErr w:type="spellEnd"/>
      <w:r>
        <w:t xml:space="preserve"> Gardens was the subject of an Opinion dated 11</w:t>
      </w:r>
      <w:r w:rsidRPr="005119BA">
        <w:rPr>
          <w:vertAlign w:val="superscript"/>
        </w:rPr>
        <w:t>th</w:t>
      </w:r>
      <w:r>
        <w:t xml:space="preserve"> September 2015. The application was subsequently refused by Camden Council).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749BD"/>
    <w:multiLevelType w:val="hybridMultilevel"/>
    <w:tmpl w:val="7F8C99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7B827EA"/>
    <w:multiLevelType w:val="hybridMultilevel"/>
    <w:tmpl w:val="2A50B6D2"/>
    <w:lvl w:ilvl="0" w:tplc="C59443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AAD1E50"/>
    <w:multiLevelType w:val="hybridMultilevel"/>
    <w:tmpl w:val="D2140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footnotePr>
    <w:footnote w:id="-1"/>
    <w:footnote w:id="0"/>
  </w:footnotePr>
  <w:endnotePr>
    <w:endnote w:id="-1"/>
    <w:endnote w:id="0"/>
  </w:endnotePr>
  <w:compat/>
  <w:rsids>
    <w:rsidRoot w:val="00E966DE"/>
    <w:rsid w:val="0002015F"/>
    <w:rsid w:val="00023EFA"/>
    <w:rsid w:val="00084B77"/>
    <w:rsid w:val="00097452"/>
    <w:rsid w:val="001918C2"/>
    <w:rsid w:val="001E50C7"/>
    <w:rsid w:val="0020711A"/>
    <w:rsid w:val="0023318F"/>
    <w:rsid w:val="00284912"/>
    <w:rsid w:val="002B0B4F"/>
    <w:rsid w:val="003125F2"/>
    <w:rsid w:val="003347B3"/>
    <w:rsid w:val="00361CFB"/>
    <w:rsid w:val="003A5B08"/>
    <w:rsid w:val="003C6D0F"/>
    <w:rsid w:val="003D470C"/>
    <w:rsid w:val="003F0937"/>
    <w:rsid w:val="00407CE1"/>
    <w:rsid w:val="00416C2F"/>
    <w:rsid w:val="00422AAA"/>
    <w:rsid w:val="0042571F"/>
    <w:rsid w:val="00427E14"/>
    <w:rsid w:val="00475CCB"/>
    <w:rsid w:val="005119BA"/>
    <w:rsid w:val="00512ABE"/>
    <w:rsid w:val="00516334"/>
    <w:rsid w:val="00567120"/>
    <w:rsid w:val="005B5525"/>
    <w:rsid w:val="006048F4"/>
    <w:rsid w:val="00621387"/>
    <w:rsid w:val="00666EEA"/>
    <w:rsid w:val="00683A08"/>
    <w:rsid w:val="00693E18"/>
    <w:rsid w:val="006A16E6"/>
    <w:rsid w:val="006B515C"/>
    <w:rsid w:val="0071536F"/>
    <w:rsid w:val="00746932"/>
    <w:rsid w:val="007946A3"/>
    <w:rsid w:val="007A2056"/>
    <w:rsid w:val="007F7435"/>
    <w:rsid w:val="0080364E"/>
    <w:rsid w:val="008B3163"/>
    <w:rsid w:val="008E080F"/>
    <w:rsid w:val="008E559C"/>
    <w:rsid w:val="009229F6"/>
    <w:rsid w:val="009462E5"/>
    <w:rsid w:val="00956914"/>
    <w:rsid w:val="00A756B5"/>
    <w:rsid w:val="00A959C2"/>
    <w:rsid w:val="00AA2EA0"/>
    <w:rsid w:val="00AB5ABE"/>
    <w:rsid w:val="00B340F3"/>
    <w:rsid w:val="00B6690D"/>
    <w:rsid w:val="00B856C4"/>
    <w:rsid w:val="00BD6FDB"/>
    <w:rsid w:val="00BF2737"/>
    <w:rsid w:val="00C66F10"/>
    <w:rsid w:val="00C86CAE"/>
    <w:rsid w:val="00CC25DA"/>
    <w:rsid w:val="00CD258C"/>
    <w:rsid w:val="00D23528"/>
    <w:rsid w:val="00D32F21"/>
    <w:rsid w:val="00D34062"/>
    <w:rsid w:val="00D718D6"/>
    <w:rsid w:val="00DB5567"/>
    <w:rsid w:val="00E0279C"/>
    <w:rsid w:val="00E168A2"/>
    <w:rsid w:val="00E966DE"/>
    <w:rsid w:val="00EA7287"/>
    <w:rsid w:val="00EC1C23"/>
    <w:rsid w:val="00EC3291"/>
    <w:rsid w:val="00EE44DD"/>
    <w:rsid w:val="00F43EDA"/>
    <w:rsid w:val="00F90287"/>
    <w:rsid w:val="00F96C13"/>
    <w:rsid w:val="00FA0BF9"/>
    <w:rsid w:val="00FA1BC1"/>
    <w:rsid w:val="00FA1E96"/>
    <w:rsid w:val="00FA5F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6DE"/>
    <w:pPr>
      <w:spacing w:after="0" w:line="240" w:lineRule="auto"/>
    </w:pPr>
  </w:style>
  <w:style w:type="character" w:customStyle="1" w:styleId="apple-converted-space">
    <w:name w:val="apple-converted-space"/>
    <w:basedOn w:val="DefaultParagraphFont"/>
    <w:rsid w:val="006048F4"/>
  </w:style>
  <w:style w:type="paragraph" w:styleId="Header">
    <w:name w:val="header"/>
    <w:basedOn w:val="Normal"/>
    <w:link w:val="HeaderChar"/>
    <w:uiPriority w:val="99"/>
    <w:semiHidden/>
    <w:unhideWhenUsed/>
    <w:rsid w:val="00FA1E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1E96"/>
  </w:style>
  <w:style w:type="paragraph" w:styleId="Footer">
    <w:name w:val="footer"/>
    <w:basedOn w:val="Normal"/>
    <w:link w:val="FooterChar"/>
    <w:uiPriority w:val="99"/>
    <w:unhideWhenUsed/>
    <w:rsid w:val="00FA1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E96"/>
  </w:style>
  <w:style w:type="paragraph" w:styleId="NormalWeb">
    <w:name w:val="Normal (Web)"/>
    <w:basedOn w:val="Normal"/>
    <w:uiPriority w:val="99"/>
    <w:semiHidden/>
    <w:unhideWhenUsed/>
    <w:rsid w:val="00E168A2"/>
    <w:pPr>
      <w:spacing w:after="0"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669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90D"/>
    <w:rPr>
      <w:sz w:val="20"/>
      <w:szCs w:val="20"/>
    </w:rPr>
  </w:style>
  <w:style w:type="character" w:styleId="FootnoteReference">
    <w:name w:val="footnote reference"/>
    <w:basedOn w:val="DefaultParagraphFont"/>
    <w:uiPriority w:val="99"/>
    <w:semiHidden/>
    <w:unhideWhenUsed/>
    <w:rsid w:val="00B6690D"/>
    <w:rPr>
      <w:vertAlign w:val="superscript"/>
    </w:rPr>
  </w:style>
  <w:style w:type="paragraph" w:styleId="ListParagraph">
    <w:name w:val="List Paragraph"/>
    <w:basedOn w:val="Normal"/>
    <w:uiPriority w:val="34"/>
    <w:qFormat/>
    <w:rsid w:val="00C86CAE"/>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81497199">
      <w:bodyDiv w:val="1"/>
      <w:marLeft w:val="0"/>
      <w:marRight w:val="0"/>
      <w:marTop w:val="0"/>
      <w:marBottom w:val="0"/>
      <w:divBdr>
        <w:top w:val="none" w:sz="0" w:space="0" w:color="auto"/>
        <w:left w:val="none" w:sz="0" w:space="0" w:color="auto"/>
        <w:bottom w:val="none" w:sz="0" w:space="0" w:color="auto"/>
        <w:right w:val="none" w:sz="0" w:space="0" w:color="auto"/>
      </w:divBdr>
    </w:div>
    <w:div w:id="867984422">
      <w:bodyDiv w:val="1"/>
      <w:marLeft w:val="0"/>
      <w:marRight w:val="0"/>
      <w:marTop w:val="0"/>
      <w:marBottom w:val="0"/>
      <w:divBdr>
        <w:top w:val="none" w:sz="0" w:space="0" w:color="auto"/>
        <w:left w:val="none" w:sz="0" w:space="0" w:color="auto"/>
        <w:bottom w:val="none" w:sz="0" w:space="0" w:color="auto"/>
        <w:right w:val="none" w:sz="0" w:space="0" w:color="auto"/>
      </w:divBdr>
    </w:div>
    <w:div w:id="1191450562">
      <w:bodyDiv w:val="1"/>
      <w:marLeft w:val="0"/>
      <w:marRight w:val="0"/>
      <w:marTop w:val="0"/>
      <w:marBottom w:val="0"/>
      <w:divBdr>
        <w:top w:val="none" w:sz="0" w:space="0" w:color="auto"/>
        <w:left w:val="none" w:sz="0" w:space="0" w:color="auto"/>
        <w:bottom w:val="none" w:sz="0" w:space="0" w:color="auto"/>
        <w:right w:val="none" w:sz="0" w:space="0" w:color="auto"/>
      </w:divBdr>
    </w:div>
    <w:div w:id="18943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14EFB-975E-4B9E-B2A2-1D0EBC42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6</Pages>
  <Words>2633</Words>
  <Characters>13828</Characters>
  <Application>Microsoft Office Word</Application>
  <DocSecurity>0</DocSecurity>
  <Lines>226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Sallon</dc:creator>
  <cp:lastModifiedBy>Christopher Sallon</cp:lastModifiedBy>
  <cp:revision>12</cp:revision>
  <dcterms:created xsi:type="dcterms:W3CDTF">2015-12-23T17:53:00Z</dcterms:created>
  <dcterms:modified xsi:type="dcterms:W3CDTF">2015-12-24T15:11:00Z</dcterms:modified>
</cp:coreProperties>
</file>