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71B" w:rsidRPr="007603E4" w:rsidRDefault="0079671B" w:rsidP="00861E0E">
      <w:pPr>
        <w:spacing w:line="276" w:lineRule="auto"/>
        <w:jc w:val="both"/>
        <w:rPr>
          <w:rFonts w:ascii="Calibri" w:hAnsi="Calibri"/>
          <w:color w:val="FF0000"/>
          <w:sz w:val="20"/>
          <w:szCs w:val="20"/>
        </w:rPr>
      </w:pPr>
    </w:p>
    <w:p w:rsidR="00861E0E" w:rsidRDefault="00861E0E" w:rsidP="00861E0E">
      <w:pPr>
        <w:spacing w:line="276" w:lineRule="auto"/>
        <w:jc w:val="both"/>
        <w:rPr>
          <w:rFonts w:asciiTheme="minorHAnsi" w:hAnsiTheme="minorHAnsi"/>
          <w:sz w:val="20"/>
          <w:szCs w:val="20"/>
          <w:highlight w:val="yellow"/>
        </w:rPr>
      </w:pPr>
    </w:p>
    <w:p w:rsidR="00BE363E" w:rsidRDefault="00BE363E" w:rsidP="00861E0E">
      <w:pPr>
        <w:spacing w:line="276" w:lineRule="auto"/>
        <w:jc w:val="both"/>
        <w:rPr>
          <w:rFonts w:asciiTheme="minorHAnsi" w:hAnsiTheme="minorHAnsi"/>
          <w:sz w:val="20"/>
          <w:szCs w:val="20"/>
          <w:highlight w:val="yellow"/>
        </w:rPr>
      </w:pPr>
    </w:p>
    <w:p w:rsidR="00BE363E" w:rsidRDefault="00BE363E" w:rsidP="00861E0E">
      <w:pPr>
        <w:spacing w:line="276" w:lineRule="auto"/>
        <w:jc w:val="both"/>
        <w:rPr>
          <w:rFonts w:asciiTheme="minorHAnsi" w:hAnsiTheme="minorHAnsi"/>
          <w:sz w:val="20"/>
          <w:szCs w:val="20"/>
          <w:highlight w:val="yellow"/>
        </w:rPr>
      </w:pPr>
    </w:p>
    <w:p w:rsidR="00BE363E" w:rsidRPr="00A23D12" w:rsidRDefault="00BE363E" w:rsidP="00861E0E">
      <w:pPr>
        <w:spacing w:line="276" w:lineRule="auto"/>
        <w:jc w:val="both"/>
        <w:rPr>
          <w:rFonts w:asciiTheme="minorHAnsi" w:hAnsiTheme="minorHAnsi"/>
          <w:sz w:val="20"/>
          <w:szCs w:val="20"/>
          <w:highlight w:val="yellow"/>
        </w:rPr>
      </w:pPr>
    </w:p>
    <w:p w:rsidR="00B90CD0" w:rsidRPr="0072187B" w:rsidRDefault="000C7348" w:rsidP="00B90CD0">
      <w:pPr>
        <w:spacing w:line="360" w:lineRule="auto"/>
        <w:rPr>
          <w:rFonts w:asciiTheme="minorHAnsi" w:hAnsiTheme="minorHAnsi"/>
          <w:sz w:val="20"/>
          <w:szCs w:val="20"/>
        </w:rPr>
      </w:pPr>
      <w:r>
        <w:rPr>
          <w:rFonts w:asciiTheme="minorHAnsi" w:hAnsiTheme="minorHAnsi"/>
          <w:sz w:val="20"/>
          <w:szCs w:val="20"/>
        </w:rPr>
        <w:t>Camden Council</w:t>
      </w:r>
    </w:p>
    <w:p w:rsidR="000C7348" w:rsidRDefault="000C7348" w:rsidP="00B90CD0">
      <w:pPr>
        <w:spacing w:line="360" w:lineRule="auto"/>
        <w:rPr>
          <w:rFonts w:asciiTheme="minorHAnsi" w:hAnsiTheme="minorHAnsi"/>
          <w:sz w:val="20"/>
          <w:szCs w:val="20"/>
        </w:rPr>
      </w:pPr>
      <w:r>
        <w:rPr>
          <w:rFonts w:asciiTheme="minorHAnsi" w:hAnsiTheme="minorHAnsi"/>
          <w:sz w:val="20"/>
          <w:szCs w:val="20"/>
        </w:rPr>
        <w:t>5 Pancras Square,</w:t>
      </w:r>
    </w:p>
    <w:p w:rsidR="00B90CD0" w:rsidRDefault="000C7348" w:rsidP="00B90CD0">
      <w:pPr>
        <w:spacing w:line="360" w:lineRule="auto"/>
        <w:rPr>
          <w:rFonts w:asciiTheme="minorHAnsi" w:hAnsiTheme="minorHAnsi"/>
          <w:sz w:val="20"/>
          <w:szCs w:val="20"/>
        </w:rPr>
      </w:pPr>
      <w:r>
        <w:rPr>
          <w:rFonts w:asciiTheme="minorHAnsi" w:hAnsiTheme="minorHAnsi"/>
          <w:sz w:val="20"/>
          <w:szCs w:val="20"/>
        </w:rPr>
        <w:t>London</w:t>
      </w:r>
      <w:r w:rsidR="00B90CD0">
        <w:rPr>
          <w:rFonts w:asciiTheme="minorHAnsi" w:hAnsiTheme="minorHAnsi"/>
          <w:sz w:val="20"/>
          <w:szCs w:val="20"/>
        </w:rPr>
        <w:t>,</w:t>
      </w:r>
    </w:p>
    <w:p w:rsidR="00B90CD0" w:rsidRDefault="000C7348" w:rsidP="00B90CD0">
      <w:pPr>
        <w:spacing w:line="360" w:lineRule="auto"/>
        <w:rPr>
          <w:rFonts w:asciiTheme="minorHAnsi" w:hAnsiTheme="minorHAnsi"/>
          <w:sz w:val="20"/>
          <w:szCs w:val="20"/>
        </w:rPr>
      </w:pPr>
      <w:r>
        <w:rPr>
          <w:rFonts w:asciiTheme="minorHAnsi" w:hAnsiTheme="minorHAnsi"/>
          <w:sz w:val="20"/>
          <w:szCs w:val="20"/>
        </w:rPr>
        <w:t xml:space="preserve">N1C 4AG </w:t>
      </w:r>
    </w:p>
    <w:p w:rsidR="005600DA" w:rsidRDefault="005600DA" w:rsidP="00A23D12">
      <w:pPr>
        <w:spacing w:line="360" w:lineRule="auto"/>
        <w:jc w:val="both"/>
        <w:rPr>
          <w:rFonts w:asciiTheme="minorHAnsi" w:hAnsiTheme="minorHAnsi"/>
          <w:sz w:val="20"/>
          <w:szCs w:val="20"/>
        </w:rPr>
      </w:pPr>
    </w:p>
    <w:p w:rsidR="00861E0E" w:rsidRPr="00A23D12" w:rsidRDefault="000C7348" w:rsidP="000C7348">
      <w:pPr>
        <w:spacing w:line="360" w:lineRule="auto"/>
        <w:ind w:left="5760" w:firstLine="720"/>
        <w:jc w:val="both"/>
        <w:rPr>
          <w:rFonts w:asciiTheme="minorHAnsi" w:hAnsiTheme="minorHAnsi"/>
          <w:sz w:val="20"/>
          <w:szCs w:val="20"/>
        </w:rPr>
      </w:pPr>
      <w:r>
        <w:rPr>
          <w:rFonts w:asciiTheme="minorHAnsi" w:hAnsiTheme="minorHAnsi"/>
          <w:sz w:val="20"/>
          <w:szCs w:val="20"/>
        </w:rPr>
        <w:t>7</w:t>
      </w:r>
      <w:r w:rsidRPr="000C7348">
        <w:rPr>
          <w:rFonts w:asciiTheme="minorHAnsi" w:hAnsiTheme="minorHAnsi"/>
          <w:sz w:val="20"/>
          <w:szCs w:val="20"/>
          <w:vertAlign w:val="superscript"/>
        </w:rPr>
        <w:t>th</w:t>
      </w:r>
      <w:r w:rsidR="00B90CD0">
        <w:rPr>
          <w:rFonts w:asciiTheme="minorHAnsi" w:hAnsiTheme="minorHAnsi"/>
          <w:sz w:val="20"/>
          <w:szCs w:val="20"/>
        </w:rPr>
        <w:t xml:space="preserve"> December</w:t>
      </w:r>
      <w:r w:rsidR="005600DA">
        <w:rPr>
          <w:rFonts w:asciiTheme="minorHAnsi" w:hAnsiTheme="minorHAnsi"/>
          <w:sz w:val="20"/>
          <w:szCs w:val="20"/>
        </w:rPr>
        <w:t xml:space="preserve"> 2015</w:t>
      </w:r>
    </w:p>
    <w:p w:rsidR="00861E0E" w:rsidRPr="00A23D12" w:rsidRDefault="00861E0E" w:rsidP="00A23D12">
      <w:pPr>
        <w:spacing w:line="360" w:lineRule="auto"/>
        <w:jc w:val="both"/>
        <w:rPr>
          <w:rFonts w:asciiTheme="minorHAnsi" w:hAnsiTheme="minorHAnsi"/>
          <w:sz w:val="20"/>
          <w:szCs w:val="20"/>
        </w:rPr>
      </w:pPr>
    </w:p>
    <w:p w:rsidR="000C7348" w:rsidRPr="000C7348" w:rsidRDefault="00861E0E" w:rsidP="000C7348">
      <w:pPr>
        <w:spacing w:line="360" w:lineRule="auto"/>
        <w:jc w:val="both"/>
        <w:rPr>
          <w:rFonts w:asciiTheme="minorHAnsi" w:hAnsiTheme="minorHAnsi"/>
          <w:b/>
          <w:color w:val="808080" w:themeColor="background1" w:themeShade="80"/>
          <w:sz w:val="22"/>
          <w:szCs w:val="22"/>
        </w:rPr>
      </w:pPr>
      <w:r w:rsidRPr="000C7348">
        <w:rPr>
          <w:rFonts w:asciiTheme="minorHAnsi" w:hAnsiTheme="minorHAnsi"/>
          <w:b/>
          <w:smallCaps/>
          <w:color w:val="808080" w:themeColor="background1" w:themeShade="80"/>
          <w:sz w:val="22"/>
          <w:szCs w:val="22"/>
        </w:rPr>
        <w:t>RE:</w:t>
      </w:r>
      <w:r w:rsidR="000C7348" w:rsidRPr="000C7348">
        <w:rPr>
          <w:rFonts w:asciiTheme="minorHAnsi" w:hAnsiTheme="minorHAnsi"/>
          <w:b/>
          <w:smallCaps/>
          <w:color w:val="808080" w:themeColor="background1" w:themeShade="80"/>
          <w:sz w:val="22"/>
          <w:szCs w:val="22"/>
        </w:rPr>
        <w:t xml:space="preserve"> Certificate of Lawfulness Application for</w:t>
      </w:r>
      <w:r w:rsidRPr="000C7348">
        <w:rPr>
          <w:rFonts w:asciiTheme="minorHAnsi" w:hAnsiTheme="minorHAnsi"/>
          <w:b/>
          <w:smallCaps/>
          <w:color w:val="808080" w:themeColor="background1" w:themeShade="80"/>
          <w:sz w:val="22"/>
          <w:szCs w:val="22"/>
        </w:rPr>
        <w:t xml:space="preserve"> </w:t>
      </w:r>
      <w:r w:rsidR="009D2B71">
        <w:rPr>
          <w:rFonts w:asciiTheme="minorHAnsi" w:hAnsiTheme="minorHAnsi"/>
          <w:b/>
          <w:smallCaps/>
          <w:color w:val="808080" w:themeColor="background1" w:themeShade="80"/>
          <w:sz w:val="22"/>
          <w:szCs w:val="22"/>
        </w:rPr>
        <w:t>7</w:t>
      </w:r>
      <w:r w:rsidR="00E902C4">
        <w:rPr>
          <w:rFonts w:asciiTheme="minorHAnsi" w:hAnsiTheme="minorHAnsi"/>
          <w:b/>
          <w:color w:val="808080" w:themeColor="background1" w:themeShade="80"/>
          <w:sz w:val="22"/>
          <w:szCs w:val="22"/>
        </w:rPr>
        <w:t xml:space="preserve"> Oak Hill Park Mews</w:t>
      </w:r>
    </w:p>
    <w:p w:rsidR="00861E0E" w:rsidRPr="00A23D12" w:rsidRDefault="00861E0E" w:rsidP="00A23D12">
      <w:pPr>
        <w:spacing w:line="360" w:lineRule="auto"/>
        <w:jc w:val="both"/>
        <w:rPr>
          <w:rFonts w:asciiTheme="minorHAnsi" w:hAnsiTheme="minorHAnsi"/>
          <w:sz w:val="20"/>
          <w:szCs w:val="20"/>
        </w:rPr>
      </w:pPr>
    </w:p>
    <w:p w:rsidR="00861E0E" w:rsidRPr="00A23D12" w:rsidRDefault="00861E0E" w:rsidP="00A23D12">
      <w:pPr>
        <w:spacing w:line="360" w:lineRule="auto"/>
        <w:jc w:val="both"/>
        <w:rPr>
          <w:rFonts w:asciiTheme="minorHAnsi" w:hAnsiTheme="minorHAnsi"/>
          <w:sz w:val="20"/>
          <w:szCs w:val="20"/>
        </w:rPr>
      </w:pPr>
      <w:r w:rsidRPr="00A23D12">
        <w:rPr>
          <w:rFonts w:asciiTheme="minorHAnsi" w:hAnsiTheme="minorHAnsi"/>
          <w:sz w:val="20"/>
          <w:szCs w:val="20"/>
        </w:rPr>
        <w:t xml:space="preserve">Dear </w:t>
      </w:r>
      <w:r w:rsidR="000C7348">
        <w:rPr>
          <w:rFonts w:asciiTheme="minorHAnsi" w:hAnsiTheme="minorHAnsi"/>
          <w:sz w:val="20"/>
          <w:szCs w:val="20"/>
        </w:rPr>
        <w:t>Sir/Madam</w:t>
      </w:r>
      <w:r w:rsidRPr="00A23D12">
        <w:rPr>
          <w:rFonts w:asciiTheme="minorHAnsi" w:hAnsiTheme="minorHAnsi"/>
          <w:sz w:val="20"/>
          <w:szCs w:val="20"/>
        </w:rPr>
        <w:t>,</w:t>
      </w:r>
    </w:p>
    <w:p w:rsidR="00861E0E" w:rsidRDefault="00861E0E" w:rsidP="00A23D12">
      <w:pPr>
        <w:spacing w:line="360" w:lineRule="auto"/>
        <w:jc w:val="both"/>
        <w:rPr>
          <w:rFonts w:ascii="Calibri" w:hAnsi="Calibri"/>
          <w:sz w:val="20"/>
          <w:szCs w:val="20"/>
        </w:rPr>
      </w:pPr>
    </w:p>
    <w:p w:rsidR="00E902C4" w:rsidRPr="00E902C4" w:rsidRDefault="000C7348" w:rsidP="00A23D12">
      <w:pPr>
        <w:spacing w:line="360" w:lineRule="auto"/>
        <w:jc w:val="both"/>
        <w:rPr>
          <w:rFonts w:asciiTheme="minorHAnsi" w:hAnsiTheme="minorHAnsi"/>
          <w:sz w:val="20"/>
          <w:szCs w:val="20"/>
        </w:rPr>
      </w:pPr>
      <w:r>
        <w:rPr>
          <w:rFonts w:ascii="Calibri" w:hAnsi="Calibri"/>
          <w:sz w:val="20"/>
          <w:szCs w:val="20"/>
        </w:rPr>
        <w:t xml:space="preserve">Please find attached </w:t>
      </w:r>
      <w:r w:rsidR="00E902C4">
        <w:rPr>
          <w:rFonts w:ascii="Calibri" w:hAnsi="Calibri"/>
          <w:sz w:val="20"/>
          <w:szCs w:val="20"/>
        </w:rPr>
        <w:t xml:space="preserve">an application for a Certificate of Lawfulness for the use of a flat roof at </w:t>
      </w:r>
      <w:r w:rsidR="009D2B71">
        <w:rPr>
          <w:rFonts w:ascii="Calibri" w:hAnsi="Calibri"/>
          <w:sz w:val="20"/>
          <w:szCs w:val="20"/>
        </w:rPr>
        <w:t>7</w:t>
      </w:r>
      <w:r w:rsidR="00E902C4">
        <w:rPr>
          <w:rFonts w:ascii="Calibri" w:hAnsi="Calibri"/>
          <w:sz w:val="20"/>
          <w:szCs w:val="20"/>
        </w:rPr>
        <w:t xml:space="preserve"> Oak Hill Park Mews as being incidental to the enjoyment of the </w:t>
      </w:r>
      <w:proofErr w:type="spellStart"/>
      <w:r w:rsidR="00E902C4">
        <w:rPr>
          <w:rFonts w:ascii="Calibri" w:hAnsi="Calibri"/>
          <w:sz w:val="20"/>
          <w:szCs w:val="20"/>
        </w:rPr>
        <w:t>dewllinghouse</w:t>
      </w:r>
      <w:proofErr w:type="spellEnd"/>
      <w:r w:rsidR="00E902C4">
        <w:rPr>
          <w:rFonts w:ascii="Calibri" w:hAnsi="Calibri"/>
          <w:sz w:val="20"/>
          <w:szCs w:val="20"/>
        </w:rPr>
        <w:t xml:space="preserve">. </w:t>
      </w:r>
      <w:r w:rsidR="00E902C4" w:rsidRPr="00E902C4">
        <w:rPr>
          <w:rFonts w:asciiTheme="minorHAnsi" w:hAnsiTheme="minorHAnsi"/>
          <w:color w:val="000000"/>
          <w:sz w:val="20"/>
          <w:szCs w:val="20"/>
        </w:rPr>
        <w:t>A number of legal cases consistently advise that use of a roof terrace does not constitute a material change of use.  Those cases are summarised in Development Control Practice section 4.3245 and 12.4142.</w:t>
      </w:r>
    </w:p>
    <w:tbl>
      <w:tblPr>
        <w:tblW w:w="5000" w:type="pct"/>
        <w:tblCellSpacing w:w="15" w:type="dxa"/>
        <w:tblCellMar>
          <w:left w:w="0" w:type="dxa"/>
          <w:right w:w="0" w:type="dxa"/>
        </w:tblCellMar>
        <w:tblLook w:val="04A0"/>
      </w:tblPr>
      <w:tblGrid>
        <w:gridCol w:w="8366"/>
      </w:tblGrid>
      <w:tr w:rsidR="00E902C4" w:rsidRPr="00E902C4" w:rsidTr="00E902C4">
        <w:trPr>
          <w:tblCellSpacing w:w="15" w:type="dxa"/>
        </w:trPr>
        <w:tc>
          <w:tcPr>
            <w:tcW w:w="0" w:type="auto"/>
            <w:tcMar>
              <w:top w:w="150" w:type="dxa"/>
              <w:left w:w="0" w:type="dxa"/>
              <w:bottom w:w="75" w:type="dxa"/>
              <w:right w:w="0" w:type="dxa"/>
            </w:tcMar>
            <w:vAlign w:val="center"/>
            <w:hideMark/>
          </w:tcPr>
          <w:p w:rsidR="00E902C4" w:rsidRPr="00E902C4" w:rsidRDefault="00E902C4" w:rsidP="00E902C4">
            <w:pPr>
              <w:spacing w:before="150" w:after="90"/>
              <w:rPr>
                <w:rFonts w:asciiTheme="minorHAnsi" w:eastAsiaTheme="minorHAnsi" w:hAnsiTheme="minorHAnsi"/>
                <w:b/>
                <w:bCs/>
                <w:i/>
                <w:iCs/>
                <w:sz w:val="22"/>
                <w:szCs w:val="22"/>
              </w:rPr>
            </w:pPr>
            <w:r w:rsidRPr="00E902C4">
              <w:rPr>
                <w:rFonts w:asciiTheme="minorHAnsi" w:hAnsiTheme="minorHAnsi"/>
                <w:b/>
                <w:bCs/>
                <w:i/>
                <w:iCs/>
                <w:sz w:val="22"/>
                <w:szCs w:val="22"/>
              </w:rPr>
              <w:t>4.3245 Use of flat roofs</w:t>
            </w:r>
          </w:p>
        </w:tc>
      </w:tr>
    </w:tbl>
    <w:p w:rsidR="00E902C4" w:rsidRPr="00E902C4" w:rsidRDefault="00E902C4" w:rsidP="00E902C4">
      <w:pPr>
        <w:spacing w:before="150" w:after="90"/>
        <w:rPr>
          <w:rFonts w:asciiTheme="minorHAnsi" w:eastAsiaTheme="minorHAnsi" w:hAnsiTheme="minorHAnsi"/>
          <w:i/>
          <w:iCs/>
          <w:color w:val="000000"/>
          <w:sz w:val="22"/>
          <w:szCs w:val="22"/>
        </w:rPr>
      </w:pPr>
      <w:r w:rsidRPr="00E902C4">
        <w:rPr>
          <w:rFonts w:asciiTheme="minorHAnsi" w:hAnsiTheme="minorHAnsi"/>
          <w:i/>
          <w:iCs/>
          <w:color w:val="000000"/>
          <w:sz w:val="22"/>
          <w:szCs w:val="22"/>
        </w:rPr>
        <w:t xml:space="preserve">The question is sometimes asked as to whether use of a flat roof of a building, say for a garden or sitting out area, constitutes a material change. However with reference to the appropriate planning unit it may be determined that the roof of a building falls within that unit. In </w:t>
      </w:r>
      <w:proofErr w:type="spellStart"/>
      <w:r w:rsidRPr="00E902C4">
        <w:rPr>
          <w:rFonts w:asciiTheme="minorHAnsi" w:hAnsiTheme="minorHAnsi"/>
          <w:i/>
          <w:iCs/>
          <w:color w:val="000000"/>
          <w:sz w:val="22"/>
          <w:szCs w:val="22"/>
        </w:rPr>
        <w:t>lslington</w:t>
      </w:r>
      <w:proofErr w:type="spellEnd"/>
      <w:r w:rsidRPr="00E902C4">
        <w:rPr>
          <w:rFonts w:asciiTheme="minorHAnsi" w:hAnsiTheme="minorHAnsi"/>
          <w:i/>
          <w:iCs/>
          <w:color w:val="000000"/>
          <w:sz w:val="22"/>
          <w:szCs w:val="22"/>
        </w:rPr>
        <w:t xml:space="preserve"> 14/09/1995 DCS No </w:t>
      </w:r>
      <w:hyperlink r:id="rId8" w:tgtFrame="compass" w:history="1">
        <w:r w:rsidRPr="00E902C4">
          <w:rPr>
            <w:rStyle w:val="Hyperlink"/>
            <w:rFonts w:asciiTheme="minorHAnsi" w:hAnsiTheme="minorHAnsi"/>
            <w:i/>
            <w:iCs/>
            <w:color w:val="035899"/>
            <w:sz w:val="22"/>
            <w:szCs w:val="22"/>
          </w:rPr>
          <w:t>039-285-162</w:t>
        </w:r>
      </w:hyperlink>
      <w:r w:rsidRPr="00E902C4">
        <w:rPr>
          <w:rFonts w:asciiTheme="minorHAnsi" w:hAnsiTheme="minorHAnsi"/>
          <w:i/>
          <w:iCs/>
          <w:color w:val="000000"/>
          <w:sz w:val="22"/>
          <w:szCs w:val="22"/>
        </w:rPr>
        <w:t> an enforcement notice was served alleging use of a second floor roof for sitting out purposes by office workers. An inspector felt that the use fell within the same planning unit and was for the exclusive use of the occupants of that building. The inspector rejected a local authority assertion that the use was not authorised as a roof terrace was not ordinarily ancillary to offices or light industry. The notice was quashed.</w:t>
      </w:r>
    </w:p>
    <w:p w:rsidR="00E902C4" w:rsidRPr="00E902C4" w:rsidRDefault="00E902C4" w:rsidP="00E902C4">
      <w:pPr>
        <w:spacing w:before="150" w:after="100" w:afterAutospacing="1"/>
        <w:ind w:firstLine="150"/>
        <w:rPr>
          <w:rFonts w:asciiTheme="minorHAnsi" w:hAnsiTheme="minorHAnsi"/>
          <w:color w:val="000000"/>
          <w:sz w:val="22"/>
          <w:szCs w:val="22"/>
        </w:rPr>
      </w:pPr>
      <w:r w:rsidRPr="00E902C4">
        <w:rPr>
          <w:rFonts w:asciiTheme="minorHAnsi" w:hAnsiTheme="minorHAnsi"/>
          <w:i/>
          <w:iCs/>
          <w:color w:val="000000"/>
          <w:sz w:val="22"/>
          <w:szCs w:val="22"/>
        </w:rPr>
        <w:t>Another decision of interest is the Hammersmith case described at </w:t>
      </w:r>
      <w:hyperlink r:id="rId9" w:anchor="12.415" w:history="1">
        <w:r w:rsidRPr="00E902C4">
          <w:rPr>
            <w:rStyle w:val="Hyperlink"/>
            <w:rFonts w:asciiTheme="minorHAnsi" w:hAnsiTheme="minorHAnsi"/>
            <w:i/>
            <w:iCs/>
            <w:color w:val="035899"/>
            <w:sz w:val="22"/>
            <w:szCs w:val="22"/>
          </w:rPr>
          <w:t>12.415</w:t>
        </w:r>
      </w:hyperlink>
      <w:r w:rsidRPr="00E902C4">
        <w:rPr>
          <w:rFonts w:asciiTheme="minorHAnsi" w:hAnsiTheme="minorHAnsi"/>
          <w:i/>
          <w:iCs/>
          <w:color w:val="000000"/>
          <w:sz w:val="22"/>
          <w:szCs w:val="22"/>
        </w:rPr>
        <w:t> which related to use of a flat roof over a flat as a balcony. Here, although it was stated that each flat was a separate planning unit, the flat roof lay over accommodation on a lower floor which belonged to it. The notice was quashed.</w:t>
      </w:r>
    </w:p>
    <w:p w:rsidR="00E902C4" w:rsidRPr="00E902C4" w:rsidRDefault="00E902C4" w:rsidP="00E902C4">
      <w:pPr>
        <w:spacing w:before="150" w:after="100" w:afterAutospacing="1"/>
        <w:ind w:firstLine="150"/>
        <w:rPr>
          <w:rFonts w:asciiTheme="minorHAnsi" w:hAnsiTheme="minorHAnsi"/>
          <w:color w:val="000000"/>
          <w:sz w:val="22"/>
          <w:szCs w:val="22"/>
        </w:rPr>
      </w:pPr>
      <w:r w:rsidRPr="00E902C4">
        <w:rPr>
          <w:rFonts w:asciiTheme="minorHAnsi" w:hAnsiTheme="minorHAnsi"/>
          <w:i/>
          <w:iCs/>
          <w:color w:val="000000"/>
          <w:sz w:val="22"/>
          <w:szCs w:val="22"/>
        </w:rPr>
        <w:t>Also of note is Brighton 01/11/1990 DCS No </w:t>
      </w:r>
      <w:hyperlink r:id="rId10" w:tgtFrame="compass" w:history="1">
        <w:r w:rsidRPr="00E902C4">
          <w:rPr>
            <w:rStyle w:val="Hyperlink"/>
            <w:rFonts w:asciiTheme="minorHAnsi" w:hAnsiTheme="minorHAnsi"/>
            <w:i/>
            <w:iCs/>
            <w:color w:val="035899"/>
            <w:sz w:val="22"/>
            <w:szCs w:val="22"/>
          </w:rPr>
          <w:t>041-820-048</w:t>
        </w:r>
      </w:hyperlink>
      <w:r w:rsidRPr="00E902C4">
        <w:rPr>
          <w:rFonts w:asciiTheme="minorHAnsi" w:hAnsiTheme="minorHAnsi"/>
          <w:i/>
          <w:iCs/>
          <w:color w:val="000000"/>
          <w:sz w:val="22"/>
          <w:szCs w:val="22"/>
        </w:rPr>
        <w:t xml:space="preserve"> where an enforcement notice had alleged unauthorised use of a terrace above the Brighton Aquarium for children’s amusements. An inspector observed that the Aquarium complex was </w:t>
      </w:r>
      <w:proofErr w:type="gramStart"/>
      <w:r w:rsidRPr="00E902C4">
        <w:rPr>
          <w:rFonts w:asciiTheme="minorHAnsi" w:hAnsiTheme="minorHAnsi"/>
          <w:i/>
          <w:iCs/>
          <w:color w:val="000000"/>
          <w:sz w:val="22"/>
          <w:szCs w:val="22"/>
        </w:rPr>
        <w:t>within one ownership</w:t>
      </w:r>
      <w:proofErr w:type="gramEnd"/>
      <w:r w:rsidRPr="00E902C4">
        <w:rPr>
          <w:rFonts w:asciiTheme="minorHAnsi" w:hAnsiTheme="minorHAnsi"/>
          <w:i/>
          <w:iCs/>
          <w:color w:val="000000"/>
          <w:sz w:val="22"/>
          <w:szCs w:val="22"/>
        </w:rPr>
        <w:t xml:space="preserve"> and often it was appropriate to regard the roof of a building as part of the planning unit which embraced the building. However in this case the roof was so distinct in physical and functional terms to be considered apart from the Aquarium itself. There was no direct interconnection between the terrace and the inside of the building.</w:t>
      </w:r>
    </w:p>
    <w:p w:rsidR="00E902C4" w:rsidRPr="00E902C4" w:rsidRDefault="00E902C4" w:rsidP="00E902C4">
      <w:pPr>
        <w:spacing w:before="150" w:after="100" w:afterAutospacing="1"/>
        <w:ind w:firstLine="150"/>
        <w:rPr>
          <w:rFonts w:asciiTheme="minorHAnsi" w:hAnsiTheme="minorHAnsi"/>
          <w:color w:val="000000"/>
          <w:sz w:val="22"/>
          <w:szCs w:val="22"/>
        </w:rPr>
      </w:pPr>
      <w:r w:rsidRPr="00E902C4">
        <w:rPr>
          <w:rFonts w:asciiTheme="minorHAnsi" w:hAnsiTheme="minorHAnsi"/>
          <w:i/>
          <w:iCs/>
          <w:color w:val="000000"/>
          <w:sz w:val="22"/>
          <w:szCs w:val="22"/>
        </w:rPr>
        <w:t xml:space="preserve">In circumstances where a flat roof is accessed from the roof of one planning unit but lies over the premises belonging to another planning unit, it may be deduced that use of that roof would not normally be ancillary and a change of use of the roof space would have occurred. Whether this would be material is another matter. Of course, necessary operational development such as railings or </w:t>
      </w:r>
      <w:proofErr w:type="gramStart"/>
      <w:r w:rsidRPr="00E902C4">
        <w:rPr>
          <w:rFonts w:asciiTheme="minorHAnsi" w:hAnsiTheme="minorHAnsi"/>
          <w:i/>
          <w:iCs/>
          <w:color w:val="000000"/>
          <w:sz w:val="22"/>
          <w:szCs w:val="22"/>
        </w:rPr>
        <w:t>staircases,</w:t>
      </w:r>
      <w:proofErr w:type="gramEnd"/>
      <w:r w:rsidRPr="00E902C4">
        <w:rPr>
          <w:rFonts w:asciiTheme="minorHAnsi" w:hAnsiTheme="minorHAnsi"/>
          <w:i/>
          <w:iCs/>
          <w:color w:val="000000"/>
          <w:sz w:val="22"/>
          <w:szCs w:val="22"/>
        </w:rPr>
        <w:t xml:space="preserve"> may bring many uses of flat roofs within planning control anyway, although Part I permitted development rights could allow such works, see </w:t>
      </w:r>
      <w:hyperlink r:id="rId11" w:anchor="12.415" w:history="1">
        <w:r w:rsidRPr="00E902C4">
          <w:rPr>
            <w:rStyle w:val="Hyperlink"/>
            <w:rFonts w:asciiTheme="minorHAnsi" w:hAnsiTheme="minorHAnsi"/>
            <w:i/>
            <w:iCs/>
            <w:color w:val="035899"/>
            <w:sz w:val="22"/>
            <w:szCs w:val="22"/>
          </w:rPr>
          <w:t>12.415</w:t>
        </w:r>
      </w:hyperlink>
      <w:r w:rsidRPr="00E902C4">
        <w:rPr>
          <w:rFonts w:asciiTheme="minorHAnsi" w:hAnsiTheme="minorHAnsi"/>
          <w:i/>
          <w:iCs/>
          <w:color w:val="000000"/>
          <w:sz w:val="22"/>
          <w:szCs w:val="22"/>
        </w:rPr>
        <w:t>.</w:t>
      </w:r>
    </w:p>
    <w:p w:rsidR="00E902C4" w:rsidRPr="00E902C4" w:rsidRDefault="00E902C4" w:rsidP="00E902C4">
      <w:pPr>
        <w:jc w:val="both"/>
        <w:rPr>
          <w:rFonts w:asciiTheme="minorHAnsi" w:hAnsiTheme="minorHAnsi"/>
          <w:sz w:val="22"/>
          <w:szCs w:val="22"/>
        </w:rPr>
      </w:pPr>
    </w:p>
    <w:p w:rsidR="00E902C4" w:rsidRPr="00E902C4" w:rsidRDefault="00E902C4" w:rsidP="00E902C4">
      <w:pPr>
        <w:jc w:val="both"/>
        <w:rPr>
          <w:rFonts w:asciiTheme="minorHAnsi" w:hAnsiTheme="minorHAnsi"/>
          <w:sz w:val="22"/>
          <w:szCs w:val="22"/>
        </w:rPr>
      </w:pPr>
      <w:r w:rsidRPr="00E902C4">
        <w:rPr>
          <w:rFonts w:asciiTheme="minorHAnsi" w:hAnsiTheme="minorHAnsi"/>
          <w:b/>
          <w:bCs/>
          <w:i/>
          <w:iCs/>
          <w:sz w:val="22"/>
          <w:szCs w:val="22"/>
        </w:rPr>
        <w:t>12.4142 Material change of use?</w:t>
      </w:r>
    </w:p>
    <w:p w:rsidR="00E902C4" w:rsidRPr="00E902C4" w:rsidRDefault="00E902C4" w:rsidP="00E902C4">
      <w:pPr>
        <w:jc w:val="both"/>
        <w:rPr>
          <w:rFonts w:asciiTheme="minorHAnsi" w:hAnsiTheme="minorHAnsi"/>
          <w:sz w:val="22"/>
          <w:szCs w:val="22"/>
        </w:rPr>
      </w:pPr>
      <w:r w:rsidRPr="00E902C4">
        <w:rPr>
          <w:rFonts w:asciiTheme="minorHAnsi" w:hAnsiTheme="minorHAnsi"/>
          <w:i/>
          <w:iCs/>
          <w:color w:val="000000"/>
          <w:sz w:val="22"/>
          <w:szCs w:val="22"/>
        </w:rPr>
        <w:t xml:space="preserve">The mere use of a flat roof of a conventional house as a terrace does not fall within planning control as being incidental to the enjoyment of the </w:t>
      </w:r>
      <w:proofErr w:type="spellStart"/>
      <w:r w:rsidRPr="00E902C4">
        <w:rPr>
          <w:rFonts w:asciiTheme="minorHAnsi" w:hAnsiTheme="minorHAnsi"/>
          <w:i/>
          <w:iCs/>
          <w:color w:val="000000"/>
          <w:sz w:val="22"/>
          <w:szCs w:val="22"/>
        </w:rPr>
        <w:t>dwellinghouse</w:t>
      </w:r>
      <w:proofErr w:type="spellEnd"/>
      <w:r w:rsidRPr="00E902C4">
        <w:rPr>
          <w:rFonts w:asciiTheme="minorHAnsi" w:hAnsiTheme="minorHAnsi"/>
          <w:i/>
          <w:iCs/>
          <w:color w:val="000000"/>
          <w:sz w:val="22"/>
          <w:szCs w:val="22"/>
        </w:rPr>
        <w:t>, as set out in sec.55(2)(d) of the 1990 Act. In cases where the roof being used is part of a different flat in a building there would be no material change of use, see Redbridge 22/06/2000 DCS No </w:t>
      </w:r>
      <w:hyperlink r:id="rId12" w:tgtFrame="compass" w:history="1">
        <w:r w:rsidRPr="00E902C4">
          <w:rPr>
            <w:rStyle w:val="Hyperlink"/>
            <w:rFonts w:asciiTheme="minorHAnsi" w:hAnsiTheme="minorHAnsi"/>
            <w:i/>
            <w:iCs/>
            <w:color w:val="035899"/>
            <w:sz w:val="22"/>
            <w:szCs w:val="22"/>
          </w:rPr>
          <w:t>043-075-461</w:t>
        </w:r>
      </w:hyperlink>
      <w:r w:rsidRPr="00E902C4">
        <w:rPr>
          <w:rFonts w:asciiTheme="minorHAnsi" w:hAnsiTheme="minorHAnsi"/>
          <w:i/>
          <w:iCs/>
          <w:color w:val="000000"/>
          <w:sz w:val="22"/>
          <w:szCs w:val="22"/>
        </w:rPr>
        <w:t>.</w:t>
      </w:r>
    </w:p>
    <w:p w:rsidR="00E902C4" w:rsidRPr="00E902C4" w:rsidRDefault="00E902C4" w:rsidP="00E902C4">
      <w:pPr>
        <w:spacing w:before="150" w:after="100" w:afterAutospacing="1"/>
        <w:ind w:firstLine="150"/>
        <w:rPr>
          <w:rFonts w:asciiTheme="minorHAnsi" w:hAnsiTheme="minorHAnsi"/>
          <w:color w:val="000000"/>
          <w:sz w:val="22"/>
          <w:szCs w:val="22"/>
        </w:rPr>
      </w:pPr>
      <w:r w:rsidRPr="00E902C4">
        <w:rPr>
          <w:rFonts w:asciiTheme="minorHAnsi" w:hAnsiTheme="minorHAnsi"/>
          <w:i/>
          <w:iCs/>
          <w:color w:val="000000"/>
          <w:sz w:val="22"/>
          <w:szCs w:val="22"/>
        </w:rPr>
        <w:t xml:space="preserve">In allowing an appeal against an enforcement notice requiring a householder to cease using a flat roof extension as a sitting out area, an inspector decided that the use was not unlawful. In addition to alleging an unauthorised use of the roof the notice also required the removal of a balcony around the roof together with a platform sited thereon. These items had been removed. However, the appellant stated that the actual use of the flat roof did not involve a breach of planning control. Rather, he claimed it was incidental to the enjoyment of the </w:t>
      </w:r>
      <w:proofErr w:type="spellStart"/>
      <w:r w:rsidRPr="00E902C4">
        <w:rPr>
          <w:rFonts w:asciiTheme="minorHAnsi" w:hAnsiTheme="minorHAnsi"/>
          <w:i/>
          <w:iCs/>
          <w:color w:val="000000"/>
          <w:sz w:val="22"/>
          <w:szCs w:val="22"/>
        </w:rPr>
        <w:t>dwellinghouse</w:t>
      </w:r>
      <w:proofErr w:type="spellEnd"/>
      <w:r w:rsidRPr="00E902C4">
        <w:rPr>
          <w:rFonts w:asciiTheme="minorHAnsi" w:hAnsiTheme="minorHAnsi"/>
          <w:i/>
          <w:iCs/>
          <w:color w:val="000000"/>
          <w:sz w:val="22"/>
          <w:szCs w:val="22"/>
        </w:rPr>
        <w:t xml:space="preserve"> and accordingly did not fall within planning control. The inspector decided that the use of the roof as a sitting out area was something which was generally associated with the residential use. It would not result in a significant change in the character of the activities within the planning unit. Although the court in Croydon LBC v Gladden 1994 held that the concept of enjoyment of a </w:t>
      </w:r>
      <w:proofErr w:type="spellStart"/>
      <w:r w:rsidRPr="00E902C4">
        <w:rPr>
          <w:rFonts w:asciiTheme="minorHAnsi" w:hAnsiTheme="minorHAnsi"/>
          <w:i/>
          <w:iCs/>
          <w:color w:val="000000"/>
          <w:sz w:val="22"/>
          <w:szCs w:val="22"/>
        </w:rPr>
        <w:t>dwellinghouse</w:t>
      </w:r>
      <w:proofErr w:type="spellEnd"/>
      <w:r w:rsidRPr="00E902C4">
        <w:rPr>
          <w:rFonts w:asciiTheme="minorHAnsi" w:hAnsiTheme="minorHAnsi"/>
          <w:i/>
          <w:iCs/>
          <w:color w:val="000000"/>
          <w:sz w:val="22"/>
          <w:szCs w:val="22"/>
        </w:rPr>
        <w:t xml:space="preserve"> embraced an element of “reasonableness”, the use of the flat roof was not so unreasonable, he held, as to make it fall within planning control. Accordingly, he varied the notice to remove the restriction of using the roof as an outdoor amenity area, see East Northamptonshire 15/02/2010 DCS No </w:t>
      </w:r>
      <w:hyperlink r:id="rId13" w:tgtFrame="compass" w:history="1">
        <w:r w:rsidRPr="00E902C4">
          <w:rPr>
            <w:rStyle w:val="Hyperlink"/>
            <w:rFonts w:asciiTheme="minorHAnsi" w:hAnsiTheme="minorHAnsi"/>
            <w:i/>
            <w:iCs/>
            <w:color w:val="035899"/>
            <w:sz w:val="22"/>
            <w:szCs w:val="22"/>
          </w:rPr>
          <w:t>100-066-519</w:t>
        </w:r>
      </w:hyperlink>
      <w:r w:rsidRPr="00E902C4">
        <w:rPr>
          <w:rFonts w:asciiTheme="minorHAnsi" w:hAnsiTheme="minorHAnsi"/>
          <w:i/>
          <w:iCs/>
          <w:color w:val="000000"/>
          <w:sz w:val="22"/>
          <w:szCs w:val="22"/>
        </w:rPr>
        <w:t>.</w:t>
      </w:r>
    </w:p>
    <w:p w:rsidR="00861E0E" w:rsidRDefault="00E902C4" w:rsidP="00901E2E">
      <w:pPr>
        <w:spacing w:line="360" w:lineRule="auto"/>
        <w:jc w:val="both"/>
        <w:rPr>
          <w:rFonts w:ascii="Calibri" w:hAnsi="Calibri"/>
          <w:sz w:val="20"/>
          <w:szCs w:val="20"/>
        </w:rPr>
      </w:pPr>
      <w:r>
        <w:rPr>
          <w:rFonts w:ascii="Calibri" w:hAnsi="Calibri"/>
          <w:sz w:val="20"/>
          <w:szCs w:val="20"/>
        </w:rPr>
        <w:t xml:space="preserve">We look forward to hearing from you and if you need any further information, please do not hesitate to contact us. </w:t>
      </w:r>
    </w:p>
    <w:p w:rsidR="00E902C4" w:rsidRPr="00861E0E" w:rsidRDefault="00E902C4" w:rsidP="00901E2E">
      <w:pPr>
        <w:spacing w:line="360" w:lineRule="auto"/>
        <w:jc w:val="both"/>
        <w:rPr>
          <w:rFonts w:ascii="Calibri" w:hAnsi="Calibri"/>
          <w:sz w:val="20"/>
          <w:szCs w:val="20"/>
        </w:rPr>
      </w:pPr>
    </w:p>
    <w:p w:rsidR="00D47315" w:rsidRPr="00861E0E" w:rsidRDefault="00D47315" w:rsidP="00901E2E">
      <w:pPr>
        <w:spacing w:line="360" w:lineRule="auto"/>
        <w:jc w:val="both"/>
        <w:rPr>
          <w:rFonts w:asciiTheme="minorHAnsi" w:hAnsiTheme="minorHAnsi"/>
          <w:sz w:val="20"/>
          <w:szCs w:val="20"/>
        </w:rPr>
      </w:pPr>
      <w:r w:rsidRPr="00861E0E">
        <w:rPr>
          <w:rFonts w:asciiTheme="minorHAnsi" w:hAnsiTheme="minorHAnsi"/>
          <w:sz w:val="20"/>
          <w:szCs w:val="20"/>
        </w:rPr>
        <w:t>Your</w:t>
      </w:r>
      <w:r w:rsidR="0079347B" w:rsidRPr="00861E0E">
        <w:rPr>
          <w:rFonts w:asciiTheme="minorHAnsi" w:hAnsiTheme="minorHAnsi"/>
          <w:sz w:val="20"/>
          <w:szCs w:val="20"/>
        </w:rPr>
        <w:t>s</w:t>
      </w:r>
      <w:r w:rsidRPr="00861E0E">
        <w:rPr>
          <w:rFonts w:asciiTheme="minorHAnsi" w:hAnsiTheme="minorHAnsi"/>
          <w:sz w:val="20"/>
          <w:szCs w:val="20"/>
        </w:rPr>
        <w:t xml:space="preserve"> sincerely, </w:t>
      </w:r>
    </w:p>
    <w:p w:rsidR="00861E0E" w:rsidRPr="00861E0E" w:rsidRDefault="000C7348" w:rsidP="00901E2E">
      <w:pPr>
        <w:spacing w:line="360" w:lineRule="auto"/>
        <w:jc w:val="both"/>
        <w:rPr>
          <w:rFonts w:asciiTheme="minorHAnsi" w:hAnsiTheme="minorHAnsi"/>
          <w:sz w:val="20"/>
          <w:szCs w:val="20"/>
        </w:rPr>
      </w:pPr>
      <w:r>
        <w:rPr>
          <w:rFonts w:asciiTheme="minorHAnsi" w:hAnsiTheme="minorHAnsi"/>
          <w:noProof/>
          <w:sz w:val="20"/>
          <w:szCs w:val="20"/>
        </w:rPr>
        <w:drawing>
          <wp:inline distT="0" distB="0" distL="0" distR="0">
            <wp:extent cx="2034037" cy="1026789"/>
            <wp:effectExtent l="19050" t="0" r="4313" b="0"/>
            <wp:docPr id="2" name="Picture 1" descr="C:\Users\Siofra\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ofra\Desktop\Signature.jpg"/>
                    <pic:cNvPicPr>
                      <a:picLocks noChangeAspect="1" noChangeArrowheads="1"/>
                    </pic:cNvPicPr>
                  </pic:nvPicPr>
                  <pic:blipFill>
                    <a:blip r:embed="rId14" cstate="print"/>
                    <a:srcRect/>
                    <a:stretch>
                      <a:fillRect/>
                    </a:stretch>
                  </pic:blipFill>
                  <pic:spPr bwMode="auto">
                    <a:xfrm>
                      <a:off x="0" y="0"/>
                      <a:ext cx="2035502" cy="1027529"/>
                    </a:xfrm>
                    <a:prstGeom prst="rect">
                      <a:avLst/>
                    </a:prstGeom>
                    <a:noFill/>
                    <a:ln w="9525">
                      <a:noFill/>
                      <a:miter lim="800000"/>
                      <a:headEnd/>
                      <a:tailEnd/>
                    </a:ln>
                  </pic:spPr>
                </pic:pic>
              </a:graphicData>
            </a:graphic>
          </wp:inline>
        </w:drawing>
      </w:r>
    </w:p>
    <w:p w:rsidR="00610492" w:rsidRPr="00861E0E" w:rsidRDefault="000C7348" w:rsidP="00901E2E">
      <w:pPr>
        <w:spacing w:line="360" w:lineRule="auto"/>
        <w:jc w:val="both"/>
        <w:rPr>
          <w:rFonts w:asciiTheme="minorHAnsi" w:hAnsiTheme="minorHAnsi"/>
          <w:b/>
          <w:smallCaps/>
          <w:sz w:val="20"/>
          <w:szCs w:val="20"/>
        </w:rPr>
      </w:pPr>
      <w:r>
        <w:rPr>
          <w:rFonts w:asciiTheme="minorHAnsi" w:hAnsiTheme="minorHAnsi"/>
          <w:b/>
          <w:smallCaps/>
          <w:sz w:val="20"/>
          <w:szCs w:val="20"/>
        </w:rPr>
        <w:t>Muireann Murphy</w:t>
      </w:r>
    </w:p>
    <w:p w:rsidR="00321407" w:rsidRPr="00861E0E" w:rsidRDefault="00321407" w:rsidP="00901E2E">
      <w:pPr>
        <w:spacing w:line="360" w:lineRule="auto"/>
        <w:jc w:val="both"/>
        <w:rPr>
          <w:rFonts w:asciiTheme="minorHAnsi" w:hAnsiTheme="minorHAnsi"/>
          <w:smallCaps/>
          <w:color w:val="808080" w:themeColor="background1" w:themeShade="80"/>
          <w:sz w:val="18"/>
          <w:szCs w:val="20"/>
        </w:rPr>
      </w:pPr>
      <w:r w:rsidRPr="00861E0E">
        <w:rPr>
          <w:rFonts w:asciiTheme="minorHAnsi" w:hAnsiTheme="minorHAnsi"/>
          <w:smallCaps/>
          <w:color w:val="808080" w:themeColor="background1" w:themeShade="80"/>
          <w:sz w:val="18"/>
          <w:szCs w:val="20"/>
        </w:rPr>
        <w:t>Planner</w:t>
      </w:r>
    </w:p>
    <w:p w:rsidR="00321407" w:rsidRPr="00C366D4" w:rsidRDefault="00616C26" w:rsidP="00E91D17">
      <w:pPr>
        <w:spacing w:line="360" w:lineRule="auto"/>
        <w:jc w:val="both"/>
        <w:rPr>
          <w:rFonts w:asciiTheme="minorHAnsi" w:hAnsiTheme="minorHAnsi"/>
          <w:b/>
          <w:sz w:val="20"/>
          <w:szCs w:val="20"/>
        </w:rPr>
      </w:pPr>
      <w:r w:rsidRPr="00861E0E">
        <w:rPr>
          <w:rFonts w:asciiTheme="minorHAnsi" w:hAnsiTheme="minorHAnsi"/>
          <w:smallCaps/>
          <w:color w:val="808080" w:themeColor="background1" w:themeShade="80"/>
          <w:sz w:val="20"/>
          <w:szCs w:val="20"/>
        </w:rPr>
        <w:t xml:space="preserve">Nicholas Taylor </w:t>
      </w:r>
      <w:r w:rsidRPr="00861E0E">
        <w:rPr>
          <w:rFonts w:asciiTheme="minorHAnsi" w:hAnsiTheme="minorHAnsi"/>
          <w:i/>
          <w:smallCaps/>
          <w:color w:val="92D050"/>
          <w:sz w:val="20"/>
          <w:szCs w:val="20"/>
        </w:rPr>
        <w:t>+</w:t>
      </w:r>
      <w:r w:rsidRPr="00861E0E">
        <w:rPr>
          <w:rFonts w:asciiTheme="minorHAnsi" w:hAnsiTheme="minorHAnsi"/>
          <w:smallCaps/>
          <w:color w:val="808080" w:themeColor="background1" w:themeShade="80"/>
          <w:sz w:val="20"/>
          <w:szCs w:val="20"/>
        </w:rPr>
        <w:t xml:space="preserve"> Associates</w:t>
      </w:r>
    </w:p>
    <w:sectPr w:rsidR="00321407" w:rsidRPr="00C366D4" w:rsidSect="00C366D4">
      <w:footerReference w:type="default" r:id="rId15"/>
      <w:headerReference w:type="first" r:id="rId16"/>
      <w:pgSz w:w="11906" w:h="16838"/>
      <w:pgMar w:top="1440" w:right="1800" w:bottom="89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348" w:rsidRDefault="000C7348" w:rsidP="009D519E">
      <w:r>
        <w:separator/>
      </w:r>
    </w:p>
  </w:endnote>
  <w:endnote w:type="continuationSeparator" w:id="0">
    <w:p w:rsidR="000C7348" w:rsidRDefault="000C7348" w:rsidP="009D51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348" w:rsidRDefault="000C7348" w:rsidP="009D519E">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348" w:rsidRDefault="000C7348" w:rsidP="009D519E">
      <w:r>
        <w:separator/>
      </w:r>
    </w:p>
  </w:footnote>
  <w:footnote w:type="continuationSeparator" w:id="0">
    <w:p w:rsidR="000C7348" w:rsidRDefault="000C7348" w:rsidP="009D5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348" w:rsidRPr="0079347B" w:rsidRDefault="000C7348" w:rsidP="0079347B">
    <w:pPr>
      <w:rPr>
        <w:rFonts w:asciiTheme="minorHAnsi" w:hAnsiTheme="minorHAnsi"/>
        <w:sz w:val="20"/>
        <w:szCs w:val="20"/>
      </w:rPr>
    </w:pPr>
    <w:r>
      <w:rPr>
        <w:noProof/>
      </w:rPr>
      <w:drawing>
        <wp:anchor distT="0" distB="0" distL="114300" distR="114300" simplePos="0" relativeHeight="251662336" behindDoc="0" locked="0" layoutInCell="1" allowOverlap="1">
          <wp:simplePos x="0" y="0"/>
          <wp:positionH relativeFrom="column">
            <wp:posOffset>4403725</wp:posOffset>
          </wp:positionH>
          <wp:positionV relativeFrom="paragraph">
            <wp:posOffset>-40005</wp:posOffset>
          </wp:positionV>
          <wp:extent cx="861695" cy="864235"/>
          <wp:effectExtent l="19050" t="0" r="0" b="0"/>
          <wp:wrapTopAndBottom/>
          <wp:docPr id="3"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61695" cy="864235"/>
                  </a:xfrm>
                  <a:prstGeom prst="rect">
                    <a:avLst/>
                  </a:prstGeom>
                </pic:spPr>
              </pic:pic>
            </a:graphicData>
          </a:graphic>
        </wp:anchor>
      </w:drawing>
    </w:r>
  </w:p>
  <w:p w:rsidR="000C7348" w:rsidRDefault="000C7348" w:rsidP="00D47315">
    <w:pPr>
      <w:jc w:val="right"/>
      <w:rPr>
        <w:rFonts w:asciiTheme="minorHAnsi" w:hAnsiTheme="minorHAnsi"/>
        <w:color w:val="808080" w:themeColor="background1" w:themeShade="80"/>
        <w:sz w:val="20"/>
        <w:szCs w:val="20"/>
      </w:rPr>
    </w:pPr>
  </w:p>
  <w:p w:rsidR="000C7348" w:rsidRDefault="000C7348" w:rsidP="00D47315">
    <w:pPr>
      <w:jc w:val="right"/>
      <w:rPr>
        <w:rFonts w:asciiTheme="minorHAnsi" w:hAnsiTheme="minorHAnsi"/>
        <w:color w:val="808080" w:themeColor="background1" w:themeShade="80"/>
        <w:sz w:val="20"/>
        <w:szCs w:val="20"/>
      </w:rPr>
    </w:pPr>
  </w:p>
  <w:p w:rsidR="000C7348" w:rsidRDefault="000C7348" w:rsidP="00D47315">
    <w:pPr>
      <w:jc w:val="right"/>
      <w:rPr>
        <w:rFonts w:asciiTheme="minorHAnsi" w:hAnsiTheme="minorHAnsi"/>
        <w:color w:val="808080" w:themeColor="background1" w:themeShade="80"/>
        <w:sz w:val="20"/>
        <w:szCs w:val="20"/>
      </w:rPr>
    </w:pPr>
  </w:p>
  <w:p w:rsidR="000C7348" w:rsidRDefault="000C7348" w:rsidP="00D47315">
    <w:pPr>
      <w:jc w:val="right"/>
      <w:rPr>
        <w:rFonts w:asciiTheme="minorHAnsi" w:hAnsiTheme="minorHAnsi"/>
        <w:color w:val="808080" w:themeColor="background1" w:themeShade="80"/>
        <w:sz w:val="20"/>
        <w:szCs w:val="20"/>
      </w:rPr>
    </w:pPr>
  </w:p>
  <w:p w:rsidR="000C7348" w:rsidRDefault="000C7348" w:rsidP="00D47315">
    <w:pPr>
      <w:jc w:val="right"/>
      <w:rPr>
        <w:rFonts w:asciiTheme="minorHAnsi" w:hAnsiTheme="minorHAnsi"/>
        <w:color w:val="808080" w:themeColor="background1" w:themeShade="80"/>
        <w:sz w:val="20"/>
        <w:szCs w:val="20"/>
      </w:rPr>
    </w:pPr>
    <w:r>
      <w:rPr>
        <w:rFonts w:asciiTheme="minorHAnsi" w:hAnsiTheme="minorHAnsi"/>
        <w:noProof/>
        <w:color w:val="808080" w:themeColor="background1" w:themeShade="80"/>
        <w:sz w:val="20"/>
        <w:szCs w:val="20"/>
      </w:rPr>
      <w:pict>
        <v:rect id="_x0000_s4097" style="position:absolute;left:0;text-align:left;margin-left:232.1pt;margin-top:3.65pt;width:190.35pt;height:110.8pt;z-index:251661312" stroked="f">
          <v:textbox>
            <w:txbxContent>
              <w:p w:rsidR="000C7348" w:rsidRPr="0079347B" w:rsidRDefault="000C7348" w:rsidP="0079671B">
                <w:pPr>
                  <w:jc w:val="right"/>
                  <w:rPr>
                    <w:rFonts w:asciiTheme="minorHAnsi" w:hAnsiTheme="minorHAnsi"/>
                    <w:color w:val="808080" w:themeColor="background1" w:themeShade="80"/>
                    <w:sz w:val="20"/>
                    <w:szCs w:val="20"/>
                  </w:rPr>
                </w:pPr>
                <w:r w:rsidRPr="0079347B">
                  <w:rPr>
                    <w:rFonts w:asciiTheme="minorHAnsi" w:hAnsiTheme="minorHAnsi"/>
                    <w:color w:val="808080" w:themeColor="background1" w:themeShade="80"/>
                    <w:sz w:val="20"/>
                    <w:szCs w:val="20"/>
                  </w:rPr>
                  <w:t>NICHOLAS TAYLOR</w:t>
                </w:r>
                <w:r w:rsidRPr="0079347B">
                  <w:rPr>
                    <w:rFonts w:asciiTheme="minorHAnsi" w:hAnsiTheme="minorHAnsi"/>
                    <w:b/>
                    <w:color w:val="808080" w:themeColor="background1" w:themeShade="80"/>
                    <w:sz w:val="20"/>
                    <w:szCs w:val="20"/>
                  </w:rPr>
                  <w:t xml:space="preserve"> </w:t>
                </w:r>
                <w:r w:rsidRPr="0079347B">
                  <w:rPr>
                    <w:rFonts w:asciiTheme="minorHAnsi" w:hAnsiTheme="minorHAnsi"/>
                    <w:b/>
                    <w:i/>
                    <w:color w:val="92D050"/>
                    <w:sz w:val="20"/>
                    <w:szCs w:val="20"/>
                  </w:rPr>
                  <w:t>+</w:t>
                </w:r>
                <w:r w:rsidRPr="0079347B">
                  <w:rPr>
                    <w:rFonts w:asciiTheme="minorHAnsi" w:hAnsiTheme="minorHAnsi"/>
                    <w:b/>
                    <w:color w:val="92D050"/>
                    <w:sz w:val="20"/>
                    <w:szCs w:val="20"/>
                  </w:rPr>
                  <w:t xml:space="preserve"> </w:t>
                </w:r>
                <w:r w:rsidRPr="0079347B">
                  <w:rPr>
                    <w:rFonts w:asciiTheme="minorHAnsi" w:hAnsiTheme="minorHAnsi"/>
                    <w:color w:val="808080" w:themeColor="background1" w:themeShade="80"/>
                    <w:sz w:val="20"/>
                    <w:szCs w:val="20"/>
                  </w:rPr>
                  <w:t>ASSOCIATES</w:t>
                </w:r>
              </w:p>
              <w:p w:rsidR="000C7348" w:rsidRDefault="000C7348" w:rsidP="0079671B">
                <w:pPr>
                  <w:jc w:val="right"/>
                  <w:rPr>
                    <w:rFonts w:asciiTheme="minorHAnsi" w:hAnsiTheme="minorHAnsi"/>
                    <w:b/>
                    <w:color w:val="92D050"/>
                    <w:sz w:val="20"/>
                    <w:szCs w:val="20"/>
                  </w:rPr>
                </w:pPr>
                <w:r w:rsidRPr="00291BFA">
                  <w:rPr>
                    <w:rFonts w:asciiTheme="minorHAnsi" w:hAnsiTheme="minorHAnsi"/>
                    <w:color w:val="92D050"/>
                    <w:sz w:val="20"/>
                    <w:szCs w:val="20"/>
                  </w:rPr>
                  <w:t>TOWN PLANNING CONSULTANTS</w:t>
                </w:r>
              </w:p>
              <w:p w:rsidR="000C7348" w:rsidRDefault="000C7348" w:rsidP="0079671B">
                <w:pPr>
                  <w:jc w:val="right"/>
                  <w:rPr>
                    <w:rFonts w:asciiTheme="minorHAnsi" w:hAnsiTheme="minorHAnsi"/>
                    <w:color w:val="808080" w:themeColor="background1" w:themeShade="80"/>
                    <w:sz w:val="18"/>
                    <w:szCs w:val="18"/>
                  </w:rPr>
                </w:pPr>
              </w:p>
              <w:p w:rsidR="000C7348" w:rsidRPr="0079347B" w:rsidRDefault="000C7348" w:rsidP="0079671B">
                <w:pPr>
                  <w:jc w:val="right"/>
                  <w:rPr>
                    <w:rFonts w:asciiTheme="minorHAnsi" w:hAnsiTheme="minorHAnsi"/>
                    <w:color w:val="808080" w:themeColor="background1" w:themeShade="80"/>
                    <w:sz w:val="18"/>
                    <w:szCs w:val="18"/>
                  </w:rPr>
                </w:pPr>
                <w:r w:rsidRPr="0079347B">
                  <w:rPr>
                    <w:rFonts w:asciiTheme="minorHAnsi" w:hAnsiTheme="minorHAnsi"/>
                    <w:color w:val="808080" w:themeColor="background1" w:themeShade="80"/>
                    <w:sz w:val="18"/>
                    <w:szCs w:val="18"/>
                  </w:rPr>
                  <w:t>31 Windmill Street, London W1T 2JN</w:t>
                </w:r>
              </w:p>
              <w:p w:rsidR="000C7348" w:rsidRPr="0079347B" w:rsidRDefault="000C7348" w:rsidP="0079671B">
                <w:pPr>
                  <w:jc w:val="right"/>
                  <w:rPr>
                    <w:rFonts w:asciiTheme="minorHAnsi" w:hAnsiTheme="minorHAnsi"/>
                    <w:color w:val="808080" w:themeColor="background1" w:themeShade="80"/>
                    <w:sz w:val="18"/>
                    <w:szCs w:val="18"/>
                  </w:rPr>
                </w:pPr>
                <w:r w:rsidRPr="0079347B">
                  <w:rPr>
                    <w:rFonts w:asciiTheme="minorHAnsi" w:hAnsiTheme="minorHAnsi"/>
                    <w:color w:val="808080" w:themeColor="background1" w:themeShade="80"/>
                    <w:sz w:val="18"/>
                    <w:szCs w:val="18"/>
                  </w:rPr>
                  <w:t>T. 020 7636 3961</w:t>
                </w:r>
              </w:p>
              <w:p w:rsidR="000C7348" w:rsidRPr="0079347B" w:rsidRDefault="000C7348" w:rsidP="0079671B">
                <w:pPr>
                  <w:jc w:val="right"/>
                  <w:rPr>
                    <w:rFonts w:asciiTheme="minorHAnsi" w:hAnsiTheme="minorHAnsi"/>
                    <w:color w:val="808080" w:themeColor="background1" w:themeShade="80"/>
                    <w:sz w:val="18"/>
                    <w:szCs w:val="18"/>
                  </w:rPr>
                </w:pPr>
                <w:r w:rsidRPr="0079347B">
                  <w:rPr>
                    <w:rFonts w:asciiTheme="minorHAnsi" w:hAnsiTheme="minorHAnsi"/>
                    <w:color w:val="808080" w:themeColor="background1" w:themeShade="80"/>
                    <w:sz w:val="18"/>
                    <w:szCs w:val="18"/>
                  </w:rPr>
                  <w:t>F. 020 7636 8131</w:t>
                </w:r>
              </w:p>
              <w:p w:rsidR="000C7348" w:rsidRPr="0079347B" w:rsidRDefault="000C7348" w:rsidP="0079671B">
                <w:pPr>
                  <w:jc w:val="right"/>
                  <w:rPr>
                    <w:rFonts w:asciiTheme="minorHAnsi" w:hAnsiTheme="minorHAnsi"/>
                    <w:color w:val="808080" w:themeColor="background1" w:themeShade="80"/>
                    <w:sz w:val="18"/>
                    <w:szCs w:val="18"/>
                  </w:rPr>
                </w:pPr>
                <w:r w:rsidRPr="0079347B">
                  <w:rPr>
                    <w:rFonts w:asciiTheme="minorHAnsi" w:hAnsiTheme="minorHAnsi"/>
                    <w:color w:val="808080" w:themeColor="background1" w:themeShade="80"/>
                    <w:sz w:val="18"/>
                    <w:szCs w:val="18"/>
                  </w:rPr>
                  <w:t>info@ntaplanning.co.uk</w:t>
                </w:r>
              </w:p>
              <w:p w:rsidR="000C7348" w:rsidRPr="0079347B" w:rsidRDefault="000C7348" w:rsidP="0079671B">
                <w:pPr>
                  <w:jc w:val="right"/>
                  <w:rPr>
                    <w:rFonts w:asciiTheme="minorHAnsi" w:hAnsiTheme="minorHAnsi"/>
                    <w:color w:val="808080" w:themeColor="background1" w:themeShade="80"/>
                    <w:sz w:val="18"/>
                    <w:szCs w:val="18"/>
                  </w:rPr>
                </w:pPr>
                <w:r w:rsidRPr="0079347B">
                  <w:rPr>
                    <w:rFonts w:asciiTheme="minorHAnsi" w:hAnsiTheme="minorHAnsi"/>
                    <w:color w:val="808080" w:themeColor="background1" w:themeShade="80"/>
                    <w:sz w:val="18"/>
                    <w:szCs w:val="18"/>
                  </w:rPr>
                  <w:t>www.ntaplanning.co.uk</w:t>
                </w:r>
              </w:p>
              <w:p w:rsidR="000C7348" w:rsidRDefault="000C7348"/>
            </w:txbxContent>
          </v:textbox>
        </v:rect>
      </w:pict>
    </w:r>
  </w:p>
  <w:p w:rsidR="000C7348" w:rsidRDefault="000C7348" w:rsidP="00D47315">
    <w:pPr>
      <w:pStyle w:val="Header"/>
      <w:tabs>
        <w:tab w:val="clear" w:pos="4513"/>
        <w:tab w:val="clear" w:pos="9026"/>
        <w:tab w:val="left" w:pos="6738"/>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2D90"/>
    <w:multiLevelType w:val="hybridMultilevel"/>
    <w:tmpl w:val="B2BE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90004B"/>
    <w:multiLevelType w:val="multilevel"/>
    <w:tmpl w:val="1A4E7E02"/>
    <w:lvl w:ilvl="0">
      <w:start w:val="1"/>
      <w:numFmt w:val="decimal"/>
      <w:lvlText w:val="%1."/>
      <w:lvlJc w:val="left"/>
      <w:pPr>
        <w:ind w:left="720" w:hanging="360"/>
      </w:pPr>
    </w:lvl>
    <w:lvl w:ilvl="1">
      <w:start w:val="1"/>
      <w:numFmt w:val="decimal"/>
      <w:isLgl/>
      <w:lvlText w:val="%1.%2"/>
      <w:lvlJc w:val="left"/>
      <w:pPr>
        <w:ind w:left="1080" w:hanging="720"/>
      </w:pPr>
      <w:rPr>
        <w:rFonts w:eastAsia="Times New Roman" w:cs="Arial" w:hint="default"/>
      </w:rPr>
    </w:lvl>
    <w:lvl w:ilvl="2">
      <w:start w:val="1"/>
      <w:numFmt w:val="decimal"/>
      <w:isLgl/>
      <w:lvlText w:val="%1.%2.%3"/>
      <w:lvlJc w:val="left"/>
      <w:pPr>
        <w:ind w:left="1080" w:hanging="720"/>
      </w:pPr>
      <w:rPr>
        <w:rFonts w:eastAsia="Times New Roman" w:cs="Arial" w:hint="default"/>
      </w:rPr>
    </w:lvl>
    <w:lvl w:ilvl="3">
      <w:start w:val="1"/>
      <w:numFmt w:val="decimal"/>
      <w:isLgl/>
      <w:lvlText w:val="%1.%2.%3.%4"/>
      <w:lvlJc w:val="left"/>
      <w:pPr>
        <w:ind w:left="1080" w:hanging="720"/>
      </w:pPr>
      <w:rPr>
        <w:rFonts w:eastAsia="Times New Roman" w:cs="Arial" w:hint="default"/>
      </w:rPr>
    </w:lvl>
    <w:lvl w:ilvl="4">
      <w:start w:val="1"/>
      <w:numFmt w:val="decimal"/>
      <w:isLgl/>
      <w:lvlText w:val="%1.%2.%3.%4.%5"/>
      <w:lvlJc w:val="left"/>
      <w:pPr>
        <w:ind w:left="1080" w:hanging="720"/>
      </w:pPr>
      <w:rPr>
        <w:rFonts w:eastAsia="Times New Roman" w:cs="Arial" w:hint="default"/>
      </w:rPr>
    </w:lvl>
    <w:lvl w:ilvl="5">
      <w:start w:val="1"/>
      <w:numFmt w:val="decimal"/>
      <w:isLgl/>
      <w:lvlText w:val="%1.%2.%3.%4.%5.%6"/>
      <w:lvlJc w:val="left"/>
      <w:pPr>
        <w:ind w:left="1440" w:hanging="1080"/>
      </w:pPr>
      <w:rPr>
        <w:rFonts w:eastAsia="Times New Roman" w:cs="Arial" w:hint="default"/>
      </w:rPr>
    </w:lvl>
    <w:lvl w:ilvl="6">
      <w:start w:val="1"/>
      <w:numFmt w:val="decimal"/>
      <w:isLgl/>
      <w:lvlText w:val="%1.%2.%3.%4.%5.%6.%7"/>
      <w:lvlJc w:val="left"/>
      <w:pPr>
        <w:ind w:left="1440" w:hanging="1080"/>
      </w:pPr>
      <w:rPr>
        <w:rFonts w:eastAsia="Times New Roman" w:cs="Arial" w:hint="default"/>
      </w:rPr>
    </w:lvl>
    <w:lvl w:ilvl="7">
      <w:start w:val="1"/>
      <w:numFmt w:val="decimal"/>
      <w:isLgl/>
      <w:lvlText w:val="%1.%2.%3.%4.%5.%6.%7.%8"/>
      <w:lvlJc w:val="left"/>
      <w:pPr>
        <w:ind w:left="1800" w:hanging="1440"/>
      </w:pPr>
      <w:rPr>
        <w:rFonts w:eastAsia="Times New Roman" w:cs="Arial" w:hint="default"/>
      </w:rPr>
    </w:lvl>
    <w:lvl w:ilvl="8">
      <w:start w:val="1"/>
      <w:numFmt w:val="decimal"/>
      <w:isLgl/>
      <w:lvlText w:val="%1.%2.%3.%4.%5.%6.%7.%8.%9"/>
      <w:lvlJc w:val="left"/>
      <w:pPr>
        <w:ind w:left="1800" w:hanging="1440"/>
      </w:pPr>
      <w:rPr>
        <w:rFonts w:eastAsia="Times New Roman" w:cs="Arial" w:hint="default"/>
      </w:rPr>
    </w:lvl>
  </w:abstractNum>
  <w:abstractNum w:abstractNumId="2">
    <w:nsid w:val="753D6C77"/>
    <w:multiLevelType w:val="multilevel"/>
    <w:tmpl w:val="D716DD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57"/>
  <w:drawingGridVerticalSpacing w:val="39"/>
  <w:displayVerticalDrawingGridEvery w:val="2"/>
  <w:characterSpacingControl w:val="doNotCompress"/>
  <w:hdrShapeDefaults>
    <o:shapedefaults v:ext="edit" spidmax="4099">
      <o:colormenu v:ext="edit" fillcolor="none" strokecolor="none"/>
    </o:shapedefaults>
    <o:shapelayout v:ext="edit">
      <o:idmap v:ext="edit" data="4"/>
    </o:shapelayout>
  </w:hdrShapeDefaults>
  <w:footnotePr>
    <w:footnote w:id="-1"/>
    <w:footnote w:id="0"/>
  </w:footnotePr>
  <w:endnotePr>
    <w:endnote w:id="-1"/>
    <w:endnote w:id="0"/>
  </w:endnotePr>
  <w:compat/>
  <w:rsids>
    <w:rsidRoot w:val="00100C59"/>
    <w:rsid w:val="000004B0"/>
    <w:rsid w:val="0001068B"/>
    <w:rsid w:val="0002357F"/>
    <w:rsid w:val="000240C7"/>
    <w:rsid w:val="00046FB7"/>
    <w:rsid w:val="00074919"/>
    <w:rsid w:val="00080BFA"/>
    <w:rsid w:val="000A3020"/>
    <w:rsid w:val="000B2317"/>
    <w:rsid w:val="000C7348"/>
    <w:rsid w:val="000E0EA5"/>
    <w:rsid w:val="000E51A9"/>
    <w:rsid w:val="000F5677"/>
    <w:rsid w:val="00100C13"/>
    <w:rsid w:val="00100C59"/>
    <w:rsid w:val="00123497"/>
    <w:rsid w:val="001455E2"/>
    <w:rsid w:val="0017705C"/>
    <w:rsid w:val="00182BFD"/>
    <w:rsid w:val="001B5AD8"/>
    <w:rsid w:val="001D1B7A"/>
    <w:rsid w:val="001E0E06"/>
    <w:rsid w:val="001F0823"/>
    <w:rsid w:val="001F7031"/>
    <w:rsid w:val="002145CC"/>
    <w:rsid w:val="0022170B"/>
    <w:rsid w:val="002217D2"/>
    <w:rsid w:val="00226303"/>
    <w:rsid w:val="002300F6"/>
    <w:rsid w:val="00244AF9"/>
    <w:rsid w:val="00291BFA"/>
    <w:rsid w:val="002B41AE"/>
    <w:rsid w:val="002D0D16"/>
    <w:rsid w:val="002F10DF"/>
    <w:rsid w:val="002F43CB"/>
    <w:rsid w:val="002F4BB4"/>
    <w:rsid w:val="00303EC1"/>
    <w:rsid w:val="003108E3"/>
    <w:rsid w:val="00321407"/>
    <w:rsid w:val="00323E57"/>
    <w:rsid w:val="0032506F"/>
    <w:rsid w:val="00327D0B"/>
    <w:rsid w:val="00364317"/>
    <w:rsid w:val="0037155E"/>
    <w:rsid w:val="003A5325"/>
    <w:rsid w:val="003B653B"/>
    <w:rsid w:val="003C08C0"/>
    <w:rsid w:val="003C33DC"/>
    <w:rsid w:val="003D2E90"/>
    <w:rsid w:val="003D3C0C"/>
    <w:rsid w:val="003E06E7"/>
    <w:rsid w:val="003E0FA9"/>
    <w:rsid w:val="003F2B71"/>
    <w:rsid w:val="0043007B"/>
    <w:rsid w:val="00436C95"/>
    <w:rsid w:val="0044002F"/>
    <w:rsid w:val="00481D6B"/>
    <w:rsid w:val="00491032"/>
    <w:rsid w:val="004B107D"/>
    <w:rsid w:val="004E7F86"/>
    <w:rsid w:val="004F5E0F"/>
    <w:rsid w:val="00527B63"/>
    <w:rsid w:val="00532970"/>
    <w:rsid w:val="00533F30"/>
    <w:rsid w:val="00543DA8"/>
    <w:rsid w:val="005600DA"/>
    <w:rsid w:val="00561E37"/>
    <w:rsid w:val="005631DF"/>
    <w:rsid w:val="00571C5F"/>
    <w:rsid w:val="00577E4C"/>
    <w:rsid w:val="00583A27"/>
    <w:rsid w:val="00586917"/>
    <w:rsid w:val="005B0494"/>
    <w:rsid w:val="005B5F31"/>
    <w:rsid w:val="005D359A"/>
    <w:rsid w:val="005F281F"/>
    <w:rsid w:val="006055F0"/>
    <w:rsid w:val="00610492"/>
    <w:rsid w:val="00616C26"/>
    <w:rsid w:val="00617349"/>
    <w:rsid w:val="00626DB4"/>
    <w:rsid w:val="00633B80"/>
    <w:rsid w:val="00650596"/>
    <w:rsid w:val="00665CB1"/>
    <w:rsid w:val="006A5024"/>
    <w:rsid w:val="006B4DED"/>
    <w:rsid w:val="006C0997"/>
    <w:rsid w:val="006D1169"/>
    <w:rsid w:val="006D22BC"/>
    <w:rsid w:val="00732F3E"/>
    <w:rsid w:val="00733D6F"/>
    <w:rsid w:val="00736260"/>
    <w:rsid w:val="00741C03"/>
    <w:rsid w:val="007535CA"/>
    <w:rsid w:val="007603E4"/>
    <w:rsid w:val="007865B5"/>
    <w:rsid w:val="0079347B"/>
    <w:rsid w:val="0079671B"/>
    <w:rsid w:val="007A17F0"/>
    <w:rsid w:val="007B5FEB"/>
    <w:rsid w:val="007C7349"/>
    <w:rsid w:val="007D0DC3"/>
    <w:rsid w:val="007E41A4"/>
    <w:rsid w:val="007E6D06"/>
    <w:rsid w:val="0081248F"/>
    <w:rsid w:val="008472F5"/>
    <w:rsid w:val="00861E0E"/>
    <w:rsid w:val="00865557"/>
    <w:rsid w:val="008723E7"/>
    <w:rsid w:val="008773BE"/>
    <w:rsid w:val="00894B72"/>
    <w:rsid w:val="00897DD5"/>
    <w:rsid w:val="008C056F"/>
    <w:rsid w:val="008C0956"/>
    <w:rsid w:val="008F265D"/>
    <w:rsid w:val="00901E2E"/>
    <w:rsid w:val="009031B4"/>
    <w:rsid w:val="00905679"/>
    <w:rsid w:val="00911D87"/>
    <w:rsid w:val="00913D16"/>
    <w:rsid w:val="009365A8"/>
    <w:rsid w:val="00957997"/>
    <w:rsid w:val="0096078C"/>
    <w:rsid w:val="00964C59"/>
    <w:rsid w:val="0096578B"/>
    <w:rsid w:val="00970996"/>
    <w:rsid w:val="00977387"/>
    <w:rsid w:val="00980657"/>
    <w:rsid w:val="00983C13"/>
    <w:rsid w:val="009A36B5"/>
    <w:rsid w:val="009A793C"/>
    <w:rsid w:val="009C4069"/>
    <w:rsid w:val="009D2B71"/>
    <w:rsid w:val="009D519E"/>
    <w:rsid w:val="009E2F50"/>
    <w:rsid w:val="009F4DFE"/>
    <w:rsid w:val="00A102F5"/>
    <w:rsid w:val="00A23D12"/>
    <w:rsid w:val="00A27B2B"/>
    <w:rsid w:val="00A3249A"/>
    <w:rsid w:val="00A47236"/>
    <w:rsid w:val="00A669AD"/>
    <w:rsid w:val="00A67D68"/>
    <w:rsid w:val="00A76F36"/>
    <w:rsid w:val="00A855BD"/>
    <w:rsid w:val="00A90247"/>
    <w:rsid w:val="00A930DA"/>
    <w:rsid w:val="00A964C0"/>
    <w:rsid w:val="00AB1E4B"/>
    <w:rsid w:val="00AB3C7F"/>
    <w:rsid w:val="00AE6B3F"/>
    <w:rsid w:val="00B06473"/>
    <w:rsid w:val="00B30233"/>
    <w:rsid w:val="00B42606"/>
    <w:rsid w:val="00B47662"/>
    <w:rsid w:val="00B5464F"/>
    <w:rsid w:val="00B6141A"/>
    <w:rsid w:val="00B90CD0"/>
    <w:rsid w:val="00BB7C88"/>
    <w:rsid w:val="00BE363E"/>
    <w:rsid w:val="00BF2477"/>
    <w:rsid w:val="00C05EA5"/>
    <w:rsid w:val="00C063D3"/>
    <w:rsid w:val="00C102A6"/>
    <w:rsid w:val="00C2751C"/>
    <w:rsid w:val="00C366D4"/>
    <w:rsid w:val="00C410DE"/>
    <w:rsid w:val="00C7090D"/>
    <w:rsid w:val="00C82270"/>
    <w:rsid w:val="00CA227D"/>
    <w:rsid w:val="00CC1405"/>
    <w:rsid w:val="00CE4AEA"/>
    <w:rsid w:val="00CE6C2E"/>
    <w:rsid w:val="00D07D3A"/>
    <w:rsid w:val="00D13794"/>
    <w:rsid w:val="00D14809"/>
    <w:rsid w:val="00D248B2"/>
    <w:rsid w:val="00D33CF9"/>
    <w:rsid w:val="00D34390"/>
    <w:rsid w:val="00D47315"/>
    <w:rsid w:val="00D77ADC"/>
    <w:rsid w:val="00D80A5D"/>
    <w:rsid w:val="00DC6CC3"/>
    <w:rsid w:val="00DC6EC0"/>
    <w:rsid w:val="00DE658A"/>
    <w:rsid w:val="00E11F2B"/>
    <w:rsid w:val="00E30E16"/>
    <w:rsid w:val="00E30F7F"/>
    <w:rsid w:val="00E32767"/>
    <w:rsid w:val="00E345C2"/>
    <w:rsid w:val="00E37D73"/>
    <w:rsid w:val="00E45299"/>
    <w:rsid w:val="00E5702F"/>
    <w:rsid w:val="00E6225C"/>
    <w:rsid w:val="00E63FFF"/>
    <w:rsid w:val="00E675A1"/>
    <w:rsid w:val="00E70B35"/>
    <w:rsid w:val="00E72D8D"/>
    <w:rsid w:val="00E902C4"/>
    <w:rsid w:val="00E91D17"/>
    <w:rsid w:val="00EC1D9C"/>
    <w:rsid w:val="00EF746A"/>
    <w:rsid w:val="00F01BD7"/>
    <w:rsid w:val="00F07D27"/>
    <w:rsid w:val="00F23026"/>
    <w:rsid w:val="00F3217F"/>
    <w:rsid w:val="00F347CB"/>
    <w:rsid w:val="00F46BEA"/>
    <w:rsid w:val="00F50700"/>
    <w:rsid w:val="00F73214"/>
    <w:rsid w:val="00F91D48"/>
    <w:rsid w:val="00F9732A"/>
    <w:rsid w:val="00FA09AA"/>
    <w:rsid w:val="00FA23E1"/>
    <w:rsid w:val="00FD20DF"/>
    <w:rsid w:val="00FE59D8"/>
    <w:rsid w:val="00FF199E"/>
    <w:rsid w:val="00FF29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5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08C0"/>
    <w:rPr>
      <w:rFonts w:ascii="Tahoma" w:hAnsi="Tahoma" w:cs="Tahoma"/>
      <w:sz w:val="16"/>
      <w:szCs w:val="16"/>
    </w:rPr>
  </w:style>
  <w:style w:type="character" w:customStyle="1" w:styleId="BalloonTextChar">
    <w:name w:val="Balloon Text Char"/>
    <w:basedOn w:val="DefaultParagraphFont"/>
    <w:link w:val="BalloonText"/>
    <w:rsid w:val="003C08C0"/>
    <w:rPr>
      <w:rFonts w:ascii="Tahoma" w:hAnsi="Tahoma" w:cs="Tahoma"/>
      <w:sz w:val="16"/>
      <w:szCs w:val="16"/>
    </w:rPr>
  </w:style>
  <w:style w:type="paragraph" w:styleId="Header">
    <w:name w:val="header"/>
    <w:basedOn w:val="Normal"/>
    <w:link w:val="HeaderChar"/>
    <w:unhideWhenUsed/>
    <w:rsid w:val="009D519E"/>
    <w:pPr>
      <w:tabs>
        <w:tab w:val="center" w:pos="4513"/>
        <w:tab w:val="right" w:pos="9026"/>
      </w:tabs>
    </w:pPr>
  </w:style>
  <w:style w:type="character" w:customStyle="1" w:styleId="HeaderChar">
    <w:name w:val="Header Char"/>
    <w:basedOn w:val="DefaultParagraphFont"/>
    <w:link w:val="Header"/>
    <w:rsid w:val="009D519E"/>
    <w:rPr>
      <w:rFonts w:ascii="Arial" w:hAnsi="Arial" w:cs="Arial"/>
      <w:sz w:val="24"/>
      <w:szCs w:val="24"/>
    </w:rPr>
  </w:style>
  <w:style w:type="paragraph" w:styleId="Footer">
    <w:name w:val="footer"/>
    <w:basedOn w:val="Normal"/>
    <w:link w:val="FooterChar"/>
    <w:unhideWhenUsed/>
    <w:rsid w:val="009D519E"/>
    <w:pPr>
      <w:tabs>
        <w:tab w:val="center" w:pos="4513"/>
        <w:tab w:val="right" w:pos="9026"/>
      </w:tabs>
    </w:pPr>
  </w:style>
  <w:style w:type="character" w:customStyle="1" w:styleId="FooterChar">
    <w:name w:val="Footer Char"/>
    <w:basedOn w:val="DefaultParagraphFont"/>
    <w:link w:val="Footer"/>
    <w:rsid w:val="009D519E"/>
    <w:rPr>
      <w:rFonts w:ascii="Arial" w:hAnsi="Arial" w:cs="Arial"/>
      <w:sz w:val="24"/>
      <w:szCs w:val="24"/>
    </w:rPr>
  </w:style>
  <w:style w:type="paragraph" w:styleId="ListParagraph">
    <w:name w:val="List Paragraph"/>
    <w:basedOn w:val="Normal"/>
    <w:uiPriority w:val="34"/>
    <w:qFormat/>
    <w:rsid w:val="00C366D4"/>
    <w:pPr>
      <w:spacing w:after="200" w:line="276" w:lineRule="auto"/>
      <w:ind w:left="720"/>
      <w:contextualSpacing/>
    </w:pPr>
    <w:rPr>
      <w:rFonts w:ascii="Calibri" w:eastAsia="Calibri" w:hAnsi="Calibri" w:cs="Times New Roman"/>
      <w:sz w:val="22"/>
      <w:szCs w:val="22"/>
      <w:lang w:eastAsia="en-US"/>
    </w:rPr>
  </w:style>
  <w:style w:type="table" w:styleId="TableGrid">
    <w:name w:val="Table Grid"/>
    <w:basedOn w:val="TableNormal"/>
    <w:rsid w:val="00CE4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E91D1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E91D1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32140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3">
    <w:name w:val="Medium List 1 Accent 3"/>
    <w:basedOn w:val="TableNormal"/>
    <w:uiPriority w:val="65"/>
    <w:rsid w:val="00321407"/>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Caption">
    <w:name w:val="caption"/>
    <w:basedOn w:val="Normal"/>
    <w:next w:val="Normal"/>
    <w:unhideWhenUsed/>
    <w:qFormat/>
    <w:rsid w:val="00321407"/>
    <w:pPr>
      <w:spacing w:after="200"/>
    </w:pPr>
    <w:rPr>
      <w:b/>
      <w:bCs/>
      <w:color w:val="4F81BD" w:themeColor="accent1"/>
      <w:sz w:val="18"/>
      <w:szCs w:val="18"/>
    </w:rPr>
  </w:style>
  <w:style w:type="character" w:customStyle="1" w:styleId="casenumber">
    <w:name w:val="casenumber"/>
    <w:basedOn w:val="DefaultParagraphFont"/>
    <w:rsid w:val="00B90CD0"/>
  </w:style>
  <w:style w:type="character" w:customStyle="1" w:styleId="apple-converted-space">
    <w:name w:val="apple-converted-space"/>
    <w:basedOn w:val="DefaultParagraphFont"/>
    <w:rsid w:val="00B90CD0"/>
  </w:style>
  <w:style w:type="character" w:customStyle="1" w:styleId="divider1">
    <w:name w:val="divider1"/>
    <w:basedOn w:val="DefaultParagraphFont"/>
    <w:rsid w:val="00B90CD0"/>
  </w:style>
  <w:style w:type="character" w:customStyle="1" w:styleId="description">
    <w:name w:val="description"/>
    <w:basedOn w:val="DefaultParagraphFont"/>
    <w:rsid w:val="00B90CD0"/>
  </w:style>
  <w:style w:type="character" w:customStyle="1" w:styleId="divider2">
    <w:name w:val="divider2"/>
    <w:basedOn w:val="DefaultParagraphFont"/>
    <w:rsid w:val="00B90CD0"/>
  </w:style>
  <w:style w:type="character" w:customStyle="1" w:styleId="address">
    <w:name w:val="address"/>
    <w:basedOn w:val="DefaultParagraphFont"/>
    <w:rsid w:val="00B90CD0"/>
  </w:style>
  <w:style w:type="paragraph" w:styleId="NoSpacing">
    <w:name w:val="No Spacing"/>
    <w:uiPriority w:val="1"/>
    <w:qFormat/>
    <w:rsid w:val="000C7348"/>
    <w:rPr>
      <w:rFonts w:asciiTheme="minorHAnsi" w:eastAsiaTheme="minorEastAsia" w:hAnsiTheme="minorHAnsi" w:cstheme="minorBidi"/>
      <w:sz w:val="22"/>
      <w:szCs w:val="22"/>
    </w:rPr>
  </w:style>
  <w:style w:type="character" w:styleId="Hyperlink">
    <w:name w:val="Hyperlink"/>
    <w:basedOn w:val="DefaultParagraphFont"/>
    <w:uiPriority w:val="99"/>
    <w:semiHidden/>
    <w:unhideWhenUsed/>
    <w:rsid w:val="00E902C4"/>
    <w:rPr>
      <w:color w:val="0000FF"/>
      <w:u w:val="single"/>
    </w:rPr>
  </w:style>
</w:styles>
</file>

<file path=word/webSettings.xml><?xml version="1.0" encoding="utf-8"?>
<w:webSettings xmlns:r="http://schemas.openxmlformats.org/officeDocument/2006/relationships" xmlns:w="http://schemas.openxmlformats.org/wordprocessingml/2006/main">
  <w:divs>
    <w:div w:id="324093769">
      <w:bodyDiv w:val="1"/>
      <w:marLeft w:val="0"/>
      <w:marRight w:val="0"/>
      <w:marTop w:val="0"/>
      <w:marBottom w:val="0"/>
      <w:divBdr>
        <w:top w:val="none" w:sz="0" w:space="0" w:color="auto"/>
        <w:left w:val="none" w:sz="0" w:space="0" w:color="auto"/>
        <w:bottom w:val="none" w:sz="0" w:space="0" w:color="auto"/>
        <w:right w:val="none" w:sz="0" w:space="0" w:color="auto"/>
      </w:divBdr>
    </w:div>
    <w:div w:id="592933561">
      <w:bodyDiv w:val="1"/>
      <w:marLeft w:val="0"/>
      <w:marRight w:val="0"/>
      <w:marTop w:val="0"/>
      <w:marBottom w:val="0"/>
      <w:divBdr>
        <w:top w:val="none" w:sz="0" w:space="0" w:color="auto"/>
        <w:left w:val="none" w:sz="0" w:space="0" w:color="auto"/>
        <w:bottom w:val="none" w:sz="0" w:space="0" w:color="auto"/>
        <w:right w:val="none" w:sz="0" w:space="0" w:color="auto"/>
      </w:divBdr>
    </w:div>
    <w:div w:id="1009452770">
      <w:bodyDiv w:val="1"/>
      <w:marLeft w:val="0"/>
      <w:marRight w:val="0"/>
      <w:marTop w:val="0"/>
      <w:marBottom w:val="0"/>
      <w:divBdr>
        <w:top w:val="none" w:sz="0" w:space="0" w:color="auto"/>
        <w:left w:val="none" w:sz="0" w:space="0" w:color="auto"/>
        <w:bottom w:val="none" w:sz="0" w:space="0" w:color="auto"/>
        <w:right w:val="none" w:sz="0" w:space="0" w:color="auto"/>
      </w:divBdr>
    </w:div>
    <w:div w:id="1196315163">
      <w:bodyDiv w:val="1"/>
      <w:marLeft w:val="0"/>
      <w:marRight w:val="0"/>
      <w:marTop w:val="0"/>
      <w:marBottom w:val="0"/>
      <w:divBdr>
        <w:top w:val="none" w:sz="0" w:space="0" w:color="auto"/>
        <w:left w:val="none" w:sz="0" w:space="0" w:color="auto"/>
        <w:bottom w:val="none" w:sz="0" w:space="0" w:color="auto"/>
        <w:right w:val="none" w:sz="0" w:space="0" w:color="auto"/>
      </w:divBdr>
    </w:div>
    <w:div w:id="1318924959">
      <w:bodyDiv w:val="1"/>
      <w:marLeft w:val="0"/>
      <w:marRight w:val="0"/>
      <w:marTop w:val="0"/>
      <w:marBottom w:val="0"/>
      <w:divBdr>
        <w:top w:val="none" w:sz="0" w:space="0" w:color="auto"/>
        <w:left w:val="none" w:sz="0" w:space="0" w:color="auto"/>
        <w:bottom w:val="none" w:sz="0" w:space="0" w:color="auto"/>
        <w:right w:val="none" w:sz="0" w:space="0" w:color="auto"/>
      </w:divBdr>
    </w:div>
    <w:div w:id="1470316413">
      <w:bodyDiv w:val="1"/>
      <w:marLeft w:val="0"/>
      <w:marRight w:val="0"/>
      <w:marTop w:val="0"/>
      <w:marBottom w:val="0"/>
      <w:divBdr>
        <w:top w:val="none" w:sz="0" w:space="0" w:color="auto"/>
        <w:left w:val="none" w:sz="0" w:space="0" w:color="auto"/>
        <w:bottom w:val="none" w:sz="0" w:space="0" w:color="auto"/>
        <w:right w:val="none" w:sz="0" w:space="0" w:color="auto"/>
      </w:divBdr>
    </w:div>
    <w:div w:id="2069107843">
      <w:bodyDiv w:val="1"/>
      <w:marLeft w:val="0"/>
      <w:marRight w:val="0"/>
      <w:marTop w:val="0"/>
      <w:marBottom w:val="0"/>
      <w:divBdr>
        <w:top w:val="none" w:sz="0" w:space="0" w:color="auto"/>
        <w:left w:val="none" w:sz="0" w:space="0" w:color="auto"/>
        <w:bottom w:val="none" w:sz="0" w:space="0" w:color="auto"/>
        <w:right w:val="none" w:sz="0" w:space="0" w:color="auto"/>
      </w:divBdr>
    </w:div>
    <w:div w:id="21424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p-online.co.uk/DCP/dcslink?dcsref=039-285-162" TargetMode="External"/><Relationship Id="rId13" Type="http://schemas.openxmlformats.org/officeDocument/2006/relationships/hyperlink" Target="http://www.dcp-online.co.uk/DCP/dcslink?dcsref=100-066-5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cp-online.co.uk/DCP/dcslink?dcsref=043-075-46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p-online.co.uk/DCP/ShowPage?filename=12-4.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cp-online.co.uk/DCP/dcslink?dcsref=041-820-048" TargetMode="External"/><Relationship Id="rId4" Type="http://schemas.openxmlformats.org/officeDocument/2006/relationships/settings" Target="settings.xml"/><Relationship Id="rId9" Type="http://schemas.openxmlformats.org/officeDocument/2006/relationships/hyperlink" Target="http://www.dcp-online.co.uk/DCP/ShowPage?filename=12-4.html"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89103-41FC-4B94-BEE2-2CA0F96D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Abchurch Property Limited</vt:lpstr>
    </vt:vector>
  </TitlesOfParts>
  <Company>Nicholas Taylor and Associates</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Abchurch Property Limited</dc:title>
  <dc:creator>Mandip Sahota</dc:creator>
  <cp:lastModifiedBy>Siofra</cp:lastModifiedBy>
  <cp:revision>2</cp:revision>
  <cp:lastPrinted>2015-04-08T14:50:00Z</cp:lastPrinted>
  <dcterms:created xsi:type="dcterms:W3CDTF">2015-12-07T14:49:00Z</dcterms:created>
  <dcterms:modified xsi:type="dcterms:W3CDTF">2015-12-07T14:49:00Z</dcterms:modified>
</cp:coreProperties>
</file>