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57"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1134"/>
        <w:gridCol w:w="1286"/>
        <w:gridCol w:w="273"/>
        <w:gridCol w:w="284"/>
        <w:gridCol w:w="709"/>
        <w:gridCol w:w="425"/>
        <w:gridCol w:w="514"/>
        <w:gridCol w:w="1187"/>
        <w:gridCol w:w="142"/>
        <w:gridCol w:w="708"/>
        <w:gridCol w:w="851"/>
        <w:gridCol w:w="1247"/>
        <w:gridCol w:w="737"/>
      </w:tblGrid>
      <w:tr w:rsidR="003B4AC7">
        <w:trPr>
          <w:cantSplit/>
          <w:trHeight w:val="330"/>
        </w:trPr>
        <w:tc>
          <w:tcPr>
            <w:tcW w:w="3980" w:type="dxa"/>
            <w:gridSpan w:val="3"/>
            <w:vMerge w:val="restart"/>
            <w:tcBorders>
              <w:top w:val="single" w:sz="12" w:space="0" w:color="auto"/>
              <w:left w:val="single" w:sz="12" w:space="0" w:color="auto"/>
            </w:tcBorders>
          </w:tcPr>
          <w:p w:rsidR="003B4AC7" w:rsidRDefault="003B4AC7">
            <w:pPr>
              <w:pStyle w:val="Heading4"/>
              <w:jc w:val="left"/>
              <w:rPr>
                <w:rFonts w:cs="Arial"/>
                <w:sz w:val="40"/>
              </w:rPr>
            </w:pPr>
            <w:r>
              <w:rPr>
                <w:rFonts w:cs="Arial"/>
                <w:sz w:val="40"/>
              </w:rPr>
              <w:t>Delegated Report</w:t>
            </w:r>
          </w:p>
          <w:p w:rsidR="001232B7" w:rsidRDefault="001232B7" w:rsidP="001232B7"/>
          <w:p w:rsidR="001232B7" w:rsidRPr="001232B7" w:rsidRDefault="001232B7" w:rsidP="001232B7">
            <w:r>
              <w:t>Members’ briefing</w:t>
            </w:r>
          </w:p>
        </w:tc>
        <w:tc>
          <w:tcPr>
            <w:tcW w:w="2205" w:type="dxa"/>
            <w:gridSpan w:val="5"/>
            <w:tcBorders>
              <w:top w:val="single" w:sz="12" w:space="0" w:color="auto"/>
            </w:tcBorders>
            <w:shd w:val="clear" w:color="auto" w:fill="000000"/>
            <w:vAlign w:val="center"/>
          </w:tcPr>
          <w:p w:rsidR="003B4AC7" w:rsidRDefault="003B4AC7">
            <w:pPr>
              <w:pStyle w:val="Heading4"/>
              <w:jc w:val="left"/>
              <w:rPr>
                <w:rFonts w:cs="Arial"/>
              </w:rPr>
            </w:pPr>
            <w:r>
              <w:rPr>
                <w:rFonts w:cs="Arial"/>
                <w:color w:val="FFFFFF"/>
                <w:sz w:val="24"/>
                <w:highlight w:val="black"/>
              </w:rPr>
              <w:t>Analysis sheet</w:t>
            </w:r>
          </w:p>
        </w:tc>
        <w:tc>
          <w:tcPr>
            <w:tcW w:w="1187" w:type="dxa"/>
            <w:tcBorders>
              <w:top w:val="single" w:sz="12" w:space="0" w:color="auto"/>
              <w:right w:val="single" w:sz="2" w:space="0" w:color="FFFFFF"/>
            </w:tcBorders>
            <w:shd w:val="clear" w:color="auto" w:fill="000000"/>
          </w:tcPr>
          <w:p w:rsidR="003B4AC7" w:rsidRDefault="003B4AC7">
            <w:pPr>
              <w:pStyle w:val="Heading4"/>
              <w:jc w:val="left"/>
              <w:rPr>
                <w:rFonts w:cs="Arial"/>
                <w:b w:val="0"/>
                <w:highlight w:val="black"/>
              </w:rPr>
            </w:pPr>
          </w:p>
        </w:tc>
        <w:tc>
          <w:tcPr>
            <w:tcW w:w="1701" w:type="dxa"/>
            <w:gridSpan w:val="3"/>
            <w:tcBorders>
              <w:top w:val="single" w:sz="12" w:space="0" w:color="auto"/>
              <w:left w:val="single" w:sz="2" w:space="0" w:color="FFFFFF"/>
              <w:bottom w:val="single" w:sz="2" w:space="0" w:color="FFFFFF"/>
            </w:tcBorders>
            <w:shd w:val="clear" w:color="auto" w:fill="000000"/>
            <w:vAlign w:val="center"/>
          </w:tcPr>
          <w:p w:rsidR="003B4AC7" w:rsidRDefault="003B4AC7">
            <w:pPr>
              <w:pStyle w:val="Heading4"/>
              <w:jc w:val="left"/>
              <w:rPr>
                <w:rFonts w:cs="Arial"/>
                <w:color w:val="FFFFFF"/>
                <w:sz w:val="24"/>
                <w:highlight w:val="black"/>
              </w:rPr>
            </w:pPr>
            <w:r>
              <w:rPr>
                <w:rFonts w:cs="Arial"/>
                <w:color w:val="FFFFFF"/>
                <w:sz w:val="24"/>
                <w:highlight w:val="black"/>
              </w:rPr>
              <w:t xml:space="preserve">Expiry Date: </w:t>
            </w:r>
          </w:p>
        </w:tc>
        <w:tc>
          <w:tcPr>
            <w:tcW w:w="1984" w:type="dxa"/>
            <w:gridSpan w:val="2"/>
            <w:tcBorders>
              <w:top w:val="single" w:sz="12" w:space="0" w:color="auto"/>
              <w:right w:val="single" w:sz="12" w:space="0" w:color="auto"/>
            </w:tcBorders>
            <w:vAlign w:val="center"/>
          </w:tcPr>
          <w:p w:rsidR="003B4AC7" w:rsidRDefault="00006410">
            <w:pPr>
              <w:pStyle w:val="Heading1"/>
              <w:jc w:val="center"/>
              <w:rPr>
                <w:rFonts w:cs="Arial"/>
                <w:b/>
                <w:bCs/>
              </w:rPr>
            </w:pPr>
            <w:r w:rsidRPr="00006410">
              <w:rPr>
                <w:rFonts w:cs="Arial"/>
                <w:b/>
                <w:bCs/>
              </w:rPr>
              <w:t>07/10/2014</w:t>
            </w:r>
          </w:p>
        </w:tc>
      </w:tr>
      <w:tr w:rsidR="003B4AC7">
        <w:trPr>
          <w:cantSplit/>
          <w:trHeight w:val="360"/>
        </w:trPr>
        <w:tc>
          <w:tcPr>
            <w:tcW w:w="3980" w:type="dxa"/>
            <w:gridSpan w:val="3"/>
            <w:vMerge/>
            <w:tcBorders>
              <w:left w:val="single" w:sz="12" w:space="0" w:color="auto"/>
              <w:bottom w:val="single" w:sz="2" w:space="0" w:color="auto"/>
            </w:tcBorders>
          </w:tcPr>
          <w:p w:rsidR="003B4AC7" w:rsidRDefault="003B4AC7">
            <w:pPr>
              <w:pStyle w:val="Heading4"/>
              <w:jc w:val="left"/>
              <w:rPr>
                <w:rFonts w:cs="Arial"/>
                <w:sz w:val="40"/>
              </w:rPr>
            </w:pPr>
          </w:p>
        </w:tc>
        <w:tc>
          <w:tcPr>
            <w:tcW w:w="3392" w:type="dxa"/>
            <w:gridSpan w:val="6"/>
            <w:tcBorders>
              <w:bottom w:val="single" w:sz="2" w:space="0" w:color="auto"/>
              <w:right w:val="single" w:sz="2" w:space="0" w:color="FFFFFF"/>
            </w:tcBorders>
          </w:tcPr>
          <w:p w:rsidR="003B4AC7" w:rsidRDefault="003B4AC7">
            <w:pPr>
              <w:rPr>
                <w:rFonts w:cs="Arial"/>
                <w:color w:val="FFFFFF"/>
                <w:highlight w:val="darkBlue"/>
              </w:rPr>
            </w:pPr>
          </w:p>
        </w:tc>
        <w:tc>
          <w:tcPr>
            <w:tcW w:w="1701" w:type="dxa"/>
            <w:gridSpan w:val="3"/>
            <w:tcBorders>
              <w:top w:val="single" w:sz="2" w:space="0" w:color="FFFFFF"/>
              <w:left w:val="single" w:sz="2" w:space="0" w:color="FFFFFF"/>
              <w:bottom w:val="single" w:sz="2" w:space="0" w:color="FFFFFF"/>
            </w:tcBorders>
            <w:shd w:val="clear" w:color="auto" w:fill="000000"/>
            <w:vAlign w:val="center"/>
          </w:tcPr>
          <w:p w:rsidR="003B4AC7" w:rsidRDefault="003B4AC7">
            <w:pPr>
              <w:rPr>
                <w:rFonts w:cs="Arial"/>
                <w:b/>
                <w:color w:val="FFFFFF"/>
                <w:highlight w:val="darkBlue"/>
              </w:rPr>
            </w:pPr>
            <w:r>
              <w:rPr>
                <w:rFonts w:cs="Arial"/>
                <w:b/>
                <w:color w:val="FFFFFF"/>
                <w:highlight w:val="black"/>
              </w:rPr>
              <w:t>Consultation Expiry Date:</w:t>
            </w:r>
          </w:p>
        </w:tc>
        <w:tc>
          <w:tcPr>
            <w:tcW w:w="1984" w:type="dxa"/>
            <w:gridSpan w:val="2"/>
            <w:tcBorders>
              <w:bottom w:val="single" w:sz="2" w:space="0" w:color="FFFFFF"/>
              <w:right w:val="single" w:sz="12" w:space="0" w:color="auto"/>
            </w:tcBorders>
            <w:vAlign w:val="center"/>
          </w:tcPr>
          <w:p w:rsidR="003B4AC7" w:rsidRDefault="00006410">
            <w:pPr>
              <w:jc w:val="center"/>
              <w:rPr>
                <w:rFonts w:cs="Arial"/>
              </w:rPr>
            </w:pPr>
            <w:r>
              <w:rPr>
                <w:rFonts w:cs="Arial"/>
              </w:rPr>
              <w:t>11/09/2014</w:t>
            </w:r>
          </w:p>
        </w:tc>
      </w:tr>
      <w:tr w:rsidR="003B4AC7">
        <w:tc>
          <w:tcPr>
            <w:tcW w:w="5671" w:type="dxa"/>
            <w:gridSpan w:val="7"/>
            <w:tcBorders>
              <w:top w:val="single" w:sz="2" w:space="0" w:color="auto"/>
              <w:left w:val="single" w:sz="12" w:space="0" w:color="auto"/>
              <w:right w:val="single" w:sz="2" w:space="0" w:color="FFFFFF"/>
            </w:tcBorders>
            <w:shd w:val="clear" w:color="auto" w:fill="000000"/>
            <w:vAlign w:val="center"/>
          </w:tcPr>
          <w:p w:rsidR="003B4AC7" w:rsidRDefault="003B4AC7">
            <w:pPr>
              <w:pStyle w:val="Heading4"/>
              <w:jc w:val="left"/>
              <w:rPr>
                <w:rFonts w:cs="Arial"/>
                <w:color w:val="FFFFFF"/>
                <w:sz w:val="24"/>
                <w:highlight w:val="black"/>
              </w:rPr>
            </w:pPr>
            <w:r>
              <w:rPr>
                <w:rFonts w:cs="Arial"/>
                <w:color w:val="FFFFFF"/>
                <w:sz w:val="24"/>
                <w:highlight w:val="black"/>
              </w:rPr>
              <w:t>Officer</w:t>
            </w:r>
          </w:p>
        </w:tc>
        <w:tc>
          <w:tcPr>
            <w:tcW w:w="5386" w:type="dxa"/>
            <w:gridSpan w:val="7"/>
            <w:tcBorders>
              <w:top w:val="single" w:sz="2" w:space="0" w:color="FFFFFF"/>
              <w:left w:val="single" w:sz="2" w:space="0" w:color="FFFFFF"/>
              <w:right w:val="single" w:sz="12" w:space="0" w:color="auto"/>
            </w:tcBorders>
            <w:shd w:val="clear" w:color="auto" w:fill="000000"/>
          </w:tcPr>
          <w:p w:rsidR="003B4AC7" w:rsidRDefault="003B4AC7">
            <w:pPr>
              <w:pStyle w:val="Heading4"/>
              <w:jc w:val="left"/>
              <w:rPr>
                <w:rFonts w:cs="Arial"/>
                <w:color w:val="FFFFFF"/>
                <w:sz w:val="24"/>
                <w:highlight w:val="black"/>
              </w:rPr>
            </w:pPr>
            <w:r>
              <w:rPr>
                <w:rFonts w:cs="Arial"/>
                <w:color w:val="FFFFFF"/>
                <w:sz w:val="24"/>
                <w:highlight w:val="black"/>
              </w:rPr>
              <w:t>Application Number(s)</w:t>
            </w:r>
          </w:p>
        </w:tc>
      </w:tr>
      <w:tr w:rsidR="003B4AC7">
        <w:trPr>
          <w:trHeight w:val="465"/>
        </w:trPr>
        <w:tc>
          <w:tcPr>
            <w:tcW w:w="5671" w:type="dxa"/>
            <w:gridSpan w:val="7"/>
            <w:tcBorders>
              <w:left w:val="single" w:sz="12" w:space="0" w:color="auto"/>
              <w:bottom w:val="single" w:sz="4" w:space="0" w:color="auto"/>
            </w:tcBorders>
            <w:vAlign w:val="center"/>
          </w:tcPr>
          <w:p w:rsidR="003B4AC7" w:rsidRDefault="00970340">
            <w:pPr>
              <w:rPr>
                <w:rFonts w:cs="Arial"/>
              </w:rPr>
            </w:pPr>
            <w:r>
              <w:rPr>
                <w:rFonts w:cs="Arial"/>
              </w:rPr>
              <w:t>Obote Hope</w:t>
            </w:r>
            <w:r w:rsidR="009014BF">
              <w:rPr>
                <w:rFonts w:cs="Arial"/>
              </w:rPr>
              <w:br/>
            </w:r>
          </w:p>
        </w:tc>
        <w:tc>
          <w:tcPr>
            <w:tcW w:w="5386" w:type="dxa"/>
            <w:gridSpan w:val="7"/>
            <w:tcBorders>
              <w:bottom w:val="single" w:sz="4" w:space="0" w:color="auto"/>
              <w:right w:val="single" w:sz="12" w:space="0" w:color="auto"/>
            </w:tcBorders>
            <w:vAlign w:val="center"/>
          </w:tcPr>
          <w:p w:rsidR="003B4AC7" w:rsidRDefault="00006410" w:rsidP="00006410">
            <w:pPr>
              <w:rPr>
                <w:rFonts w:cs="Arial"/>
              </w:rPr>
            </w:pPr>
            <w:r>
              <w:rPr>
                <w:rFonts w:cs="Arial"/>
              </w:rPr>
              <w:t>2014/4525/P</w:t>
            </w:r>
            <w:r w:rsidR="009014BF">
              <w:rPr>
                <w:rFonts w:cs="Arial"/>
              </w:rPr>
              <w:br/>
            </w:r>
          </w:p>
        </w:tc>
      </w:tr>
      <w:tr w:rsidR="003B4AC7">
        <w:tc>
          <w:tcPr>
            <w:tcW w:w="5671" w:type="dxa"/>
            <w:gridSpan w:val="7"/>
            <w:tcBorders>
              <w:left w:val="single" w:sz="12" w:space="0" w:color="auto"/>
              <w:right w:val="single" w:sz="2" w:space="0" w:color="FFFFFF"/>
            </w:tcBorders>
            <w:shd w:val="clear" w:color="auto" w:fill="000000"/>
          </w:tcPr>
          <w:p w:rsidR="003B4AC7" w:rsidRDefault="003B4AC7">
            <w:pPr>
              <w:pStyle w:val="Heading4"/>
              <w:jc w:val="left"/>
              <w:rPr>
                <w:rFonts w:cs="Arial"/>
                <w:color w:val="FFFFFF"/>
              </w:rPr>
            </w:pPr>
            <w:r>
              <w:rPr>
                <w:rFonts w:cs="Arial"/>
                <w:color w:val="FFFFFF"/>
                <w:sz w:val="24"/>
                <w:highlight w:val="black"/>
              </w:rPr>
              <w:t>Application Address</w:t>
            </w:r>
          </w:p>
        </w:tc>
        <w:tc>
          <w:tcPr>
            <w:tcW w:w="5386" w:type="dxa"/>
            <w:gridSpan w:val="7"/>
            <w:tcBorders>
              <w:left w:val="single" w:sz="2" w:space="0" w:color="FFFFFF"/>
              <w:right w:val="single" w:sz="12" w:space="0" w:color="auto"/>
            </w:tcBorders>
            <w:shd w:val="clear" w:color="auto" w:fill="000000"/>
          </w:tcPr>
          <w:p w:rsidR="003B4AC7" w:rsidRDefault="003B4AC7">
            <w:pPr>
              <w:pStyle w:val="Heading2"/>
              <w:rPr>
                <w:rFonts w:cs="Arial"/>
                <w:color w:val="FFFFFF"/>
              </w:rPr>
            </w:pPr>
            <w:r>
              <w:rPr>
                <w:rFonts w:cs="Arial"/>
                <w:color w:val="FFFFFF"/>
                <w:highlight w:val="black"/>
              </w:rPr>
              <w:t>Drawing Numbers</w:t>
            </w:r>
          </w:p>
        </w:tc>
      </w:tr>
      <w:tr w:rsidR="003B4AC7">
        <w:trPr>
          <w:trHeight w:val="992"/>
        </w:trPr>
        <w:tc>
          <w:tcPr>
            <w:tcW w:w="5671" w:type="dxa"/>
            <w:gridSpan w:val="7"/>
            <w:tcBorders>
              <w:left w:val="single" w:sz="12" w:space="0" w:color="auto"/>
              <w:bottom w:val="single" w:sz="4" w:space="0" w:color="auto"/>
            </w:tcBorders>
            <w:vAlign w:val="center"/>
          </w:tcPr>
          <w:p w:rsidR="00006410" w:rsidRPr="00006410" w:rsidRDefault="00006410" w:rsidP="00006410">
            <w:pPr>
              <w:rPr>
                <w:rFonts w:cs="Arial"/>
              </w:rPr>
            </w:pPr>
            <w:r w:rsidRPr="00006410">
              <w:rPr>
                <w:rFonts w:cs="Arial"/>
              </w:rPr>
              <w:t>Flat 1</w:t>
            </w:r>
          </w:p>
          <w:p w:rsidR="00006410" w:rsidRPr="00006410" w:rsidRDefault="00006410" w:rsidP="00006410">
            <w:pPr>
              <w:rPr>
                <w:rFonts w:cs="Arial"/>
              </w:rPr>
            </w:pPr>
            <w:r w:rsidRPr="00006410">
              <w:rPr>
                <w:rFonts w:cs="Arial"/>
              </w:rPr>
              <w:t xml:space="preserve">117 King Henrys Road </w:t>
            </w:r>
          </w:p>
          <w:p w:rsidR="00006410" w:rsidRPr="00006410" w:rsidRDefault="00006410" w:rsidP="00006410">
            <w:pPr>
              <w:rPr>
                <w:rFonts w:cs="Arial"/>
              </w:rPr>
            </w:pPr>
            <w:r w:rsidRPr="00006410">
              <w:rPr>
                <w:rFonts w:cs="Arial"/>
              </w:rPr>
              <w:t xml:space="preserve">London </w:t>
            </w:r>
          </w:p>
          <w:p w:rsidR="003B4AC7" w:rsidRDefault="00006410" w:rsidP="00006410">
            <w:pPr>
              <w:rPr>
                <w:rFonts w:cs="Arial"/>
              </w:rPr>
            </w:pPr>
            <w:r w:rsidRPr="00006410">
              <w:rPr>
                <w:rFonts w:cs="Arial"/>
              </w:rPr>
              <w:t>NW3 3RB</w:t>
            </w:r>
            <w:r w:rsidR="009014BF">
              <w:rPr>
                <w:rFonts w:cs="Arial"/>
              </w:rPr>
              <w:br/>
            </w:r>
          </w:p>
        </w:tc>
        <w:tc>
          <w:tcPr>
            <w:tcW w:w="5386" w:type="dxa"/>
            <w:gridSpan w:val="7"/>
            <w:tcBorders>
              <w:bottom w:val="single" w:sz="4" w:space="0" w:color="auto"/>
              <w:right w:val="single" w:sz="12" w:space="0" w:color="auto"/>
            </w:tcBorders>
            <w:vAlign w:val="center"/>
          </w:tcPr>
          <w:p w:rsidR="003B4AC7" w:rsidRDefault="003B4AC7">
            <w:pPr>
              <w:rPr>
                <w:rFonts w:cs="Arial"/>
              </w:rPr>
            </w:pPr>
          </w:p>
        </w:tc>
      </w:tr>
      <w:tr w:rsidR="003B4AC7">
        <w:trPr>
          <w:trHeight w:val="255"/>
        </w:trPr>
        <w:tc>
          <w:tcPr>
            <w:tcW w:w="1560" w:type="dxa"/>
            <w:tcBorders>
              <w:left w:val="single" w:sz="12" w:space="0" w:color="auto"/>
              <w:right w:val="single" w:sz="2" w:space="0" w:color="FFFFFF"/>
            </w:tcBorders>
            <w:shd w:val="clear" w:color="auto" w:fill="000000"/>
          </w:tcPr>
          <w:p w:rsidR="003B4AC7" w:rsidRDefault="003B4AC7">
            <w:pPr>
              <w:pStyle w:val="Heading4"/>
              <w:jc w:val="left"/>
              <w:rPr>
                <w:rFonts w:cs="Arial"/>
                <w:color w:val="FFFFFF"/>
                <w:sz w:val="24"/>
                <w:highlight w:val="black"/>
              </w:rPr>
            </w:pPr>
            <w:smartTag w:uri="urn:schemas-microsoft-com:office:smarttags" w:element="place">
              <w:r>
                <w:rPr>
                  <w:rFonts w:cs="Arial"/>
                  <w:color w:val="FFFFFF"/>
                  <w:sz w:val="24"/>
                  <w:highlight w:val="black"/>
                </w:rPr>
                <w:t>PO</w:t>
              </w:r>
            </w:smartTag>
            <w:r>
              <w:rPr>
                <w:rFonts w:cs="Arial"/>
                <w:color w:val="FFFFFF"/>
                <w:sz w:val="24"/>
                <w:highlight w:val="black"/>
              </w:rPr>
              <w:t xml:space="preserve"> 3/4              </w:t>
            </w:r>
          </w:p>
        </w:tc>
        <w:tc>
          <w:tcPr>
            <w:tcW w:w="2693" w:type="dxa"/>
            <w:gridSpan w:val="3"/>
            <w:tcBorders>
              <w:left w:val="single" w:sz="2" w:space="0" w:color="FFFFFF"/>
              <w:right w:val="single" w:sz="2" w:space="0" w:color="FFFFFF"/>
            </w:tcBorders>
            <w:shd w:val="clear" w:color="auto" w:fill="000000"/>
          </w:tcPr>
          <w:p w:rsidR="003B4AC7" w:rsidRDefault="003B4AC7">
            <w:pPr>
              <w:pStyle w:val="Heading4"/>
              <w:jc w:val="left"/>
              <w:rPr>
                <w:rFonts w:cs="Arial"/>
                <w:color w:val="FFFFFF"/>
                <w:sz w:val="24"/>
                <w:highlight w:val="black"/>
              </w:rPr>
            </w:pPr>
            <w:r>
              <w:rPr>
                <w:rFonts w:cs="Arial"/>
                <w:color w:val="FFFFFF"/>
                <w:sz w:val="24"/>
                <w:highlight w:val="black"/>
              </w:rPr>
              <w:t>Area Team Signature</w:t>
            </w:r>
          </w:p>
        </w:tc>
        <w:tc>
          <w:tcPr>
            <w:tcW w:w="1418" w:type="dxa"/>
            <w:gridSpan w:val="3"/>
            <w:tcBorders>
              <w:left w:val="single" w:sz="2" w:space="0" w:color="FFFFFF"/>
              <w:right w:val="single" w:sz="2" w:space="0" w:color="FFFFFF"/>
            </w:tcBorders>
            <w:shd w:val="clear" w:color="auto" w:fill="000000"/>
          </w:tcPr>
          <w:p w:rsidR="003B4AC7" w:rsidRDefault="003B4AC7">
            <w:pPr>
              <w:pStyle w:val="Heading4"/>
              <w:jc w:val="left"/>
              <w:rPr>
                <w:rFonts w:cs="Arial"/>
                <w:color w:val="FFFFFF"/>
                <w:sz w:val="24"/>
                <w:highlight w:val="black"/>
              </w:rPr>
            </w:pPr>
            <w:r>
              <w:rPr>
                <w:rFonts w:cs="Arial"/>
                <w:color w:val="FFFFFF"/>
                <w:sz w:val="24"/>
                <w:highlight w:val="black"/>
              </w:rPr>
              <w:t>C&amp;UD</w:t>
            </w:r>
          </w:p>
        </w:tc>
        <w:tc>
          <w:tcPr>
            <w:tcW w:w="5386" w:type="dxa"/>
            <w:gridSpan w:val="7"/>
            <w:tcBorders>
              <w:left w:val="single" w:sz="2" w:space="0" w:color="FFFFFF"/>
              <w:right w:val="single" w:sz="12" w:space="0" w:color="auto"/>
            </w:tcBorders>
            <w:shd w:val="clear" w:color="auto" w:fill="000000"/>
          </w:tcPr>
          <w:p w:rsidR="003B4AC7" w:rsidRDefault="003B4AC7">
            <w:pPr>
              <w:pStyle w:val="Heading4"/>
              <w:jc w:val="left"/>
              <w:rPr>
                <w:rFonts w:cs="Arial"/>
                <w:color w:val="FFFFFF"/>
                <w:sz w:val="24"/>
                <w:highlight w:val="black"/>
              </w:rPr>
            </w:pPr>
            <w:r>
              <w:rPr>
                <w:rFonts w:cs="Arial"/>
                <w:color w:val="FFFFFF"/>
                <w:sz w:val="24"/>
                <w:highlight w:val="black"/>
              </w:rPr>
              <w:t>Authorised Officer Signature</w:t>
            </w:r>
          </w:p>
        </w:tc>
      </w:tr>
      <w:tr w:rsidR="003B4AC7">
        <w:trPr>
          <w:trHeight w:val="684"/>
        </w:trPr>
        <w:tc>
          <w:tcPr>
            <w:tcW w:w="1560" w:type="dxa"/>
            <w:tcBorders>
              <w:left w:val="single" w:sz="12" w:space="0" w:color="auto"/>
              <w:bottom w:val="single" w:sz="4" w:space="0" w:color="auto"/>
            </w:tcBorders>
          </w:tcPr>
          <w:p w:rsidR="003B4AC7" w:rsidRDefault="003B4AC7">
            <w:pPr>
              <w:rPr>
                <w:rFonts w:cs="Arial"/>
              </w:rPr>
            </w:pPr>
          </w:p>
        </w:tc>
        <w:tc>
          <w:tcPr>
            <w:tcW w:w="2693" w:type="dxa"/>
            <w:gridSpan w:val="3"/>
            <w:tcBorders>
              <w:bottom w:val="single" w:sz="4" w:space="0" w:color="auto"/>
            </w:tcBorders>
          </w:tcPr>
          <w:p w:rsidR="003B4AC7" w:rsidRDefault="003B4AC7">
            <w:pPr>
              <w:rPr>
                <w:rFonts w:cs="Arial"/>
              </w:rPr>
            </w:pPr>
          </w:p>
        </w:tc>
        <w:tc>
          <w:tcPr>
            <w:tcW w:w="1418" w:type="dxa"/>
            <w:gridSpan w:val="3"/>
            <w:tcBorders>
              <w:bottom w:val="single" w:sz="4" w:space="0" w:color="auto"/>
            </w:tcBorders>
          </w:tcPr>
          <w:p w:rsidR="003B4AC7" w:rsidRDefault="003B4AC7">
            <w:pPr>
              <w:rPr>
                <w:rFonts w:cs="Arial"/>
              </w:rPr>
            </w:pPr>
          </w:p>
        </w:tc>
        <w:tc>
          <w:tcPr>
            <w:tcW w:w="5386" w:type="dxa"/>
            <w:gridSpan w:val="7"/>
            <w:tcBorders>
              <w:bottom w:val="single" w:sz="4" w:space="0" w:color="auto"/>
              <w:right w:val="single" w:sz="12" w:space="0" w:color="auto"/>
            </w:tcBorders>
          </w:tcPr>
          <w:p w:rsidR="003B4AC7" w:rsidRDefault="003B4AC7">
            <w:pPr>
              <w:rPr>
                <w:rFonts w:cs="Arial"/>
              </w:rPr>
            </w:pPr>
          </w:p>
        </w:tc>
      </w:tr>
      <w:tr w:rsidR="003B4AC7">
        <w:tc>
          <w:tcPr>
            <w:tcW w:w="11057" w:type="dxa"/>
            <w:gridSpan w:val="14"/>
            <w:tcBorders>
              <w:left w:val="single" w:sz="12" w:space="0" w:color="auto"/>
              <w:right w:val="single" w:sz="12" w:space="0" w:color="auto"/>
            </w:tcBorders>
            <w:shd w:val="clear" w:color="auto" w:fill="000000"/>
          </w:tcPr>
          <w:p w:rsidR="003B4AC7" w:rsidRDefault="003B4AC7">
            <w:pPr>
              <w:pStyle w:val="Heading4"/>
              <w:jc w:val="left"/>
              <w:rPr>
                <w:rFonts w:cs="Arial"/>
                <w:color w:val="FFFFFF"/>
                <w:sz w:val="24"/>
                <w:highlight w:val="black"/>
              </w:rPr>
            </w:pPr>
            <w:r>
              <w:rPr>
                <w:rFonts w:cs="Arial"/>
                <w:color w:val="FFFFFF"/>
                <w:sz w:val="24"/>
                <w:highlight w:val="black"/>
              </w:rPr>
              <w:t>Proposal(s)</w:t>
            </w:r>
          </w:p>
        </w:tc>
      </w:tr>
      <w:tr w:rsidR="003B4AC7">
        <w:trPr>
          <w:trHeight w:val="1370"/>
        </w:trPr>
        <w:tc>
          <w:tcPr>
            <w:tcW w:w="11057" w:type="dxa"/>
            <w:gridSpan w:val="14"/>
            <w:tcBorders>
              <w:left w:val="single" w:sz="12" w:space="0" w:color="auto"/>
              <w:bottom w:val="single" w:sz="12" w:space="0" w:color="auto"/>
              <w:right w:val="single" w:sz="12" w:space="0" w:color="auto"/>
            </w:tcBorders>
            <w:vAlign w:val="center"/>
          </w:tcPr>
          <w:p w:rsidR="003B4AC7" w:rsidRDefault="00BF6771" w:rsidP="00BF6771">
            <w:pPr>
              <w:rPr>
                <w:rFonts w:cs="Arial"/>
              </w:rPr>
            </w:pPr>
            <w:r>
              <w:rPr>
                <w:rFonts w:cs="Arial"/>
              </w:rPr>
              <w:t>Erection of a single storey rear extension, following retaining the existing bay window at lower-ground floor level</w:t>
            </w:r>
            <w:r w:rsidR="00006410" w:rsidRPr="00006410">
              <w:rPr>
                <w:rFonts w:cs="Arial"/>
              </w:rPr>
              <w:t xml:space="preserve"> </w:t>
            </w:r>
            <w:r>
              <w:rPr>
                <w:rFonts w:cs="Arial"/>
              </w:rPr>
              <w:t xml:space="preserve">in connection with </w:t>
            </w:r>
            <w:r w:rsidR="00006410" w:rsidRPr="00006410">
              <w:rPr>
                <w:rFonts w:cs="Arial"/>
              </w:rPr>
              <w:t>existing lower/ground floor maisonette.</w:t>
            </w:r>
            <w:r w:rsidR="009014BF">
              <w:rPr>
                <w:rFonts w:cs="Arial"/>
              </w:rPr>
              <w:br/>
            </w:r>
          </w:p>
        </w:tc>
      </w:tr>
      <w:tr w:rsidR="003B4AC7">
        <w:trPr>
          <w:trHeight w:val="778"/>
        </w:trPr>
        <w:tc>
          <w:tcPr>
            <w:tcW w:w="2694" w:type="dxa"/>
            <w:gridSpan w:val="2"/>
            <w:tcBorders>
              <w:top w:val="single" w:sz="12" w:space="0" w:color="auto"/>
              <w:left w:val="single" w:sz="12" w:space="0" w:color="auto"/>
              <w:right w:val="single" w:sz="12" w:space="0" w:color="auto"/>
            </w:tcBorders>
            <w:shd w:val="clear" w:color="auto" w:fill="000000"/>
            <w:vAlign w:val="center"/>
          </w:tcPr>
          <w:p w:rsidR="003B4AC7" w:rsidRDefault="003B4AC7">
            <w:pPr>
              <w:pStyle w:val="Heading2"/>
              <w:rPr>
                <w:rFonts w:cs="Arial"/>
                <w:color w:val="000000"/>
                <w:highlight w:val="black"/>
              </w:rPr>
            </w:pPr>
            <w:r>
              <w:rPr>
                <w:rFonts w:cs="Arial"/>
                <w:color w:val="FFFFFF"/>
                <w:highlight w:val="black"/>
              </w:rPr>
              <w:t>Recommendation(s):</w:t>
            </w:r>
          </w:p>
        </w:tc>
        <w:tc>
          <w:tcPr>
            <w:tcW w:w="8363" w:type="dxa"/>
            <w:gridSpan w:val="12"/>
            <w:tcBorders>
              <w:top w:val="single" w:sz="12" w:space="0" w:color="auto"/>
              <w:left w:val="single" w:sz="12" w:space="0" w:color="auto"/>
              <w:right w:val="single" w:sz="12" w:space="0" w:color="auto"/>
            </w:tcBorders>
            <w:shd w:val="clear" w:color="auto" w:fill="B3B3B3"/>
            <w:vAlign w:val="center"/>
          </w:tcPr>
          <w:p w:rsidR="003B4AC7" w:rsidRDefault="003B4AC7">
            <w:pPr>
              <w:pStyle w:val="Heading2"/>
            </w:pPr>
          </w:p>
          <w:p w:rsidR="003B4AC7" w:rsidRDefault="001232B7">
            <w:pPr>
              <w:pStyle w:val="Heading2"/>
            </w:pPr>
            <w:r>
              <w:t xml:space="preserve">Grant planning permission with conditions  </w:t>
            </w:r>
          </w:p>
        </w:tc>
      </w:tr>
      <w:tr w:rsidR="003B4AC7">
        <w:trPr>
          <w:trHeight w:val="414"/>
        </w:trPr>
        <w:tc>
          <w:tcPr>
            <w:tcW w:w="2694" w:type="dxa"/>
            <w:gridSpan w:val="2"/>
            <w:tcBorders>
              <w:left w:val="single" w:sz="12" w:space="0" w:color="auto"/>
              <w:bottom w:val="single" w:sz="4" w:space="0" w:color="auto"/>
              <w:right w:val="single" w:sz="12" w:space="0" w:color="auto"/>
            </w:tcBorders>
            <w:vAlign w:val="center"/>
          </w:tcPr>
          <w:p w:rsidR="003B4AC7" w:rsidRDefault="003B4AC7">
            <w:pPr>
              <w:rPr>
                <w:rFonts w:cs="Arial"/>
              </w:rPr>
            </w:pPr>
            <w:r>
              <w:rPr>
                <w:rFonts w:cs="Arial"/>
                <w:b/>
              </w:rPr>
              <w:t>Application Type:</w:t>
            </w:r>
          </w:p>
        </w:tc>
        <w:tc>
          <w:tcPr>
            <w:tcW w:w="8363" w:type="dxa"/>
            <w:gridSpan w:val="12"/>
            <w:tcBorders>
              <w:left w:val="single" w:sz="12" w:space="0" w:color="auto"/>
              <w:bottom w:val="single" w:sz="4" w:space="0" w:color="auto"/>
              <w:right w:val="single" w:sz="12" w:space="0" w:color="auto"/>
            </w:tcBorders>
          </w:tcPr>
          <w:p w:rsidR="003B4AC7" w:rsidRDefault="003B4AC7">
            <w:pPr>
              <w:pStyle w:val="Heading2"/>
            </w:pPr>
          </w:p>
          <w:p w:rsidR="003B4AC7" w:rsidRDefault="00006410" w:rsidP="00006410">
            <w:pPr>
              <w:pStyle w:val="Heading2"/>
            </w:pPr>
            <w:r>
              <w:t xml:space="preserve">Full Planning Permission </w:t>
            </w:r>
            <w:r w:rsidR="009014BF">
              <w:br/>
            </w:r>
          </w:p>
        </w:tc>
      </w:tr>
      <w:tr w:rsidR="003B4AC7">
        <w:trPr>
          <w:cantSplit/>
          <w:trHeight w:val="641"/>
        </w:trPr>
        <w:tc>
          <w:tcPr>
            <w:tcW w:w="2694" w:type="dxa"/>
            <w:gridSpan w:val="2"/>
            <w:tcBorders>
              <w:left w:val="single" w:sz="12" w:space="0" w:color="auto"/>
              <w:bottom w:val="single" w:sz="4" w:space="0" w:color="auto"/>
              <w:right w:val="single" w:sz="12" w:space="0" w:color="auto"/>
            </w:tcBorders>
            <w:vAlign w:val="center"/>
          </w:tcPr>
          <w:p w:rsidR="003B4AC7" w:rsidRDefault="003B4AC7">
            <w:pPr>
              <w:pStyle w:val="Heading2"/>
              <w:rPr>
                <w:rFonts w:cs="Arial"/>
                <w:sz w:val="20"/>
              </w:rPr>
            </w:pPr>
            <w:r>
              <w:rPr>
                <w:rFonts w:cs="Arial"/>
                <w:sz w:val="20"/>
              </w:rPr>
              <w:lastRenderedPageBreak/>
              <w:t>Conditions or Reasons for Refusal:</w:t>
            </w:r>
          </w:p>
        </w:tc>
        <w:tc>
          <w:tcPr>
            <w:tcW w:w="8363" w:type="dxa"/>
            <w:gridSpan w:val="12"/>
            <w:vMerge w:val="restart"/>
            <w:tcBorders>
              <w:left w:val="single" w:sz="12" w:space="0" w:color="auto"/>
              <w:right w:val="single" w:sz="12" w:space="0" w:color="auto"/>
            </w:tcBorders>
          </w:tcPr>
          <w:p w:rsidR="003B4AC7" w:rsidRDefault="003B4AC7">
            <w:pPr>
              <w:rPr>
                <w:rFonts w:cs="Arial"/>
                <w:sz w:val="20"/>
              </w:rPr>
            </w:pPr>
          </w:p>
          <w:p w:rsidR="003B4AC7" w:rsidRDefault="003B4AC7">
            <w:pPr>
              <w:rPr>
                <w:rFonts w:cs="Arial"/>
                <w:sz w:val="20"/>
              </w:rPr>
            </w:pPr>
          </w:p>
          <w:p w:rsidR="003B4AC7" w:rsidRDefault="003B4AC7">
            <w:pPr>
              <w:pStyle w:val="Heading3"/>
              <w:rPr>
                <w:rFonts w:ascii="Arial" w:hAnsi="Arial"/>
              </w:rPr>
            </w:pPr>
            <w:r>
              <w:rPr>
                <w:rFonts w:ascii="Arial" w:hAnsi="Arial"/>
              </w:rPr>
              <w:t>Refer to Draft Decision Notice</w:t>
            </w:r>
          </w:p>
        </w:tc>
      </w:tr>
      <w:tr w:rsidR="003B4AC7">
        <w:trPr>
          <w:cantSplit/>
          <w:trHeight w:val="523"/>
        </w:trPr>
        <w:tc>
          <w:tcPr>
            <w:tcW w:w="2694" w:type="dxa"/>
            <w:gridSpan w:val="2"/>
            <w:tcBorders>
              <w:top w:val="single" w:sz="4" w:space="0" w:color="auto"/>
              <w:left w:val="single" w:sz="12" w:space="0" w:color="auto"/>
              <w:bottom w:val="single" w:sz="4" w:space="0" w:color="auto"/>
              <w:right w:val="single" w:sz="12" w:space="0" w:color="auto"/>
            </w:tcBorders>
            <w:vAlign w:val="center"/>
          </w:tcPr>
          <w:p w:rsidR="003B4AC7" w:rsidRDefault="003B4AC7">
            <w:pPr>
              <w:pStyle w:val="Heading2"/>
              <w:rPr>
                <w:rFonts w:cs="Arial"/>
                <w:sz w:val="20"/>
              </w:rPr>
            </w:pPr>
            <w:r>
              <w:rPr>
                <w:rFonts w:cs="Arial"/>
                <w:sz w:val="20"/>
              </w:rPr>
              <w:t>Informatives:</w:t>
            </w:r>
          </w:p>
        </w:tc>
        <w:tc>
          <w:tcPr>
            <w:tcW w:w="8363" w:type="dxa"/>
            <w:gridSpan w:val="12"/>
            <w:vMerge/>
            <w:tcBorders>
              <w:left w:val="single" w:sz="12" w:space="0" w:color="auto"/>
              <w:bottom w:val="single" w:sz="4" w:space="0" w:color="auto"/>
              <w:right w:val="single" w:sz="12" w:space="0" w:color="auto"/>
            </w:tcBorders>
          </w:tcPr>
          <w:p w:rsidR="003B4AC7" w:rsidRDefault="003B4AC7">
            <w:pPr>
              <w:pStyle w:val="Heading2"/>
              <w:rPr>
                <w:rFonts w:cs="Arial"/>
                <w:b w:val="0"/>
                <w:bCs/>
                <w:sz w:val="20"/>
              </w:rPr>
            </w:pPr>
          </w:p>
        </w:tc>
      </w:tr>
      <w:tr w:rsidR="003B4AC7">
        <w:trPr>
          <w:trHeight w:val="318"/>
        </w:trPr>
        <w:tc>
          <w:tcPr>
            <w:tcW w:w="11057" w:type="dxa"/>
            <w:gridSpan w:val="14"/>
            <w:tcBorders>
              <w:left w:val="single" w:sz="12" w:space="0" w:color="auto"/>
              <w:bottom w:val="single" w:sz="4" w:space="0" w:color="auto"/>
              <w:right w:val="single" w:sz="12" w:space="0" w:color="auto"/>
            </w:tcBorders>
            <w:shd w:val="clear" w:color="auto" w:fill="000000"/>
            <w:vAlign w:val="center"/>
          </w:tcPr>
          <w:p w:rsidR="003B4AC7" w:rsidRDefault="003B4AC7">
            <w:pPr>
              <w:pStyle w:val="Heading2"/>
              <w:rPr>
                <w:rFonts w:cs="Arial"/>
                <w:color w:val="FFFFFF"/>
                <w:highlight w:val="black"/>
              </w:rPr>
            </w:pPr>
            <w:r>
              <w:rPr>
                <w:rFonts w:cs="Arial"/>
                <w:color w:val="FFFFFF"/>
                <w:highlight w:val="black"/>
              </w:rPr>
              <w:t>Consultations</w:t>
            </w:r>
          </w:p>
        </w:tc>
      </w:tr>
      <w:tr w:rsidR="003B4AC7">
        <w:trPr>
          <w:trHeight w:val="421"/>
        </w:trPr>
        <w:tc>
          <w:tcPr>
            <w:tcW w:w="2694" w:type="dxa"/>
            <w:gridSpan w:val="2"/>
            <w:tcBorders>
              <w:top w:val="single" w:sz="4" w:space="0" w:color="auto"/>
              <w:left w:val="single" w:sz="12" w:space="0" w:color="auto"/>
              <w:bottom w:val="single" w:sz="4" w:space="0" w:color="auto"/>
              <w:right w:val="single" w:sz="12" w:space="0" w:color="auto"/>
            </w:tcBorders>
            <w:vAlign w:val="center"/>
          </w:tcPr>
          <w:p w:rsidR="003B4AC7" w:rsidRDefault="003B4AC7">
            <w:pPr>
              <w:pStyle w:val="Heading2"/>
              <w:rPr>
                <w:rFonts w:cs="Arial"/>
                <w:color w:val="FFFFFF"/>
                <w:highlight w:val="darkBlue"/>
              </w:rPr>
            </w:pPr>
            <w:r>
              <w:rPr>
                <w:rFonts w:cs="Arial"/>
                <w:sz w:val="20"/>
              </w:rPr>
              <w:t>Adjoining Occupiers:</w:t>
            </w:r>
            <w:r>
              <w:rPr>
                <w:rFonts w:cs="Arial"/>
              </w:rPr>
              <w:t xml:space="preserve"> </w:t>
            </w:r>
          </w:p>
        </w:tc>
        <w:tc>
          <w:tcPr>
            <w:tcW w:w="1843" w:type="dxa"/>
            <w:gridSpan w:val="3"/>
            <w:tcBorders>
              <w:top w:val="single" w:sz="4" w:space="0" w:color="auto"/>
              <w:left w:val="single" w:sz="12" w:space="0" w:color="auto"/>
              <w:bottom w:val="single" w:sz="4" w:space="0" w:color="auto"/>
              <w:right w:val="single" w:sz="4" w:space="0" w:color="auto"/>
            </w:tcBorders>
            <w:vAlign w:val="center"/>
          </w:tcPr>
          <w:p w:rsidR="003B4AC7" w:rsidRDefault="003B4AC7">
            <w:pPr>
              <w:rPr>
                <w:rFonts w:cs="Arial"/>
              </w:rPr>
            </w:pPr>
            <w:r>
              <w:rPr>
                <w:rFonts w:cs="Arial"/>
              </w:rPr>
              <w:t>No. notified</w:t>
            </w:r>
          </w:p>
          <w:p w:rsidR="003B4AC7" w:rsidRDefault="003B4AC7">
            <w:pPr>
              <w:rPr>
                <w:rFonts w:cs="Arial"/>
                <w:color w:val="FFFFFF"/>
                <w:highlight w:val="darkBlue"/>
              </w:rPr>
            </w:pPr>
          </w:p>
        </w:tc>
        <w:tc>
          <w:tcPr>
            <w:tcW w:w="709" w:type="dxa"/>
            <w:tcBorders>
              <w:top w:val="single" w:sz="4" w:space="0" w:color="auto"/>
              <w:left w:val="single" w:sz="4" w:space="0" w:color="auto"/>
              <w:bottom w:val="single" w:sz="4" w:space="0" w:color="auto"/>
              <w:right w:val="single" w:sz="4" w:space="0" w:color="auto"/>
            </w:tcBorders>
            <w:vAlign w:val="center"/>
          </w:tcPr>
          <w:p w:rsidR="003B4AC7" w:rsidRDefault="00006410">
            <w:pPr>
              <w:rPr>
                <w:rFonts w:cs="Arial"/>
                <w:b/>
                <w:bCs/>
              </w:rPr>
            </w:pPr>
            <w:r>
              <w:rPr>
                <w:rFonts w:cs="Arial"/>
                <w:b/>
                <w:bCs/>
              </w:rPr>
              <w:t>16</w:t>
            </w:r>
          </w:p>
          <w:p w:rsidR="003B4AC7" w:rsidRDefault="003B4AC7">
            <w:pPr>
              <w:rPr>
                <w:rFonts w:cs="Arial"/>
                <w:b/>
                <w:bCs/>
                <w:highlight w:val="darkBlue"/>
              </w:rPr>
            </w:pPr>
          </w:p>
        </w:tc>
        <w:tc>
          <w:tcPr>
            <w:tcW w:w="2268" w:type="dxa"/>
            <w:gridSpan w:val="4"/>
            <w:tcBorders>
              <w:top w:val="single" w:sz="4" w:space="0" w:color="auto"/>
              <w:left w:val="single" w:sz="4" w:space="0" w:color="auto"/>
              <w:bottom w:val="single" w:sz="4" w:space="0" w:color="auto"/>
              <w:right w:val="single" w:sz="4" w:space="0" w:color="auto"/>
            </w:tcBorders>
            <w:vAlign w:val="center"/>
          </w:tcPr>
          <w:p w:rsidR="003B4AC7" w:rsidRDefault="003B4AC7">
            <w:pPr>
              <w:rPr>
                <w:rFonts w:cs="Arial"/>
              </w:rPr>
            </w:pPr>
          </w:p>
          <w:p w:rsidR="003B4AC7" w:rsidRDefault="003B4AC7">
            <w:pPr>
              <w:rPr>
                <w:rFonts w:cs="Arial"/>
              </w:rPr>
            </w:pPr>
            <w:r>
              <w:rPr>
                <w:rFonts w:cs="Arial"/>
              </w:rPr>
              <w:t>No. of responses</w:t>
            </w:r>
          </w:p>
          <w:p w:rsidR="003B4AC7" w:rsidRDefault="003B4AC7">
            <w:pPr>
              <w:rPr>
                <w:rFonts w:cs="Arial"/>
              </w:rPr>
            </w:pPr>
          </w:p>
          <w:p w:rsidR="003B4AC7" w:rsidRDefault="003B4AC7">
            <w:pPr>
              <w:rPr>
                <w:rFonts w:cs="Arial"/>
                <w:color w:val="FFFFFF"/>
                <w:highlight w:val="darkBlue"/>
              </w:rPr>
            </w:pPr>
            <w:r>
              <w:rPr>
                <w:rFonts w:cs="Arial"/>
              </w:rPr>
              <w:t>No. electronic</w:t>
            </w:r>
          </w:p>
        </w:tc>
        <w:tc>
          <w:tcPr>
            <w:tcW w:w="708" w:type="dxa"/>
            <w:tcBorders>
              <w:top w:val="single" w:sz="4" w:space="0" w:color="auto"/>
              <w:left w:val="single" w:sz="4" w:space="0" w:color="auto"/>
              <w:bottom w:val="single" w:sz="4" w:space="0" w:color="auto"/>
              <w:right w:val="single" w:sz="4" w:space="0" w:color="auto"/>
            </w:tcBorders>
            <w:vAlign w:val="center"/>
          </w:tcPr>
          <w:p w:rsidR="003B4AC7" w:rsidRDefault="003B4AC7">
            <w:pPr>
              <w:rPr>
                <w:rFonts w:cs="Arial"/>
                <w:b/>
                <w:bCs/>
              </w:rPr>
            </w:pPr>
          </w:p>
          <w:p w:rsidR="003B4AC7" w:rsidRDefault="003B4AC7">
            <w:pPr>
              <w:rPr>
                <w:rFonts w:cs="Arial"/>
                <w:b/>
                <w:bCs/>
              </w:rPr>
            </w:pPr>
            <w:r>
              <w:rPr>
                <w:rFonts w:cs="Arial"/>
                <w:b/>
                <w:bCs/>
              </w:rPr>
              <w:t>0</w:t>
            </w:r>
            <w:r w:rsidR="00597B3D">
              <w:rPr>
                <w:rFonts w:cs="Arial"/>
                <w:b/>
                <w:bCs/>
              </w:rPr>
              <w:t>3</w:t>
            </w:r>
          </w:p>
          <w:p w:rsidR="003B4AC7" w:rsidRDefault="003B4AC7">
            <w:pPr>
              <w:rPr>
                <w:rFonts w:cs="Arial"/>
                <w:b/>
                <w:bCs/>
              </w:rPr>
            </w:pPr>
          </w:p>
          <w:p w:rsidR="003B4AC7" w:rsidRDefault="003B4AC7" w:rsidP="00597B3D">
            <w:pPr>
              <w:rPr>
                <w:rFonts w:cs="Arial"/>
                <w:b/>
                <w:bCs/>
                <w:color w:val="FFFFFF"/>
                <w:highlight w:val="darkBlue"/>
              </w:rPr>
            </w:pPr>
            <w:r>
              <w:rPr>
                <w:rFonts w:cs="Arial"/>
                <w:b/>
                <w:bCs/>
              </w:rPr>
              <w:t>0</w:t>
            </w:r>
            <w:r w:rsidR="00597B3D">
              <w:rPr>
                <w:rFonts w:cs="Arial"/>
                <w:b/>
                <w:bCs/>
              </w:rPr>
              <w:t>3</w:t>
            </w:r>
          </w:p>
        </w:tc>
        <w:tc>
          <w:tcPr>
            <w:tcW w:w="2098" w:type="dxa"/>
            <w:gridSpan w:val="2"/>
            <w:tcBorders>
              <w:top w:val="single" w:sz="4" w:space="0" w:color="auto"/>
              <w:left w:val="single" w:sz="4" w:space="0" w:color="auto"/>
              <w:bottom w:val="single" w:sz="4" w:space="0" w:color="auto"/>
              <w:right w:val="single" w:sz="4" w:space="0" w:color="auto"/>
            </w:tcBorders>
            <w:vAlign w:val="center"/>
          </w:tcPr>
          <w:p w:rsidR="003B4AC7" w:rsidRDefault="003B4AC7">
            <w:pPr>
              <w:rPr>
                <w:rFonts w:cs="Arial"/>
              </w:rPr>
            </w:pPr>
            <w:r>
              <w:rPr>
                <w:rFonts w:cs="Arial"/>
              </w:rPr>
              <w:t>No. of objections</w:t>
            </w:r>
          </w:p>
          <w:p w:rsidR="003B4AC7" w:rsidRDefault="003B4AC7">
            <w:pPr>
              <w:rPr>
                <w:rFonts w:cs="Arial"/>
                <w:color w:val="FFFFFF"/>
                <w:highlight w:val="darkBlue"/>
              </w:rPr>
            </w:pPr>
          </w:p>
        </w:tc>
        <w:tc>
          <w:tcPr>
            <w:tcW w:w="737" w:type="dxa"/>
            <w:tcBorders>
              <w:top w:val="single" w:sz="4" w:space="0" w:color="auto"/>
              <w:left w:val="single" w:sz="4" w:space="0" w:color="auto"/>
              <w:bottom w:val="single" w:sz="4" w:space="0" w:color="auto"/>
              <w:right w:val="single" w:sz="12" w:space="0" w:color="auto"/>
            </w:tcBorders>
            <w:vAlign w:val="center"/>
          </w:tcPr>
          <w:p w:rsidR="003B4AC7" w:rsidRDefault="003B4AC7">
            <w:pPr>
              <w:rPr>
                <w:rFonts w:cs="Arial"/>
                <w:b/>
                <w:bCs/>
              </w:rPr>
            </w:pPr>
            <w:r>
              <w:rPr>
                <w:rFonts w:cs="Arial"/>
                <w:b/>
                <w:bCs/>
              </w:rPr>
              <w:t>0</w:t>
            </w:r>
            <w:r w:rsidR="00597B3D">
              <w:rPr>
                <w:rFonts w:cs="Arial"/>
                <w:b/>
                <w:bCs/>
              </w:rPr>
              <w:t>3</w:t>
            </w:r>
          </w:p>
          <w:p w:rsidR="003B4AC7" w:rsidRDefault="003B4AC7">
            <w:pPr>
              <w:rPr>
                <w:rFonts w:cs="Arial"/>
                <w:color w:val="FFFFFF"/>
                <w:highlight w:val="darkBlue"/>
              </w:rPr>
            </w:pPr>
          </w:p>
        </w:tc>
      </w:tr>
      <w:tr w:rsidR="003B4AC7">
        <w:trPr>
          <w:trHeight w:val="2062"/>
        </w:trPr>
        <w:tc>
          <w:tcPr>
            <w:tcW w:w="2694" w:type="dxa"/>
            <w:gridSpan w:val="2"/>
            <w:tcBorders>
              <w:top w:val="single" w:sz="4" w:space="0" w:color="auto"/>
              <w:left w:val="single" w:sz="12" w:space="0" w:color="auto"/>
              <w:bottom w:val="single" w:sz="4" w:space="0" w:color="auto"/>
              <w:right w:val="single" w:sz="12" w:space="0" w:color="auto"/>
            </w:tcBorders>
            <w:vAlign w:val="center"/>
          </w:tcPr>
          <w:p w:rsidR="003B4AC7" w:rsidRDefault="003B4AC7">
            <w:pPr>
              <w:pStyle w:val="Heading2"/>
              <w:rPr>
                <w:rFonts w:cs="Arial"/>
                <w:sz w:val="20"/>
              </w:rPr>
            </w:pPr>
            <w:r>
              <w:rPr>
                <w:rFonts w:cs="Arial"/>
                <w:sz w:val="20"/>
              </w:rPr>
              <w:t>Summary of consultation responses:</w:t>
            </w:r>
          </w:p>
          <w:p w:rsidR="003B4AC7" w:rsidRDefault="003B4AC7"/>
          <w:p w:rsidR="003B4AC7" w:rsidRDefault="003B4AC7"/>
        </w:tc>
        <w:tc>
          <w:tcPr>
            <w:tcW w:w="8363" w:type="dxa"/>
            <w:gridSpan w:val="12"/>
            <w:tcBorders>
              <w:top w:val="single" w:sz="4" w:space="0" w:color="auto"/>
              <w:left w:val="single" w:sz="12" w:space="0" w:color="auto"/>
              <w:bottom w:val="single" w:sz="4" w:space="0" w:color="auto"/>
              <w:right w:val="single" w:sz="12" w:space="0" w:color="auto"/>
            </w:tcBorders>
          </w:tcPr>
          <w:p w:rsidR="00B5132A" w:rsidRDefault="005B64FF" w:rsidP="00B5132A">
            <w:pPr>
              <w:rPr>
                <w:rFonts w:cs="Arial"/>
                <w:i/>
              </w:rPr>
            </w:pPr>
            <w:r>
              <w:rPr>
                <w:rFonts w:cs="Arial"/>
                <w:i/>
              </w:rPr>
              <w:t xml:space="preserve">Objection </w:t>
            </w:r>
            <w:r w:rsidR="00B5132A">
              <w:rPr>
                <w:rFonts w:cs="Arial"/>
                <w:i/>
              </w:rPr>
              <w:t>received from 119 King Henry’s Road are as follows:</w:t>
            </w:r>
          </w:p>
          <w:p w:rsidR="00B5132A" w:rsidRDefault="00B5132A" w:rsidP="00B5132A">
            <w:pPr>
              <w:rPr>
                <w:rFonts w:cs="Arial"/>
                <w:i/>
              </w:rPr>
            </w:pPr>
          </w:p>
          <w:p w:rsidR="00B5132A" w:rsidRDefault="00B5132A" w:rsidP="00685943">
            <w:pPr>
              <w:numPr>
                <w:ilvl w:val="0"/>
                <w:numId w:val="2"/>
              </w:numPr>
              <w:rPr>
                <w:rFonts w:cs="Arial"/>
                <w:i/>
              </w:rPr>
            </w:pPr>
            <w:r w:rsidRPr="00B5132A">
              <w:rPr>
                <w:rFonts w:cs="Arial"/>
                <w:i/>
              </w:rPr>
              <w:t>I am very concerned that the size of the proposed extension and its use as a family dining area will bring about a material increase in both the level of noise and the length of time over which that noise will occur</w:t>
            </w:r>
            <w:r>
              <w:rPr>
                <w:rFonts w:cs="Arial"/>
                <w:i/>
              </w:rPr>
              <w:t>;</w:t>
            </w:r>
          </w:p>
          <w:p w:rsidR="00B5132A" w:rsidRDefault="00B5132A" w:rsidP="00B5132A">
            <w:pPr>
              <w:numPr>
                <w:ilvl w:val="0"/>
                <w:numId w:val="2"/>
              </w:numPr>
              <w:rPr>
                <w:rFonts w:cs="Arial"/>
                <w:i/>
              </w:rPr>
            </w:pPr>
            <w:r w:rsidRPr="00B5132A">
              <w:rPr>
                <w:rFonts w:cs="Arial"/>
                <w:i/>
              </w:rPr>
              <w:t>It would help if the projection were to be reduced from the proposed 4 metres and if the glass enclosures were both double glazed and fixed, that is incapable of being opened.</w:t>
            </w:r>
          </w:p>
          <w:p w:rsidR="00685943" w:rsidRDefault="00B5132A" w:rsidP="00685943">
            <w:pPr>
              <w:numPr>
                <w:ilvl w:val="0"/>
                <w:numId w:val="2"/>
              </w:numPr>
              <w:rPr>
                <w:rFonts w:cs="Arial"/>
                <w:i/>
              </w:rPr>
            </w:pPr>
            <w:r>
              <w:rPr>
                <w:rFonts w:cs="Arial"/>
                <w:i/>
              </w:rPr>
              <w:t>Smells</w:t>
            </w:r>
          </w:p>
          <w:p w:rsidR="00685943" w:rsidRDefault="00685943" w:rsidP="00685943">
            <w:pPr>
              <w:ind w:left="720"/>
              <w:rPr>
                <w:rFonts w:cs="Arial"/>
                <w:i/>
              </w:rPr>
            </w:pPr>
          </w:p>
          <w:p w:rsidR="00685943" w:rsidRDefault="00685943" w:rsidP="00685943">
            <w:pPr>
              <w:rPr>
                <w:rFonts w:cs="Arial"/>
                <w:b/>
                <w:i/>
                <w:u w:val="single"/>
              </w:rPr>
            </w:pPr>
            <w:r w:rsidRPr="00685943">
              <w:rPr>
                <w:rFonts w:cs="Arial"/>
                <w:b/>
                <w:i/>
                <w:u w:val="single"/>
              </w:rPr>
              <w:t>Officer comments</w:t>
            </w:r>
          </w:p>
          <w:p w:rsidR="00685943" w:rsidRDefault="00685943" w:rsidP="00685943">
            <w:pPr>
              <w:rPr>
                <w:rFonts w:cs="Arial"/>
                <w:b/>
                <w:i/>
                <w:u w:val="single"/>
              </w:rPr>
            </w:pPr>
          </w:p>
          <w:p w:rsidR="00685943" w:rsidRPr="00685943" w:rsidRDefault="00685943" w:rsidP="00685943">
            <w:pPr>
              <w:numPr>
                <w:ilvl w:val="0"/>
                <w:numId w:val="6"/>
              </w:numPr>
              <w:rPr>
                <w:rFonts w:cs="Arial"/>
                <w:b/>
                <w:i/>
                <w:u w:val="single"/>
              </w:rPr>
            </w:pPr>
            <w:r w:rsidRPr="00D81F89">
              <w:rPr>
                <w:rFonts w:cs="Arial"/>
              </w:rPr>
              <w:t xml:space="preserve">Please </w:t>
            </w:r>
            <w:r w:rsidR="00D81F89" w:rsidRPr="00D81F89">
              <w:rPr>
                <w:rFonts w:cs="Arial"/>
                <w:i/>
              </w:rPr>
              <w:t>refer</w:t>
            </w:r>
            <w:r w:rsidR="00D81F89">
              <w:rPr>
                <w:rFonts w:cs="Arial"/>
                <w:i/>
              </w:rPr>
              <w:t xml:space="preserve"> to </w:t>
            </w:r>
            <w:r w:rsidR="00CC2649">
              <w:rPr>
                <w:rFonts w:cs="Arial"/>
                <w:i/>
              </w:rPr>
              <w:t>the amenity section below in 4.1 to 4.2</w:t>
            </w:r>
          </w:p>
          <w:p w:rsidR="00B5132A" w:rsidRDefault="00B5132A" w:rsidP="00B5132A">
            <w:pPr>
              <w:ind w:left="720"/>
              <w:rPr>
                <w:rFonts w:cs="Arial"/>
                <w:i/>
              </w:rPr>
            </w:pPr>
          </w:p>
          <w:p w:rsidR="00B5132A" w:rsidRDefault="00F06AFA" w:rsidP="00B5132A">
            <w:pPr>
              <w:rPr>
                <w:rFonts w:cs="Arial"/>
                <w:i/>
              </w:rPr>
            </w:pPr>
            <w:r>
              <w:rPr>
                <w:rFonts w:cs="Arial"/>
                <w:i/>
              </w:rPr>
              <w:t>comment</w:t>
            </w:r>
            <w:r w:rsidR="00B5132A" w:rsidRPr="00B5132A">
              <w:rPr>
                <w:rFonts w:cs="Arial"/>
                <w:i/>
              </w:rPr>
              <w:t xml:space="preserve"> </w:t>
            </w:r>
            <w:r>
              <w:rPr>
                <w:rFonts w:cs="Arial"/>
                <w:i/>
              </w:rPr>
              <w:t>is</w:t>
            </w:r>
            <w:r w:rsidR="00B5132A" w:rsidRPr="00B5132A">
              <w:rPr>
                <w:rFonts w:cs="Arial"/>
                <w:i/>
              </w:rPr>
              <w:t xml:space="preserve"> received from </w:t>
            </w:r>
            <w:r>
              <w:rPr>
                <w:rFonts w:cs="Arial"/>
                <w:i/>
              </w:rPr>
              <w:t>1 Lower Merton Rise</w:t>
            </w:r>
            <w:r w:rsidR="00B5132A" w:rsidRPr="00B5132A">
              <w:rPr>
                <w:rFonts w:cs="Arial"/>
                <w:i/>
              </w:rPr>
              <w:t xml:space="preserve"> </w:t>
            </w:r>
            <w:r>
              <w:rPr>
                <w:rFonts w:cs="Arial"/>
                <w:i/>
              </w:rPr>
              <w:t>is</w:t>
            </w:r>
            <w:r w:rsidR="00B5132A" w:rsidRPr="00B5132A">
              <w:rPr>
                <w:rFonts w:cs="Arial"/>
                <w:i/>
              </w:rPr>
              <w:t xml:space="preserve"> as follows:</w:t>
            </w:r>
          </w:p>
          <w:p w:rsidR="00F06AFA" w:rsidRDefault="00F06AFA" w:rsidP="00B5132A">
            <w:pPr>
              <w:rPr>
                <w:rFonts w:cs="Arial"/>
                <w:i/>
              </w:rPr>
            </w:pPr>
          </w:p>
          <w:p w:rsidR="00685943" w:rsidRDefault="00F06AFA" w:rsidP="00685943">
            <w:pPr>
              <w:numPr>
                <w:ilvl w:val="0"/>
                <w:numId w:val="5"/>
              </w:numPr>
              <w:rPr>
                <w:rFonts w:cs="Arial"/>
                <w:i/>
              </w:rPr>
            </w:pPr>
            <w:r>
              <w:rPr>
                <w:rFonts w:cs="Arial"/>
                <w:i/>
              </w:rPr>
              <w:t>The extension should replicate number 119 in its design and setting</w:t>
            </w:r>
          </w:p>
          <w:p w:rsidR="00685943" w:rsidRDefault="00685943" w:rsidP="00685943">
            <w:pPr>
              <w:ind w:left="720"/>
              <w:rPr>
                <w:rFonts w:cs="Arial"/>
                <w:i/>
              </w:rPr>
            </w:pPr>
          </w:p>
          <w:p w:rsidR="00685943" w:rsidRPr="00685943" w:rsidRDefault="00685943" w:rsidP="00685943">
            <w:pPr>
              <w:rPr>
                <w:rFonts w:cs="Arial"/>
                <w:b/>
                <w:i/>
                <w:u w:val="single"/>
              </w:rPr>
            </w:pPr>
            <w:r>
              <w:rPr>
                <w:rFonts w:cs="Arial"/>
                <w:b/>
                <w:i/>
              </w:rPr>
              <w:t xml:space="preserve"> </w:t>
            </w:r>
            <w:r w:rsidRPr="00685943">
              <w:rPr>
                <w:rFonts w:cs="Arial"/>
                <w:b/>
                <w:i/>
                <w:u w:val="single"/>
              </w:rPr>
              <w:t>Officer comments</w:t>
            </w:r>
          </w:p>
          <w:p w:rsidR="00B5132A" w:rsidRPr="00B5132A" w:rsidRDefault="00B5132A" w:rsidP="00B5132A">
            <w:pPr>
              <w:rPr>
                <w:rFonts w:cs="Arial"/>
                <w:i/>
              </w:rPr>
            </w:pPr>
          </w:p>
          <w:p w:rsidR="00066070" w:rsidRPr="00066070" w:rsidRDefault="00066070" w:rsidP="00066070">
            <w:pPr>
              <w:rPr>
                <w:rFonts w:cs="Arial"/>
                <w:i/>
              </w:rPr>
            </w:pPr>
            <w:r>
              <w:rPr>
                <w:rFonts w:cs="Arial"/>
                <w:i/>
              </w:rPr>
              <w:t xml:space="preserve">  </w:t>
            </w:r>
            <w:r w:rsidR="002F5E59">
              <w:rPr>
                <w:rFonts w:cs="Arial"/>
                <w:i/>
              </w:rPr>
              <w:t>Please see paragraph</w:t>
            </w:r>
            <w:r w:rsidR="00685943">
              <w:rPr>
                <w:rFonts w:cs="Arial"/>
                <w:i/>
              </w:rPr>
              <w:t xml:space="preserve"> to 3.0 below:</w:t>
            </w:r>
          </w:p>
          <w:p w:rsidR="001232B7" w:rsidRDefault="001232B7" w:rsidP="001232B7">
            <w:pPr>
              <w:rPr>
                <w:rFonts w:cs="Arial"/>
                <w:color w:val="FFFFFF"/>
                <w:highlight w:val="darkBlue"/>
              </w:rPr>
            </w:pPr>
          </w:p>
        </w:tc>
      </w:tr>
      <w:tr w:rsidR="003B4AC7" w:rsidTr="00D47849">
        <w:trPr>
          <w:trHeight w:val="1533"/>
        </w:trPr>
        <w:tc>
          <w:tcPr>
            <w:tcW w:w="2694" w:type="dxa"/>
            <w:gridSpan w:val="2"/>
            <w:tcBorders>
              <w:top w:val="single" w:sz="4" w:space="0" w:color="auto"/>
              <w:left w:val="single" w:sz="12" w:space="0" w:color="auto"/>
              <w:bottom w:val="single" w:sz="12" w:space="0" w:color="auto"/>
              <w:right w:val="single" w:sz="12" w:space="0" w:color="auto"/>
            </w:tcBorders>
            <w:vAlign w:val="center"/>
          </w:tcPr>
          <w:p w:rsidR="003B4AC7" w:rsidRDefault="003B4AC7">
            <w:pPr>
              <w:pStyle w:val="Heading2"/>
              <w:rPr>
                <w:rFonts w:cs="Arial"/>
                <w:sz w:val="20"/>
              </w:rPr>
            </w:pPr>
            <w:r>
              <w:rPr>
                <w:rFonts w:cs="Arial"/>
                <w:sz w:val="20"/>
              </w:rPr>
              <w:t>CAAC/Local groups* comments:</w:t>
            </w:r>
          </w:p>
          <w:p w:rsidR="003B4AC7" w:rsidRDefault="003B4AC7">
            <w:pPr>
              <w:pStyle w:val="Heading2"/>
              <w:rPr>
                <w:rFonts w:cs="Arial"/>
                <w:b w:val="0"/>
                <w:bCs/>
                <w:sz w:val="16"/>
              </w:rPr>
            </w:pPr>
            <w:r>
              <w:rPr>
                <w:rFonts w:cs="Arial"/>
                <w:b w:val="0"/>
                <w:bCs/>
                <w:sz w:val="16"/>
              </w:rPr>
              <w:t>*Please Specify</w:t>
            </w:r>
          </w:p>
        </w:tc>
        <w:tc>
          <w:tcPr>
            <w:tcW w:w="8363" w:type="dxa"/>
            <w:gridSpan w:val="12"/>
            <w:tcBorders>
              <w:top w:val="single" w:sz="4" w:space="0" w:color="auto"/>
              <w:left w:val="single" w:sz="12" w:space="0" w:color="auto"/>
              <w:bottom w:val="single" w:sz="12" w:space="0" w:color="auto"/>
              <w:right w:val="single" w:sz="12" w:space="0" w:color="auto"/>
            </w:tcBorders>
          </w:tcPr>
          <w:p w:rsidR="003B4AC7" w:rsidRDefault="00D47849">
            <w:pPr>
              <w:rPr>
                <w:rFonts w:cs="Arial"/>
                <w:u w:val="single"/>
              </w:rPr>
            </w:pPr>
            <w:r w:rsidRPr="00D47849">
              <w:rPr>
                <w:rFonts w:cs="Arial"/>
                <w:u w:val="single"/>
              </w:rPr>
              <w:t>Elsworthy CAAC</w:t>
            </w:r>
            <w:r>
              <w:rPr>
                <w:rFonts w:cs="Arial"/>
                <w:u w:val="single"/>
              </w:rPr>
              <w:t xml:space="preserve">  object</w:t>
            </w:r>
          </w:p>
          <w:p w:rsidR="00D47849" w:rsidRDefault="00D47849">
            <w:pPr>
              <w:rPr>
                <w:rFonts w:cs="Arial"/>
              </w:rPr>
            </w:pPr>
            <w:r>
              <w:rPr>
                <w:rFonts w:cs="Arial"/>
              </w:rPr>
              <w:t>Object to width and projection of proposed extension which would</w:t>
            </w:r>
            <w:r w:rsidR="00F06AFA">
              <w:rPr>
                <w:rFonts w:cs="Arial"/>
              </w:rPr>
              <w:t xml:space="preserve"> be out of character</w:t>
            </w:r>
            <w:r>
              <w:rPr>
                <w:rFonts w:cs="Arial"/>
              </w:rPr>
              <w:t xml:space="preserve"> </w:t>
            </w:r>
            <w:r w:rsidR="00F06AFA">
              <w:rPr>
                <w:rFonts w:cs="Arial"/>
              </w:rPr>
              <w:t>of the existing building</w:t>
            </w:r>
            <w:r>
              <w:rPr>
                <w:rFonts w:cs="Arial"/>
              </w:rPr>
              <w:t xml:space="preserve">. </w:t>
            </w:r>
          </w:p>
          <w:p w:rsidR="00066070" w:rsidRDefault="00066070">
            <w:pPr>
              <w:rPr>
                <w:rFonts w:cs="Arial"/>
              </w:rPr>
            </w:pPr>
          </w:p>
          <w:p w:rsidR="00066070" w:rsidRPr="00685943" w:rsidRDefault="00066070">
            <w:pPr>
              <w:rPr>
                <w:rFonts w:cs="Arial"/>
                <w:b/>
                <w:i/>
                <w:u w:val="single"/>
              </w:rPr>
            </w:pPr>
            <w:r w:rsidRPr="00685943">
              <w:rPr>
                <w:rFonts w:cs="Arial"/>
                <w:b/>
                <w:i/>
                <w:u w:val="single"/>
              </w:rPr>
              <w:t xml:space="preserve">Officer comment </w:t>
            </w:r>
          </w:p>
          <w:p w:rsidR="00066070" w:rsidRPr="00066070" w:rsidRDefault="00066070">
            <w:pPr>
              <w:rPr>
                <w:rFonts w:cs="Arial"/>
                <w:i/>
                <w:color w:val="FFFFFF"/>
                <w:highlight w:val="darkBlue"/>
              </w:rPr>
            </w:pPr>
            <w:r>
              <w:rPr>
                <w:rFonts w:cs="Arial"/>
                <w:i/>
              </w:rPr>
              <w:t>Merits of the design are discussed in detail in the assessment below</w:t>
            </w:r>
            <w:r w:rsidR="002F5E59">
              <w:rPr>
                <w:rFonts w:cs="Arial"/>
                <w:i/>
              </w:rPr>
              <w:t xml:space="preserve"> in paragraph </w:t>
            </w:r>
            <w:r w:rsidR="00685943">
              <w:rPr>
                <w:rFonts w:cs="Arial"/>
                <w:i/>
              </w:rPr>
              <w:t xml:space="preserve">3.0 </w:t>
            </w:r>
          </w:p>
        </w:tc>
      </w:tr>
    </w:tbl>
    <w:p w:rsidR="003B4AC7" w:rsidRDefault="003B4AC7">
      <w:pPr>
        <w:rPr>
          <w:rFonts w:cs="Arial"/>
          <w:b/>
          <w:sz w:val="16"/>
        </w:rPr>
      </w:pPr>
      <w:r>
        <w:rPr>
          <w:rFonts w:cs="Arial"/>
          <w:b/>
          <w:sz w:val="16"/>
        </w:rPr>
        <w:tab/>
      </w:r>
      <w:r>
        <w:rPr>
          <w:rFonts w:cs="Arial"/>
          <w:b/>
          <w:sz w:val="16"/>
        </w:rPr>
        <w:tab/>
      </w:r>
    </w:p>
    <w:p w:rsidR="003B4AC7" w:rsidRDefault="003B4AC7">
      <w:pPr>
        <w:rPr>
          <w:rFonts w:cs="Arial"/>
          <w:b/>
          <w:sz w:val="16"/>
        </w:rPr>
      </w:pPr>
      <w:r>
        <w:rPr>
          <w:rFonts w:cs="Arial"/>
          <w:b/>
          <w:sz w:val="16"/>
        </w:rPr>
        <w:br w:type="page"/>
      </w:r>
    </w:p>
    <w:tbl>
      <w:tblPr>
        <w:tblW w:w="11057"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57"/>
      </w:tblGrid>
      <w:tr w:rsidR="003B4AC7">
        <w:trPr>
          <w:trHeight w:val="340"/>
        </w:trPr>
        <w:tc>
          <w:tcPr>
            <w:tcW w:w="11057" w:type="dxa"/>
            <w:tcBorders>
              <w:left w:val="single" w:sz="12" w:space="0" w:color="auto"/>
              <w:bottom w:val="single" w:sz="12" w:space="0" w:color="auto"/>
              <w:right w:val="single" w:sz="12" w:space="0" w:color="auto"/>
            </w:tcBorders>
            <w:shd w:val="clear" w:color="auto" w:fill="000000"/>
            <w:vAlign w:val="center"/>
          </w:tcPr>
          <w:p w:rsidR="003B4AC7" w:rsidRDefault="003B4AC7">
            <w:pPr>
              <w:pStyle w:val="Heading2"/>
              <w:rPr>
                <w:rFonts w:cs="Arial"/>
                <w:highlight w:val="black"/>
              </w:rPr>
            </w:pPr>
            <w:r>
              <w:rPr>
                <w:rFonts w:cs="Arial"/>
                <w:b w:val="0"/>
                <w:highlight w:val="black"/>
              </w:rPr>
              <w:br w:type="page"/>
            </w:r>
            <w:r>
              <w:rPr>
                <w:rFonts w:cs="Arial"/>
                <w:color w:val="FFFFFF"/>
                <w:highlight w:val="black"/>
              </w:rPr>
              <w:t>Site Description</w:t>
            </w:r>
            <w:r>
              <w:rPr>
                <w:rFonts w:cs="Arial"/>
                <w:highlight w:val="black"/>
              </w:rPr>
              <w:t xml:space="preserve"> </w:t>
            </w:r>
          </w:p>
        </w:tc>
      </w:tr>
      <w:tr w:rsidR="003B4AC7">
        <w:trPr>
          <w:trHeight w:val="1193"/>
        </w:trPr>
        <w:tc>
          <w:tcPr>
            <w:tcW w:w="11057" w:type="dxa"/>
            <w:tcBorders>
              <w:top w:val="single" w:sz="12" w:space="0" w:color="auto"/>
              <w:left w:val="single" w:sz="12" w:space="0" w:color="auto"/>
              <w:bottom w:val="single" w:sz="4" w:space="0" w:color="auto"/>
              <w:right w:val="single" w:sz="12" w:space="0" w:color="auto"/>
            </w:tcBorders>
          </w:tcPr>
          <w:p w:rsidR="003B4AC7" w:rsidRDefault="00F2354E">
            <w:pPr>
              <w:rPr>
                <w:rFonts w:cs="Arial"/>
              </w:rPr>
            </w:pPr>
            <w:r>
              <w:rPr>
                <w:rFonts w:cs="Arial"/>
              </w:rPr>
              <w:t xml:space="preserve">The lower ground floor flat of a </w:t>
            </w:r>
            <w:r w:rsidR="008434F9">
              <w:rPr>
                <w:rFonts w:cs="Arial"/>
              </w:rPr>
              <w:t xml:space="preserve">basement plus 3 upper floors and accommodation in the loft space </w:t>
            </w:r>
            <w:r>
              <w:rPr>
                <w:rFonts w:cs="Arial"/>
              </w:rPr>
              <w:t xml:space="preserve">semi-detached </w:t>
            </w:r>
            <w:r w:rsidR="008434F9">
              <w:rPr>
                <w:rFonts w:cs="Arial"/>
              </w:rPr>
              <w:t xml:space="preserve">property on the east side of King Henry’s Road. The building comprises a number of self-contained flats. </w:t>
            </w:r>
          </w:p>
          <w:p w:rsidR="00F87CD9" w:rsidRDefault="00F87CD9">
            <w:pPr>
              <w:rPr>
                <w:rFonts w:cs="Arial"/>
              </w:rPr>
            </w:pPr>
            <w:r>
              <w:rPr>
                <w:rFonts w:cs="Arial"/>
              </w:rPr>
              <w:t xml:space="preserve">The lower ground floor flat (application premises) is accessed via a narrow passage to the side of the </w:t>
            </w:r>
            <w:r w:rsidR="00066070">
              <w:rPr>
                <w:rFonts w:cs="Arial"/>
              </w:rPr>
              <w:t>building to</w:t>
            </w:r>
            <w:r w:rsidR="00A4124C">
              <w:rPr>
                <w:rFonts w:cs="Arial"/>
              </w:rPr>
              <w:t xml:space="preserve"> a door in the side elevation and further along to the rear garden.  </w:t>
            </w:r>
            <w:r>
              <w:rPr>
                <w:rFonts w:cs="Arial"/>
              </w:rPr>
              <w:t xml:space="preserve">  </w:t>
            </w:r>
          </w:p>
          <w:p w:rsidR="008434F9" w:rsidRDefault="00F87CD9">
            <w:pPr>
              <w:rPr>
                <w:rFonts w:cs="Arial"/>
              </w:rPr>
            </w:pPr>
            <w:r>
              <w:rPr>
                <w:rFonts w:cs="Arial"/>
              </w:rPr>
              <w:t>The property is located in the Elsworthy Conservation Area.</w:t>
            </w:r>
          </w:p>
        </w:tc>
      </w:tr>
      <w:tr w:rsidR="003B4AC7">
        <w:trPr>
          <w:trHeight w:val="273"/>
        </w:trPr>
        <w:tc>
          <w:tcPr>
            <w:tcW w:w="11057" w:type="dxa"/>
            <w:tcBorders>
              <w:left w:val="single" w:sz="12" w:space="0" w:color="auto"/>
              <w:right w:val="single" w:sz="12" w:space="0" w:color="auto"/>
            </w:tcBorders>
            <w:shd w:val="clear" w:color="auto" w:fill="000000"/>
            <w:vAlign w:val="center"/>
          </w:tcPr>
          <w:p w:rsidR="003B4AC7" w:rsidRDefault="003B4AC7">
            <w:pPr>
              <w:pStyle w:val="Heading2"/>
              <w:rPr>
                <w:rFonts w:cs="Arial"/>
                <w:b w:val="0"/>
              </w:rPr>
            </w:pPr>
            <w:r>
              <w:rPr>
                <w:rFonts w:cs="Arial"/>
                <w:color w:val="FFFFFF"/>
                <w:highlight w:val="black"/>
              </w:rPr>
              <w:t>Relevant History</w:t>
            </w:r>
          </w:p>
        </w:tc>
      </w:tr>
      <w:tr w:rsidR="003B4AC7" w:rsidTr="003B4AC7">
        <w:trPr>
          <w:trHeight w:val="1007"/>
        </w:trPr>
        <w:tc>
          <w:tcPr>
            <w:tcW w:w="11057" w:type="dxa"/>
            <w:tcBorders>
              <w:left w:val="single" w:sz="12" w:space="0" w:color="auto"/>
              <w:bottom w:val="single" w:sz="4" w:space="0" w:color="auto"/>
              <w:right w:val="single" w:sz="12" w:space="0" w:color="auto"/>
            </w:tcBorders>
          </w:tcPr>
          <w:p w:rsidR="00CC0B1C" w:rsidRPr="00CC0B1C" w:rsidRDefault="00CC0B1C" w:rsidP="00CC0B1C">
            <w:pPr>
              <w:rPr>
                <w:rFonts w:cs="Arial"/>
              </w:rPr>
            </w:pPr>
            <w:r w:rsidRPr="00CC0B1C">
              <w:rPr>
                <w:rFonts w:cs="Arial"/>
                <w:b/>
              </w:rPr>
              <w:t>8600838</w:t>
            </w:r>
            <w:r>
              <w:rPr>
                <w:rFonts w:cs="Arial"/>
                <w:b/>
              </w:rPr>
              <w:t xml:space="preserve"> </w:t>
            </w:r>
            <w:r w:rsidRPr="00CC0B1C">
              <w:rPr>
                <w:rFonts w:cs="Arial"/>
              </w:rPr>
              <w:t>– Planning permission for: change of use and works of conversion  including second</w:t>
            </w:r>
          </w:p>
          <w:p w:rsidR="00CC0B1C" w:rsidRDefault="00CC0B1C" w:rsidP="00CC0B1C">
            <w:pPr>
              <w:rPr>
                <w:rFonts w:cs="Arial"/>
              </w:rPr>
            </w:pPr>
            <w:r w:rsidRPr="00CC0B1C">
              <w:rPr>
                <w:rFonts w:cs="Arial"/>
              </w:rPr>
              <w:t>floor side extension and roof terrace at the rear  to provide two self-contained maisonettes  and one self- contained flat  as shown on drawing No.76/82/6 13 14 &amp; 15 and 72/86/13 &amp; 16.</w:t>
            </w:r>
            <w:r>
              <w:rPr>
                <w:rFonts w:cs="Arial"/>
              </w:rPr>
              <w:t xml:space="preserve"> </w:t>
            </w:r>
            <w:r w:rsidRPr="00CC0B1C">
              <w:rPr>
                <w:rFonts w:cs="Arial"/>
                <w:b/>
              </w:rPr>
              <w:t>Granted</w:t>
            </w:r>
            <w:r>
              <w:rPr>
                <w:rFonts w:cs="Arial"/>
              </w:rPr>
              <w:t xml:space="preserve"> on 16/07/1986</w:t>
            </w:r>
          </w:p>
          <w:p w:rsidR="00CC0B1C" w:rsidRDefault="00CC0B1C" w:rsidP="00CC0B1C">
            <w:pPr>
              <w:rPr>
                <w:rFonts w:cs="Arial"/>
              </w:rPr>
            </w:pPr>
          </w:p>
          <w:p w:rsidR="00CC0B1C" w:rsidRDefault="00CC0B1C" w:rsidP="00CC0B1C">
            <w:pPr>
              <w:rPr>
                <w:rFonts w:cs="Arial"/>
                <w:b/>
                <w:u w:val="single"/>
              </w:rPr>
            </w:pPr>
            <w:r w:rsidRPr="00594042">
              <w:rPr>
                <w:rFonts w:cs="Arial"/>
                <w:b/>
                <w:u w:val="single"/>
              </w:rPr>
              <w:t>Neighbouring Sites</w:t>
            </w:r>
          </w:p>
          <w:p w:rsidR="00594042" w:rsidRPr="00594042" w:rsidRDefault="00594042" w:rsidP="00CC0B1C">
            <w:pPr>
              <w:rPr>
                <w:rFonts w:cs="Arial"/>
                <w:b/>
                <w:u w:val="single"/>
              </w:rPr>
            </w:pPr>
          </w:p>
          <w:p w:rsidR="00594042" w:rsidRPr="00594042" w:rsidRDefault="00594042" w:rsidP="00CC0B1C">
            <w:pPr>
              <w:rPr>
                <w:rFonts w:cs="Arial"/>
              </w:rPr>
            </w:pPr>
            <w:r w:rsidRPr="00594042">
              <w:rPr>
                <w:rFonts w:cs="Arial"/>
                <w:b/>
              </w:rPr>
              <w:t>2010/1405/P</w:t>
            </w:r>
            <w:r w:rsidRPr="00594042">
              <w:rPr>
                <w:rFonts w:cs="Arial"/>
              </w:rPr>
              <w:t xml:space="preserve"> </w:t>
            </w:r>
            <w:r>
              <w:rPr>
                <w:rFonts w:cs="Arial"/>
              </w:rPr>
              <w:t>–</w:t>
            </w:r>
            <w:r w:rsidRPr="00594042">
              <w:rPr>
                <w:rFonts w:cs="Arial"/>
              </w:rPr>
              <w:t xml:space="preserve"> </w:t>
            </w:r>
            <w:r>
              <w:rPr>
                <w:rFonts w:cs="Arial"/>
              </w:rPr>
              <w:t xml:space="preserve">Planning permission for: </w:t>
            </w:r>
            <w:r w:rsidRPr="00594042">
              <w:rPr>
                <w:rFonts w:cs="Arial"/>
              </w:rPr>
              <w:t>Erection of single storey, ground floor rear extension to residential flat (Class C3).</w:t>
            </w:r>
            <w:r>
              <w:rPr>
                <w:rFonts w:cs="Arial"/>
              </w:rPr>
              <w:t xml:space="preserve"> </w:t>
            </w:r>
            <w:r w:rsidRPr="00594042">
              <w:rPr>
                <w:rFonts w:cs="Arial"/>
                <w:b/>
              </w:rPr>
              <w:t>Granted</w:t>
            </w:r>
            <w:r>
              <w:rPr>
                <w:rFonts w:cs="Arial"/>
              </w:rPr>
              <w:t xml:space="preserve"> on </w:t>
            </w:r>
            <w:r w:rsidRPr="00594042">
              <w:rPr>
                <w:rFonts w:cs="Arial"/>
              </w:rPr>
              <w:t>17/05/2010</w:t>
            </w:r>
          </w:p>
          <w:p w:rsidR="00CC0B1C" w:rsidRDefault="00CC0B1C">
            <w:pPr>
              <w:rPr>
                <w:rFonts w:cs="Arial"/>
                <w:b/>
              </w:rPr>
            </w:pPr>
          </w:p>
          <w:p w:rsidR="00F2354E" w:rsidRPr="00F2354E" w:rsidRDefault="00F2354E">
            <w:pPr>
              <w:rPr>
                <w:rFonts w:cs="Arial"/>
                <w:b/>
              </w:rPr>
            </w:pPr>
            <w:r w:rsidRPr="00F2354E">
              <w:rPr>
                <w:rFonts w:cs="Arial"/>
                <w:b/>
              </w:rPr>
              <w:t>121 King Henry</w:t>
            </w:r>
            <w:r>
              <w:rPr>
                <w:rFonts w:cs="Arial"/>
                <w:b/>
              </w:rPr>
              <w:t>’</w:t>
            </w:r>
            <w:r w:rsidRPr="00F2354E">
              <w:rPr>
                <w:rFonts w:cs="Arial"/>
                <w:b/>
              </w:rPr>
              <w:t>s Road  NW3</w:t>
            </w:r>
          </w:p>
          <w:p w:rsidR="00CE7964" w:rsidRDefault="00CE7964">
            <w:pPr>
              <w:rPr>
                <w:rFonts w:cs="Arial"/>
              </w:rPr>
            </w:pPr>
            <w:r w:rsidRPr="00CE7964">
              <w:rPr>
                <w:rFonts w:cs="Arial"/>
              </w:rPr>
              <w:t>5/09/1994</w:t>
            </w:r>
            <w:r>
              <w:rPr>
                <w:rFonts w:cs="Arial"/>
              </w:rPr>
              <w:t xml:space="preserve"> (</w:t>
            </w:r>
            <w:r w:rsidRPr="00CE7964">
              <w:rPr>
                <w:rFonts w:cs="Arial"/>
              </w:rPr>
              <w:t>9400620</w:t>
            </w:r>
            <w:r>
              <w:rPr>
                <w:rFonts w:cs="Arial"/>
              </w:rPr>
              <w:t>)</w:t>
            </w:r>
            <w:r w:rsidR="00F2354E">
              <w:rPr>
                <w:rFonts w:cs="Arial"/>
              </w:rPr>
              <w:t xml:space="preserve"> Approved </w:t>
            </w:r>
          </w:p>
          <w:p w:rsidR="00CE7964" w:rsidRPr="00CE7964" w:rsidRDefault="00CE7964" w:rsidP="00CE7964">
            <w:pPr>
              <w:rPr>
                <w:rFonts w:cs="Arial"/>
              </w:rPr>
            </w:pPr>
            <w:r w:rsidRPr="00CE7964">
              <w:rPr>
                <w:rFonts w:cs="Arial"/>
              </w:rPr>
              <w:t>Works to form a 3-bedroom flat at lower ground floor</w:t>
            </w:r>
            <w:r w:rsidR="00F2354E">
              <w:rPr>
                <w:rFonts w:cs="Arial"/>
              </w:rPr>
              <w:t xml:space="preserve"> </w:t>
            </w:r>
            <w:r w:rsidRPr="00CE7964">
              <w:rPr>
                <w:rFonts w:cs="Arial"/>
              </w:rPr>
              <w:t>level and a 2-bedroom flat at ground floor level</w:t>
            </w:r>
          </w:p>
          <w:p w:rsidR="003B4AC7" w:rsidRDefault="00CE7964" w:rsidP="00CE7964">
            <w:pPr>
              <w:rPr>
                <w:rFonts w:cs="Arial"/>
              </w:rPr>
            </w:pPr>
            <w:r w:rsidRPr="00CE7964">
              <w:rPr>
                <w:rFonts w:cs="Arial"/>
              </w:rPr>
              <w:t>including the erection of a single storey rear extension</w:t>
            </w:r>
            <w:r w:rsidR="00F2354E">
              <w:rPr>
                <w:rFonts w:cs="Arial"/>
              </w:rPr>
              <w:t xml:space="preserve"> </w:t>
            </w:r>
            <w:r w:rsidRPr="00CE7964">
              <w:rPr>
                <w:rFonts w:cs="Arial"/>
              </w:rPr>
              <w:t>and two-storey side extension</w:t>
            </w:r>
            <w:r>
              <w:rPr>
                <w:rFonts w:cs="Arial"/>
              </w:rPr>
              <w:t xml:space="preserve"> </w:t>
            </w:r>
          </w:p>
          <w:p w:rsidR="00F2354E" w:rsidRDefault="00F2354E" w:rsidP="00CE7964">
            <w:pPr>
              <w:rPr>
                <w:rFonts w:cs="Arial"/>
              </w:rPr>
            </w:pPr>
          </w:p>
          <w:p w:rsidR="00F2354E" w:rsidRDefault="00F2354E" w:rsidP="00CE7964">
            <w:pPr>
              <w:rPr>
                <w:rFonts w:cs="Arial"/>
                <w:b/>
              </w:rPr>
            </w:pPr>
            <w:r w:rsidRPr="00F2354E">
              <w:rPr>
                <w:rFonts w:cs="Arial"/>
                <w:b/>
              </w:rPr>
              <w:t>123A King Henry’s Road</w:t>
            </w:r>
          </w:p>
          <w:p w:rsidR="00F2354E" w:rsidRDefault="00F2354E" w:rsidP="00CE7964">
            <w:pPr>
              <w:rPr>
                <w:rFonts w:cs="Arial"/>
              </w:rPr>
            </w:pPr>
            <w:r w:rsidRPr="00F2354E">
              <w:rPr>
                <w:rFonts w:cs="Arial"/>
              </w:rPr>
              <w:t>04/06/2001</w:t>
            </w:r>
            <w:r>
              <w:rPr>
                <w:rFonts w:cs="Arial"/>
              </w:rPr>
              <w:t xml:space="preserve"> (</w:t>
            </w:r>
            <w:r w:rsidRPr="00F2354E">
              <w:rPr>
                <w:rFonts w:cs="Arial"/>
              </w:rPr>
              <w:t>PEX0000972</w:t>
            </w:r>
            <w:r>
              <w:rPr>
                <w:rFonts w:cs="Arial"/>
              </w:rPr>
              <w:t>) Approved</w:t>
            </w:r>
          </w:p>
          <w:p w:rsidR="00F2354E" w:rsidRPr="00F2354E" w:rsidRDefault="00F2354E" w:rsidP="00F2354E">
            <w:pPr>
              <w:rPr>
                <w:rFonts w:cs="Arial"/>
              </w:rPr>
            </w:pPr>
            <w:r w:rsidRPr="00F2354E">
              <w:rPr>
                <w:rFonts w:cs="Arial"/>
              </w:rPr>
              <w:t>The erection of a single storey infill conservatory</w:t>
            </w:r>
            <w:r>
              <w:rPr>
                <w:rFonts w:cs="Arial"/>
              </w:rPr>
              <w:t xml:space="preserve"> </w:t>
            </w:r>
            <w:r w:rsidRPr="00F2354E">
              <w:rPr>
                <w:rFonts w:cs="Arial"/>
              </w:rPr>
              <w:t>extension with glazed roof on the east elevation</w:t>
            </w:r>
          </w:p>
          <w:p w:rsidR="00F2354E" w:rsidRPr="00F2354E" w:rsidRDefault="00F2354E" w:rsidP="00CE7964">
            <w:pPr>
              <w:rPr>
                <w:rFonts w:cs="Arial"/>
              </w:rPr>
            </w:pPr>
          </w:p>
        </w:tc>
      </w:tr>
      <w:tr w:rsidR="003B4AC7">
        <w:trPr>
          <w:trHeight w:val="300"/>
        </w:trPr>
        <w:tc>
          <w:tcPr>
            <w:tcW w:w="11057" w:type="dxa"/>
            <w:tcBorders>
              <w:left w:val="single" w:sz="12" w:space="0" w:color="auto"/>
              <w:right w:val="single" w:sz="12" w:space="0" w:color="auto"/>
            </w:tcBorders>
            <w:shd w:val="clear" w:color="auto" w:fill="000000"/>
            <w:vAlign w:val="center"/>
          </w:tcPr>
          <w:p w:rsidR="003B4AC7" w:rsidRDefault="003B4AC7">
            <w:pPr>
              <w:pStyle w:val="Heading2"/>
              <w:rPr>
                <w:rFonts w:cs="Arial"/>
              </w:rPr>
            </w:pPr>
            <w:r>
              <w:rPr>
                <w:rFonts w:cs="Arial"/>
                <w:color w:val="FFFFFF"/>
                <w:highlight w:val="black"/>
              </w:rPr>
              <w:t>Relevant policies</w:t>
            </w:r>
          </w:p>
        </w:tc>
      </w:tr>
      <w:tr w:rsidR="003B4AC7" w:rsidTr="00F87CD9">
        <w:trPr>
          <w:trHeight w:val="3622"/>
        </w:trPr>
        <w:tc>
          <w:tcPr>
            <w:tcW w:w="11057" w:type="dxa"/>
            <w:tcBorders>
              <w:left w:val="single" w:sz="12" w:space="0" w:color="auto"/>
              <w:bottom w:val="single" w:sz="4" w:space="0" w:color="auto"/>
              <w:right w:val="single" w:sz="12" w:space="0" w:color="auto"/>
            </w:tcBorders>
          </w:tcPr>
          <w:p w:rsidR="00922519" w:rsidRPr="00922519" w:rsidRDefault="00922519" w:rsidP="00922519">
            <w:pPr>
              <w:rPr>
                <w:rFonts w:cs="Arial"/>
                <w:b/>
              </w:rPr>
            </w:pPr>
            <w:r w:rsidRPr="00922519">
              <w:rPr>
                <w:rFonts w:cs="Arial"/>
                <w:b/>
              </w:rPr>
              <w:t xml:space="preserve">NPPF 2012 </w:t>
            </w:r>
          </w:p>
          <w:p w:rsidR="00922519" w:rsidRDefault="00922519" w:rsidP="00922519">
            <w:pPr>
              <w:rPr>
                <w:rFonts w:cs="Arial"/>
                <w:b/>
              </w:rPr>
            </w:pPr>
            <w:r w:rsidRPr="00922519">
              <w:rPr>
                <w:rFonts w:cs="Arial"/>
                <w:b/>
              </w:rPr>
              <w:t xml:space="preserve">The London Plan 2011 </w:t>
            </w:r>
          </w:p>
          <w:p w:rsidR="00BA123E" w:rsidRPr="00922519" w:rsidRDefault="00BA123E" w:rsidP="00922519">
            <w:pPr>
              <w:rPr>
                <w:rFonts w:cs="Arial"/>
                <w:b/>
              </w:rPr>
            </w:pPr>
          </w:p>
          <w:p w:rsidR="00922519" w:rsidRPr="00BA123E" w:rsidRDefault="00922519" w:rsidP="00922519">
            <w:pPr>
              <w:rPr>
                <w:rFonts w:cs="Arial"/>
                <w:b/>
              </w:rPr>
            </w:pPr>
            <w:r w:rsidRPr="00BA123E">
              <w:rPr>
                <w:rFonts w:cs="Arial"/>
                <w:b/>
              </w:rPr>
              <w:t xml:space="preserve">Local Development Framework – Core Strategy and Development Policies 2010 </w:t>
            </w:r>
          </w:p>
          <w:p w:rsidR="00922519" w:rsidRPr="00BA123E" w:rsidRDefault="00922519" w:rsidP="00922519">
            <w:pPr>
              <w:rPr>
                <w:rFonts w:cs="Arial"/>
              </w:rPr>
            </w:pPr>
            <w:r w:rsidRPr="00BA123E">
              <w:rPr>
                <w:rFonts w:cs="Arial"/>
              </w:rPr>
              <w:t xml:space="preserve">CS5 (Managing the impact of growth and development)  </w:t>
            </w:r>
          </w:p>
          <w:p w:rsidR="00922519" w:rsidRPr="00BA123E" w:rsidRDefault="00922519" w:rsidP="00922519">
            <w:pPr>
              <w:rPr>
                <w:rFonts w:cs="Arial"/>
              </w:rPr>
            </w:pPr>
            <w:r w:rsidRPr="00BA123E">
              <w:rPr>
                <w:rFonts w:cs="Arial"/>
              </w:rPr>
              <w:t xml:space="preserve">CS14 (Promoting high quality places and conserving our heritage)  </w:t>
            </w:r>
          </w:p>
          <w:p w:rsidR="00BA123E" w:rsidRPr="00BA123E" w:rsidRDefault="00BA123E" w:rsidP="00922519">
            <w:pPr>
              <w:rPr>
                <w:rFonts w:cs="Arial"/>
              </w:rPr>
            </w:pPr>
          </w:p>
          <w:p w:rsidR="00922519" w:rsidRPr="00BA123E" w:rsidRDefault="00922519" w:rsidP="00922519">
            <w:pPr>
              <w:rPr>
                <w:rFonts w:cs="Arial"/>
              </w:rPr>
            </w:pPr>
            <w:r w:rsidRPr="00BA123E">
              <w:rPr>
                <w:rFonts w:cs="Arial"/>
              </w:rPr>
              <w:t xml:space="preserve">DP24 (Securing high quality design)  </w:t>
            </w:r>
          </w:p>
          <w:p w:rsidR="00922519" w:rsidRPr="00BA123E" w:rsidRDefault="00922519" w:rsidP="00922519">
            <w:pPr>
              <w:rPr>
                <w:rFonts w:cs="Arial"/>
              </w:rPr>
            </w:pPr>
            <w:r w:rsidRPr="00BA123E">
              <w:rPr>
                <w:rFonts w:cs="Arial"/>
              </w:rPr>
              <w:t xml:space="preserve">DP25 (Conserving Camden’s heritage) </w:t>
            </w:r>
          </w:p>
          <w:p w:rsidR="00922519" w:rsidRPr="00BA123E" w:rsidRDefault="00922519" w:rsidP="00922519">
            <w:pPr>
              <w:rPr>
                <w:rFonts w:cs="Arial"/>
              </w:rPr>
            </w:pPr>
            <w:r w:rsidRPr="00BA123E">
              <w:rPr>
                <w:rFonts w:cs="Arial"/>
              </w:rPr>
              <w:t xml:space="preserve">DP26 (Managing the impact of development on occupiers and neighbours  </w:t>
            </w:r>
          </w:p>
          <w:p w:rsidR="00BA123E" w:rsidRPr="00922519" w:rsidRDefault="00BA123E" w:rsidP="00922519">
            <w:pPr>
              <w:rPr>
                <w:rFonts w:cs="Arial"/>
                <w:b/>
              </w:rPr>
            </w:pPr>
          </w:p>
          <w:p w:rsidR="00922519" w:rsidRPr="00BA123E" w:rsidRDefault="00922519" w:rsidP="00922519">
            <w:pPr>
              <w:rPr>
                <w:rFonts w:cs="Arial"/>
              </w:rPr>
            </w:pPr>
            <w:r w:rsidRPr="00BA123E">
              <w:rPr>
                <w:rFonts w:cs="Arial"/>
              </w:rPr>
              <w:t xml:space="preserve">Camden Planning Guidance </w:t>
            </w:r>
            <w:r w:rsidR="00BA123E" w:rsidRPr="00BA123E">
              <w:rPr>
                <w:rFonts w:cs="Arial"/>
              </w:rPr>
              <w:t>2013</w:t>
            </w:r>
          </w:p>
          <w:p w:rsidR="00BA123E" w:rsidRPr="00BA123E" w:rsidRDefault="00BA123E" w:rsidP="00922519">
            <w:pPr>
              <w:rPr>
                <w:rFonts w:cs="Arial"/>
              </w:rPr>
            </w:pPr>
          </w:p>
          <w:p w:rsidR="00922519" w:rsidRPr="00BA123E" w:rsidRDefault="00922519" w:rsidP="00922519">
            <w:pPr>
              <w:rPr>
                <w:rFonts w:cs="Arial"/>
              </w:rPr>
            </w:pPr>
            <w:r w:rsidRPr="00BA123E">
              <w:rPr>
                <w:rFonts w:cs="Arial"/>
              </w:rPr>
              <w:t xml:space="preserve">CPG 1 Design </w:t>
            </w:r>
          </w:p>
          <w:p w:rsidR="00922519" w:rsidRPr="00BA123E" w:rsidRDefault="00922519" w:rsidP="00922519">
            <w:pPr>
              <w:rPr>
                <w:rFonts w:cs="Arial"/>
              </w:rPr>
            </w:pPr>
            <w:r w:rsidRPr="00BA123E">
              <w:rPr>
                <w:rFonts w:cs="Arial"/>
              </w:rPr>
              <w:t xml:space="preserve">CPG6 Amenity </w:t>
            </w:r>
          </w:p>
          <w:p w:rsidR="00BA123E" w:rsidRPr="00922519" w:rsidRDefault="00BA123E" w:rsidP="00922519">
            <w:pPr>
              <w:rPr>
                <w:rFonts w:cs="Arial"/>
                <w:b/>
              </w:rPr>
            </w:pPr>
          </w:p>
          <w:p w:rsidR="003B4AC7" w:rsidRPr="003B4AC7" w:rsidRDefault="00922519" w:rsidP="00922519">
            <w:pPr>
              <w:rPr>
                <w:b/>
              </w:rPr>
            </w:pPr>
            <w:r w:rsidRPr="00922519">
              <w:rPr>
                <w:rFonts w:cs="Arial"/>
                <w:b/>
              </w:rPr>
              <w:t xml:space="preserve">Elsworthy conservation area appraisal and management strategy  2009 </w:t>
            </w:r>
          </w:p>
        </w:tc>
      </w:tr>
      <w:tr w:rsidR="003B4AC7">
        <w:trPr>
          <w:trHeight w:val="360"/>
        </w:trPr>
        <w:tc>
          <w:tcPr>
            <w:tcW w:w="11057" w:type="dxa"/>
            <w:tcBorders>
              <w:left w:val="single" w:sz="12" w:space="0" w:color="auto"/>
              <w:right w:val="single" w:sz="12" w:space="0" w:color="auto"/>
            </w:tcBorders>
            <w:shd w:val="clear" w:color="auto" w:fill="000000"/>
            <w:vAlign w:val="center"/>
          </w:tcPr>
          <w:p w:rsidR="003B4AC7" w:rsidRDefault="003B4AC7">
            <w:pPr>
              <w:pStyle w:val="Heading2"/>
              <w:rPr>
                <w:rFonts w:cs="Arial"/>
                <w:highlight w:val="black"/>
              </w:rPr>
            </w:pPr>
            <w:r>
              <w:rPr>
                <w:rFonts w:cs="Arial"/>
                <w:color w:val="FFFFFF"/>
                <w:highlight w:val="black"/>
              </w:rPr>
              <w:t>Assessment</w:t>
            </w:r>
          </w:p>
        </w:tc>
      </w:tr>
      <w:tr w:rsidR="003B4AC7" w:rsidTr="003B4AC7">
        <w:trPr>
          <w:trHeight w:val="8000"/>
        </w:trPr>
        <w:tc>
          <w:tcPr>
            <w:tcW w:w="11057" w:type="dxa"/>
            <w:tcBorders>
              <w:left w:val="single" w:sz="12" w:space="0" w:color="auto"/>
              <w:bottom w:val="single" w:sz="12" w:space="0" w:color="auto"/>
              <w:right w:val="single" w:sz="12" w:space="0" w:color="auto"/>
            </w:tcBorders>
          </w:tcPr>
          <w:p w:rsidR="00BA123E" w:rsidRPr="00BA123E" w:rsidRDefault="00BA123E" w:rsidP="00BA123E">
            <w:pPr>
              <w:spacing w:after="240"/>
              <w:jc w:val="both"/>
              <w:rPr>
                <w:b/>
                <w:lang w:eastAsia="en-GB"/>
              </w:rPr>
            </w:pPr>
            <w:r w:rsidRPr="00BA123E">
              <w:rPr>
                <w:b/>
                <w:lang w:eastAsia="en-GB"/>
              </w:rPr>
              <w:t xml:space="preserve">1.0 </w:t>
            </w:r>
            <w:r w:rsidR="00340643">
              <w:rPr>
                <w:b/>
                <w:lang w:eastAsia="en-GB"/>
              </w:rPr>
              <w:t>Proposal</w:t>
            </w:r>
          </w:p>
          <w:p w:rsidR="00BA123E" w:rsidRDefault="00BA123E" w:rsidP="00BA123E">
            <w:pPr>
              <w:spacing w:after="240"/>
              <w:jc w:val="both"/>
              <w:rPr>
                <w:lang w:eastAsia="en-GB"/>
              </w:rPr>
            </w:pPr>
            <w:r>
              <w:rPr>
                <w:lang w:eastAsia="en-GB"/>
              </w:rPr>
              <w:t xml:space="preserve">1.1 Planning permission is sought for the erection of a single storey rear ground floor extension. </w:t>
            </w:r>
            <w:r w:rsidR="005B64FF">
              <w:rPr>
                <w:lang w:eastAsia="en-GB"/>
              </w:rPr>
              <w:t xml:space="preserve">The proposed fully glazed element, following the demolition of the existing bay window was revised following discussions with the agent and applicant. </w:t>
            </w:r>
            <w:r w:rsidR="00340643">
              <w:rPr>
                <w:lang w:eastAsia="en-GB"/>
              </w:rPr>
              <w:t xml:space="preserve">It’s </w:t>
            </w:r>
            <w:r w:rsidR="005B64FF">
              <w:rPr>
                <w:lang w:eastAsia="en-GB"/>
              </w:rPr>
              <w:t xml:space="preserve">now </w:t>
            </w:r>
            <w:r w:rsidR="00340643">
              <w:rPr>
                <w:lang w:eastAsia="en-GB"/>
              </w:rPr>
              <w:t xml:space="preserve">proposed to retain the existing bay window at lower-ground floor level and erect </w:t>
            </w:r>
            <w:r>
              <w:rPr>
                <w:lang w:eastAsia="en-GB"/>
              </w:rPr>
              <w:t xml:space="preserve">a rear extension projecting </w:t>
            </w:r>
            <w:r w:rsidR="00340643">
              <w:rPr>
                <w:lang w:eastAsia="en-GB"/>
              </w:rPr>
              <w:t xml:space="preserve">approximately </w:t>
            </w:r>
            <w:r w:rsidR="00004D20">
              <w:rPr>
                <w:lang w:eastAsia="en-GB"/>
              </w:rPr>
              <w:t>4.0</w:t>
            </w:r>
            <w:r w:rsidR="00340643">
              <w:rPr>
                <w:lang w:eastAsia="en-GB"/>
              </w:rPr>
              <w:t xml:space="preserve">m </w:t>
            </w:r>
            <w:r>
              <w:rPr>
                <w:lang w:eastAsia="en-GB"/>
              </w:rPr>
              <w:t>from the rear wall of the existing bay window</w:t>
            </w:r>
            <w:r w:rsidR="00004D20">
              <w:rPr>
                <w:lang w:eastAsia="en-GB"/>
              </w:rPr>
              <w:t xml:space="preserve"> (depth), 7.5m wide and 2.6m high</w:t>
            </w:r>
            <w:r>
              <w:rPr>
                <w:lang w:eastAsia="en-GB"/>
              </w:rPr>
              <w:t xml:space="preserve">. The extension would provide an enlarged kitchen and </w:t>
            </w:r>
            <w:r w:rsidR="00340643">
              <w:rPr>
                <w:lang w:eastAsia="en-GB"/>
              </w:rPr>
              <w:t>dining</w:t>
            </w:r>
            <w:r>
              <w:rPr>
                <w:lang w:eastAsia="en-GB"/>
              </w:rPr>
              <w:t xml:space="preserve"> room. It would feature a flat roof, mostly </w:t>
            </w:r>
            <w:r w:rsidR="00340643">
              <w:rPr>
                <w:lang w:eastAsia="en-GB"/>
              </w:rPr>
              <w:t>masonry</w:t>
            </w:r>
            <w:r>
              <w:rPr>
                <w:lang w:eastAsia="en-GB"/>
              </w:rPr>
              <w:t xml:space="preserve"> on the side part of the extension and </w:t>
            </w:r>
            <w:r w:rsidR="00340643">
              <w:rPr>
                <w:lang w:eastAsia="en-GB"/>
              </w:rPr>
              <w:t>retain the bay element towards the rear elevation</w:t>
            </w:r>
            <w:r>
              <w:rPr>
                <w:lang w:eastAsia="en-GB"/>
              </w:rPr>
              <w:t xml:space="preserve">. Materials would also be different for each part: matching brickwork for the side extension and </w:t>
            </w:r>
            <w:r w:rsidR="00FD07BF">
              <w:rPr>
                <w:lang w:eastAsia="en-GB"/>
              </w:rPr>
              <w:t>2 x rooflights above.</w:t>
            </w:r>
            <w:r>
              <w:rPr>
                <w:lang w:eastAsia="en-GB"/>
              </w:rPr>
              <w:t xml:space="preserve">   </w:t>
            </w:r>
          </w:p>
          <w:p w:rsidR="00BA123E" w:rsidRDefault="00BA123E" w:rsidP="00BA123E">
            <w:pPr>
              <w:spacing w:after="240"/>
              <w:jc w:val="both"/>
              <w:rPr>
                <w:lang w:eastAsia="en-GB"/>
              </w:rPr>
            </w:pPr>
            <w:r>
              <w:rPr>
                <w:lang w:eastAsia="en-GB"/>
              </w:rPr>
              <w:t xml:space="preserve">1.2 The proposal has been amended at officers’ request. The width </w:t>
            </w:r>
            <w:r w:rsidR="00FD07BF">
              <w:rPr>
                <w:lang w:eastAsia="en-GB"/>
              </w:rPr>
              <w:t xml:space="preserve">and depth </w:t>
            </w:r>
            <w:r>
              <w:rPr>
                <w:lang w:eastAsia="en-GB"/>
              </w:rPr>
              <w:t xml:space="preserve">of the extension </w:t>
            </w:r>
            <w:r w:rsidR="00FD07BF">
              <w:rPr>
                <w:lang w:eastAsia="en-GB"/>
              </w:rPr>
              <w:t>would remain the same. However, the design would be more sympathetic to the host building and as such would not detract from the conservation area.</w:t>
            </w:r>
          </w:p>
          <w:p w:rsidR="00BA123E" w:rsidRPr="00BA123E" w:rsidRDefault="00BA123E" w:rsidP="00BA123E">
            <w:pPr>
              <w:spacing w:after="240"/>
              <w:jc w:val="both"/>
              <w:rPr>
                <w:b/>
                <w:lang w:eastAsia="en-GB"/>
              </w:rPr>
            </w:pPr>
            <w:r w:rsidRPr="00BA123E">
              <w:rPr>
                <w:b/>
                <w:lang w:eastAsia="en-GB"/>
              </w:rPr>
              <w:t xml:space="preserve">2.0 Main planning issues </w:t>
            </w:r>
          </w:p>
          <w:p w:rsidR="00BA123E" w:rsidRDefault="00BA123E" w:rsidP="00BA123E">
            <w:pPr>
              <w:spacing w:after="240"/>
              <w:jc w:val="both"/>
              <w:rPr>
                <w:lang w:eastAsia="en-GB"/>
              </w:rPr>
            </w:pPr>
            <w:r>
              <w:rPr>
                <w:lang w:eastAsia="en-GB"/>
              </w:rPr>
              <w:t>2.1 The main issues for consideration are the impact of the proposal on the character and appearance of the buil</w:t>
            </w:r>
            <w:r w:rsidR="005B64FF">
              <w:rPr>
                <w:lang w:eastAsia="en-GB"/>
              </w:rPr>
              <w:t>ding and the conservation area</w:t>
            </w:r>
            <w:r>
              <w:rPr>
                <w:lang w:eastAsia="en-GB"/>
              </w:rPr>
              <w:t xml:space="preserve"> and its impact on the amenity of neighbours.  </w:t>
            </w:r>
          </w:p>
          <w:p w:rsidR="00BA123E" w:rsidRPr="00BA123E" w:rsidRDefault="00BA123E" w:rsidP="00BA123E">
            <w:pPr>
              <w:spacing w:after="240"/>
              <w:jc w:val="both"/>
              <w:rPr>
                <w:b/>
                <w:lang w:eastAsia="en-GB"/>
              </w:rPr>
            </w:pPr>
            <w:r w:rsidRPr="00BA123E">
              <w:rPr>
                <w:b/>
                <w:lang w:eastAsia="en-GB"/>
              </w:rPr>
              <w:t xml:space="preserve"> 3.0 Design and conservation  </w:t>
            </w:r>
          </w:p>
          <w:p w:rsidR="00BA123E" w:rsidRDefault="00BA123E" w:rsidP="00BA123E">
            <w:pPr>
              <w:spacing w:after="240"/>
              <w:jc w:val="both"/>
              <w:rPr>
                <w:lang w:eastAsia="en-GB"/>
              </w:rPr>
            </w:pPr>
            <w:r>
              <w:rPr>
                <w:lang w:eastAsia="en-GB"/>
              </w:rPr>
              <w:t xml:space="preserve"> 3.1 It is considered that the size, height and design of the proposed ground floor extension when compared to the bulk and scale of the building would ensure the extension appears subordinate to the main building and not </w:t>
            </w:r>
            <w:r w:rsidR="005B64FF">
              <w:rPr>
                <w:lang w:eastAsia="en-GB"/>
              </w:rPr>
              <w:t>be an</w:t>
            </w:r>
            <w:r>
              <w:rPr>
                <w:lang w:eastAsia="en-GB"/>
              </w:rPr>
              <w:t xml:space="preserve"> over dominant</w:t>
            </w:r>
            <w:r w:rsidR="005B64FF">
              <w:rPr>
                <w:lang w:eastAsia="en-GB"/>
              </w:rPr>
              <w:t xml:space="preserve"> addition</w:t>
            </w:r>
            <w:r>
              <w:rPr>
                <w:lang w:eastAsia="en-GB"/>
              </w:rPr>
              <w:t xml:space="preserve">, </w:t>
            </w:r>
            <w:r w:rsidR="005B64FF">
              <w:rPr>
                <w:lang w:eastAsia="en-GB"/>
              </w:rPr>
              <w:t xml:space="preserve">the proposed extension would not be a </w:t>
            </w:r>
            <w:r>
              <w:rPr>
                <w:lang w:eastAsia="en-GB"/>
              </w:rPr>
              <w:t xml:space="preserve">bulky </w:t>
            </w:r>
            <w:r w:rsidR="005B64FF">
              <w:rPr>
                <w:lang w:eastAsia="en-GB"/>
              </w:rPr>
              <w:t xml:space="preserve">nor would entail any </w:t>
            </w:r>
            <w:r>
              <w:rPr>
                <w:lang w:eastAsia="en-GB"/>
              </w:rPr>
              <w:t>incongruous feature</w:t>
            </w:r>
            <w:r w:rsidR="005B64FF">
              <w:rPr>
                <w:lang w:eastAsia="en-GB"/>
              </w:rPr>
              <w:t xml:space="preserve"> in terms of its design. </w:t>
            </w:r>
            <w:r>
              <w:rPr>
                <w:lang w:eastAsia="en-GB"/>
              </w:rPr>
              <w:t>The propos</w:t>
            </w:r>
            <w:r w:rsidR="005B64FF">
              <w:rPr>
                <w:lang w:eastAsia="en-GB"/>
              </w:rPr>
              <w:t>ed extension would be</w:t>
            </w:r>
            <w:r>
              <w:rPr>
                <w:lang w:eastAsia="en-GB"/>
              </w:rPr>
              <w:t xml:space="preserve"> located </w:t>
            </w:r>
            <w:r w:rsidR="005B64FF">
              <w:rPr>
                <w:lang w:eastAsia="en-GB"/>
              </w:rPr>
              <w:t xml:space="preserve">to </w:t>
            </w:r>
            <w:r>
              <w:rPr>
                <w:lang w:eastAsia="en-GB"/>
              </w:rPr>
              <w:t xml:space="preserve">the rear of the existing property, which means it will have no detrimental effect upon the street </w:t>
            </w:r>
            <w:r w:rsidR="005B64FF">
              <w:rPr>
                <w:lang w:eastAsia="en-GB"/>
              </w:rPr>
              <w:t xml:space="preserve">scene.  The extension would </w:t>
            </w:r>
            <w:r>
              <w:rPr>
                <w:lang w:eastAsia="en-GB"/>
              </w:rPr>
              <w:t xml:space="preserve">be </w:t>
            </w:r>
            <w:r w:rsidR="00FD07BF">
              <w:rPr>
                <w:lang w:eastAsia="en-GB"/>
              </w:rPr>
              <w:t xml:space="preserve">partially </w:t>
            </w:r>
            <w:r>
              <w:rPr>
                <w:lang w:eastAsia="en-GB"/>
              </w:rPr>
              <w:t>visible from the public realm</w:t>
            </w:r>
            <w:r w:rsidR="005B64FF">
              <w:rPr>
                <w:lang w:eastAsia="en-GB"/>
              </w:rPr>
              <w:t xml:space="preserve">. However, it’s considered that the extension would </w:t>
            </w:r>
            <w:r>
              <w:rPr>
                <w:lang w:eastAsia="en-GB"/>
              </w:rPr>
              <w:t xml:space="preserve">acceptable </w:t>
            </w:r>
            <w:r w:rsidR="00F016B9">
              <w:rPr>
                <w:lang w:eastAsia="en-GB"/>
              </w:rPr>
              <w:t xml:space="preserve">due to the retaining of the </w:t>
            </w:r>
            <w:r w:rsidR="00FD07BF">
              <w:rPr>
                <w:lang w:eastAsia="en-GB"/>
              </w:rPr>
              <w:t xml:space="preserve">architectural design </w:t>
            </w:r>
            <w:r w:rsidR="00F016B9">
              <w:rPr>
                <w:lang w:eastAsia="en-GB"/>
              </w:rPr>
              <w:t xml:space="preserve">of the </w:t>
            </w:r>
            <w:r w:rsidR="00FD07BF">
              <w:rPr>
                <w:lang w:eastAsia="en-GB"/>
              </w:rPr>
              <w:t xml:space="preserve">proposed extension </w:t>
            </w:r>
            <w:r w:rsidR="00F016B9">
              <w:rPr>
                <w:lang w:eastAsia="en-GB"/>
              </w:rPr>
              <w:t xml:space="preserve">which would incorporate </w:t>
            </w:r>
            <w:r w:rsidR="00FD07BF">
              <w:rPr>
                <w:lang w:eastAsia="en-GB"/>
              </w:rPr>
              <w:t>the bay win</w:t>
            </w:r>
            <w:r w:rsidR="00541A2F">
              <w:rPr>
                <w:lang w:eastAsia="en-GB"/>
              </w:rPr>
              <w:t>dow at lower ground floor level</w:t>
            </w:r>
            <w:r w:rsidR="00F016B9">
              <w:rPr>
                <w:lang w:eastAsia="en-GB"/>
              </w:rPr>
              <w:t>,</w:t>
            </w:r>
            <w:r w:rsidR="00541A2F">
              <w:rPr>
                <w:lang w:eastAsia="en-GB"/>
              </w:rPr>
              <w:t xml:space="preserve"> </w:t>
            </w:r>
            <w:r w:rsidR="00FD07BF">
              <w:rPr>
                <w:lang w:eastAsia="en-GB"/>
              </w:rPr>
              <w:t xml:space="preserve">similar </w:t>
            </w:r>
            <w:r w:rsidR="00541A2F">
              <w:rPr>
                <w:lang w:eastAsia="en-GB"/>
              </w:rPr>
              <w:t xml:space="preserve">in its </w:t>
            </w:r>
            <w:r w:rsidR="00FD07BF">
              <w:rPr>
                <w:lang w:eastAsia="en-GB"/>
              </w:rPr>
              <w:t>design with no. 119 King Henry’s Road.</w:t>
            </w:r>
          </w:p>
          <w:p w:rsidR="00BA123E" w:rsidRPr="00BA123E" w:rsidRDefault="00BA123E" w:rsidP="00BA123E">
            <w:pPr>
              <w:spacing w:after="240"/>
              <w:jc w:val="both"/>
              <w:rPr>
                <w:b/>
                <w:lang w:eastAsia="en-GB"/>
              </w:rPr>
            </w:pPr>
            <w:r w:rsidRPr="00BA123E">
              <w:rPr>
                <w:b/>
                <w:lang w:eastAsia="en-GB"/>
              </w:rPr>
              <w:t xml:space="preserve">4.0 Amenity </w:t>
            </w:r>
          </w:p>
          <w:p w:rsidR="00BA123E" w:rsidRDefault="00BA123E" w:rsidP="00BA123E">
            <w:pPr>
              <w:spacing w:after="240"/>
              <w:jc w:val="both"/>
              <w:rPr>
                <w:lang w:eastAsia="en-GB"/>
              </w:rPr>
            </w:pPr>
            <w:r>
              <w:rPr>
                <w:lang w:eastAsia="en-GB"/>
              </w:rPr>
              <w:t xml:space="preserve"> 4.1 </w:t>
            </w:r>
            <w:r w:rsidR="001E6139">
              <w:rPr>
                <w:lang w:eastAsia="en-GB"/>
              </w:rPr>
              <w:t>Concern</w:t>
            </w:r>
            <w:r w:rsidR="00685943">
              <w:rPr>
                <w:lang w:eastAsia="en-GB"/>
              </w:rPr>
              <w:t>s</w:t>
            </w:r>
            <w:r w:rsidR="001E6139">
              <w:rPr>
                <w:lang w:eastAsia="en-GB"/>
              </w:rPr>
              <w:t xml:space="preserve"> w</w:t>
            </w:r>
            <w:r w:rsidR="00685943">
              <w:rPr>
                <w:lang w:eastAsia="en-GB"/>
              </w:rPr>
              <w:t>ere</w:t>
            </w:r>
            <w:r w:rsidR="001E6139">
              <w:rPr>
                <w:lang w:eastAsia="en-GB"/>
              </w:rPr>
              <w:t xml:space="preserve"> raised in regards to the potential noise associate with the rear extension. However, the assessment was made prior to the revision of the proposed scheme. The proposed masonry used in the construction of the rear extension would limit the impact of noise pollution. Furthermore, the fully retractable door that was proposed has been revised which would provide a barrier with restricting </w:t>
            </w:r>
            <w:r w:rsidR="00541A2F">
              <w:rPr>
                <w:lang w:eastAsia="en-GB"/>
              </w:rPr>
              <w:t xml:space="preserve">the </w:t>
            </w:r>
            <w:r w:rsidR="001E6139">
              <w:rPr>
                <w:lang w:eastAsia="en-GB"/>
              </w:rPr>
              <w:t xml:space="preserve">noise generating impact. </w:t>
            </w:r>
          </w:p>
          <w:p w:rsidR="00BA123E" w:rsidRDefault="00BA123E" w:rsidP="00BA123E">
            <w:pPr>
              <w:spacing w:after="240"/>
              <w:jc w:val="both"/>
              <w:rPr>
                <w:lang w:eastAsia="en-GB"/>
              </w:rPr>
            </w:pPr>
            <w:r>
              <w:rPr>
                <w:lang w:eastAsia="en-GB"/>
              </w:rPr>
              <w:t xml:space="preserve"> </w:t>
            </w:r>
            <w:r w:rsidR="00685943">
              <w:rPr>
                <w:lang w:eastAsia="en-GB"/>
              </w:rPr>
              <w:t>4.2 Concern</w:t>
            </w:r>
            <w:r>
              <w:rPr>
                <w:lang w:eastAsia="en-GB"/>
              </w:rPr>
              <w:t xml:space="preserve"> ha</w:t>
            </w:r>
            <w:r w:rsidR="00685943">
              <w:rPr>
                <w:lang w:eastAsia="en-GB"/>
              </w:rPr>
              <w:t>s</w:t>
            </w:r>
            <w:r>
              <w:rPr>
                <w:lang w:eastAsia="en-GB"/>
              </w:rPr>
              <w:t xml:space="preserve"> been raised with regards to the </w:t>
            </w:r>
            <w:r w:rsidR="00685943">
              <w:rPr>
                <w:lang w:eastAsia="en-GB"/>
              </w:rPr>
              <w:t>smell from the proposed kitchen. However, the plans and elevation drawings are not annotated to show that a proposed flue would be erected. Furthermore, the application relates to a residential flat and not for a commercial unit, and as such, it is not anticipated that the proposed kitchen would give rise to unacceptable level of smells emitted into the neighbouring property due to its design, setting and use</w:t>
            </w:r>
            <w:r>
              <w:rPr>
                <w:lang w:eastAsia="en-GB"/>
              </w:rPr>
              <w:t xml:space="preserve">.  </w:t>
            </w:r>
          </w:p>
          <w:p w:rsidR="00BA123E" w:rsidRPr="00BA123E" w:rsidRDefault="00BA123E" w:rsidP="00BA123E">
            <w:pPr>
              <w:spacing w:after="240"/>
              <w:jc w:val="both"/>
              <w:rPr>
                <w:b/>
                <w:lang w:eastAsia="en-GB"/>
              </w:rPr>
            </w:pPr>
            <w:r w:rsidRPr="00BA123E">
              <w:rPr>
                <w:b/>
                <w:lang w:eastAsia="en-GB"/>
              </w:rPr>
              <w:t xml:space="preserve"> 5.0 Conclusion</w:t>
            </w:r>
          </w:p>
          <w:p w:rsidR="00BA123E" w:rsidRDefault="00BA123E" w:rsidP="00BA123E">
            <w:pPr>
              <w:spacing w:after="240"/>
              <w:jc w:val="both"/>
              <w:rPr>
                <w:lang w:eastAsia="en-GB"/>
              </w:rPr>
            </w:pPr>
            <w:r>
              <w:rPr>
                <w:lang w:eastAsia="en-GB"/>
              </w:rPr>
              <w:t xml:space="preserve"> 5.1 </w:t>
            </w:r>
            <w:r w:rsidR="002F5E59">
              <w:rPr>
                <w:lang w:eastAsia="en-GB"/>
              </w:rPr>
              <w:t>Overall, the development is considered to be acceptable in general design and amenity terms.  It is recommended that the application be granted conditional planning permission. The proposed extension is similar to a rear extension approved in 2010 for No. 119 King Henry’s Road while a number of other nearby properties have rear additions, and as such, would be difficult to refuse consent as the proposed design complements the host building and is identical in design to the neighbouring property.</w:t>
            </w:r>
          </w:p>
          <w:p w:rsidR="00066070" w:rsidRPr="00BA123E" w:rsidRDefault="00BA123E" w:rsidP="00BA123E">
            <w:pPr>
              <w:spacing w:after="240"/>
              <w:jc w:val="both"/>
              <w:rPr>
                <w:b/>
                <w:lang w:eastAsia="en-GB"/>
              </w:rPr>
            </w:pPr>
            <w:r w:rsidRPr="00BA123E">
              <w:rPr>
                <w:b/>
                <w:lang w:eastAsia="en-GB"/>
              </w:rPr>
              <w:t>6.0 Recommendation</w:t>
            </w:r>
          </w:p>
          <w:p w:rsidR="00F055AD" w:rsidRDefault="00BA123E" w:rsidP="00BA123E">
            <w:pPr>
              <w:spacing w:after="240"/>
              <w:jc w:val="both"/>
              <w:rPr>
                <w:lang w:eastAsia="en-GB"/>
              </w:rPr>
            </w:pPr>
            <w:r>
              <w:rPr>
                <w:lang w:eastAsia="en-GB"/>
              </w:rPr>
              <w:t xml:space="preserve">6.1 </w:t>
            </w:r>
            <w:r w:rsidR="00066070">
              <w:rPr>
                <w:lang w:eastAsia="en-GB"/>
              </w:rPr>
              <w:t xml:space="preserve">Approval with conditions    </w:t>
            </w:r>
          </w:p>
          <w:p w:rsidR="00655023" w:rsidRPr="00655023" w:rsidRDefault="00655023" w:rsidP="00655023">
            <w:pPr>
              <w:jc w:val="center"/>
              <w:rPr>
                <w:rFonts w:cs="Arial"/>
                <w:b/>
                <w:szCs w:val="22"/>
              </w:rPr>
            </w:pPr>
            <w:r w:rsidRPr="00655023">
              <w:rPr>
                <w:rFonts w:cs="Arial"/>
                <w:b/>
                <w:szCs w:val="22"/>
              </w:rPr>
              <w:t>DISCLAIMER</w:t>
            </w:r>
          </w:p>
          <w:p w:rsidR="00AE6500" w:rsidRPr="00A4124C" w:rsidRDefault="00655023" w:rsidP="00655023">
            <w:pPr>
              <w:tabs>
                <w:tab w:val="left" w:pos="290"/>
                <w:tab w:val="left" w:pos="560"/>
              </w:tabs>
              <w:jc w:val="center"/>
              <w:rPr>
                <w:rFonts w:cs="Arial"/>
                <w:color w:val="FFFFFF"/>
                <w:highlight w:val="darkBlue"/>
              </w:rPr>
            </w:pPr>
            <w:r w:rsidRPr="00655023">
              <w:rPr>
                <w:rFonts w:cs="Arial"/>
                <w:b/>
                <w:szCs w:val="22"/>
              </w:rPr>
              <w:t>Decision route to be decided by nominated members on Monday 3</w:t>
            </w:r>
            <w:r w:rsidRPr="00655023">
              <w:rPr>
                <w:rFonts w:cs="Arial"/>
                <w:b/>
                <w:szCs w:val="22"/>
                <w:vertAlign w:val="superscript"/>
              </w:rPr>
              <w:t>rd</w:t>
            </w:r>
            <w:r w:rsidRPr="00655023">
              <w:rPr>
                <w:rFonts w:cs="Arial"/>
                <w:b/>
                <w:szCs w:val="22"/>
              </w:rPr>
              <w:t xml:space="preserve"> November 2014.  For further information, please go to </w:t>
            </w:r>
            <w:hyperlink r:id="rId6" w:history="1">
              <w:r w:rsidRPr="00655023">
                <w:rPr>
                  <w:rFonts w:cs="Arial"/>
                  <w:b/>
                  <w:color w:val="0000FF"/>
                  <w:szCs w:val="22"/>
                  <w:u w:val="single"/>
                </w:rPr>
                <w:t>www.camden.gov.uk</w:t>
              </w:r>
            </w:hyperlink>
            <w:r w:rsidRPr="00655023">
              <w:rPr>
                <w:rFonts w:cs="Arial"/>
                <w:b/>
                <w:szCs w:val="22"/>
              </w:rPr>
              <w:t xml:space="preserve"> and search for ‘Members Briefing’.</w:t>
            </w:r>
            <w:bookmarkStart w:id="0" w:name="_GoBack"/>
            <w:bookmarkEnd w:id="0"/>
          </w:p>
        </w:tc>
      </w:tr>
    </w:tbl>
    <w:p w:rsidR="003B4AC7" w:rsidRDefault="003B4AC7">
      <w:pPr>
        <w:rPr>
          <w:rFonts w:cs="Arial"/>
        </w:rPr>
      </w:pPr>
    </w:p>
    <w:sectPr w:rsidR="003B4AC7">
      <w:pgSz w:w="11906" w:h="16838"/>
      <w:pgMar w:top="567" w:right="1797" w:bottom="284" w:left="179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47CC9"/>
    <w:multiLevelType w:val="hybridMultilevel"/>
    <w:tmpl w:val="D88E6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FF16852"/>
    <w:multiLevelType w:val="hybridMultilevel"/>
    <w:tmpl w:val="C6567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365357E"/>
    <w:multiLevelType w:val="hybridMultilevel"/>
    <w:tmpl w:val="D968EE48"/>
    <w:lvl w:ilvl="0" w:tplc="08090001">
      <w:start w:val="1"/>
      <w:numFmt w:val="bullet"/>
      <w:lvlText w:val=""/>
      <w:lvlJc w:val="left"/>
      <w:pPr>
        <w:ind w:left="1463" w:hanging="360"/>
      </w:pPr>
      <w:rPr>
        <w:rFonts w:ascii="Symbol" w:hAnsi="Symbol" w:hint="default"/>
      </w:rPr>
    </w:lvl>
    <w:lvl w:ilvl="1" w:tplc="08090003" w:tentative="1">
      <w:start w:val="1"/>
      <w:numFmt w:val="bullet"/>
      <w:lvlText w:val="o"/>
      <w:lvlJc w:val="left"/>
      <w:pPr>
        <w:ind w:left="2183" w:hanging="360"/>
      </w:pPr>
      <w:rPr>
        <w:rFonts w:ascii="Courier New" w:hAnsi="Courier New" w:cs="Courier New" w:hint="default"/>
      </w:rPr>
    </w:lvl>
    <w:lvl w:ilvl="2" w:tplc="08090005" w:tentative="1">
      <w:start w:val="1"/>
      <w:numFmt w:val="bullet"/>
      <w:lvlText w:val=""/>
      <w:lvlJc w:val="left"/>
      <w:pPr>
        <w:ind w:left="2903" w:hanging="360"/>
      </w:pPr>
      <w:rPr>
        <w:rFonts w:ascii="Wingdings" w:hAnsi="Wingdings" w:hint="default"/>
      </w:rPr>
    </w:lvl>
    <w:lvl w:ilvl="3" w:tplc="08090001" w:tentative="1">
      <w:start w:val="1"/>
      <w:numFmt w:val="bullet"/>
      <w:lvlText w:val=""/>
      <w:lvlJc w:val="left"/>
      <w:pPr>
        <w:ind w:left="3623" w:hanging="360"/>
      </w:pPr>
      <w:rPr>
        <w:rFonts w:ascii="Symbol" w:hAnsi="Symbol" w:hint="default"/>
      </w:rPr>
    </w:lvl>
    <w:lvl w:ilvl="4" w:tplc="08090003" w:tentative="1">
      <w:start w:val="1"/>
      <w:numFmt w:val="bullet"/>
      <w:lvlText w:val="o"/>
      <w:lvlJc w:val="left"/>
      <w:pPr>
        <w:ind w:left="4343" w:hanging="360"/>
      </w:pPr>
      <w:rPr>
        <w:rFonts w:ascii="Courier New" w:hAnsi="Courier New" w:cs="Courier New" w:hint="default"/>
      </w:rPr>
    </w:lvl>
    <w:lvl w:ilvl="5" w:tplc="08090005" w:tentative="1">
      <w:start w:val="1"/>
      <w:numFmt w:val="bullet"/>
      <w:lvlText w:val=""/>
      <w:lvlJc w:val="left"/>
      <w:pPr>
        <w:ind w:left="5063" w:hanging="360"/>
      </w:pPr>
      <w:rPr>
        <w:rFonts w:ascii="Wingdings" w:hAnsi="Wingdings" w:hint="default"/>
      </w:rPr>
    </w:lvl>
    <w:lvl w:ilvl="6" w:tplc="08090001" w:tentative="1">
      <w:start w:val="1"/>
      <w:numFmt w:val="bullet"/>
      <w:lvlText w:val=""/>
      <w:lvlJc w:val="left"/>
      <w:pPr>
        <w:ind w:left="5783" w:hanging="360"/>
      </w:pPr>
      <w:rPr>
        <w:rFonts w:ascii="Symbol" w:hAnsi="Symbol" w:hint="default"/>
      </w:rPr>
    </w:lvl>
    <w:lvl w:ilvl="7" w:tplc="08090003" w:tentative="1">
      <w:start w:val="1"/>
      <w:numFmt w:val="bullet"/>
      <w:lvlText w:val="o"/>
      <w:lvlJc w:val="left"/>
      <w:pPr>
        <w:ind w:left="6503" w:hanging="360"/>
      </w:pPr>
      <w:rPr>
        <w:rFonts w:ascii="Courier New" w:hAnsi="Courier New" w:cs="Courier New" w:hint="default"/>
      </w:rPr>
    </w:lvl>
    <w:lvl w:ilvl="8" w:tplc="08090005" w:tentative="1">
      <w:start w:val="1"/>
      <w:numFmt w:val="bullet"/>
      <w:lvlText w:val=""/>
      <w:lvlJc w:val="left"/>
      <w:pPr>
        <w:ind w:left="7223" w:hanging="360"/>
      </w:pPr>
      <w:rPr>
        <w:rFonts w:ascii="Wingdings" w:hAnsi="Wingdings" w:hint="default"/>
      </w:rPr>
    </w:lvl>
  </w:abstractNum>
  <w:abstractNum w:abstractNumId="3">
    <w:nsid w:val="52E43A7A"/>
    <w:multiLevelType w:val="hybridMultilevel"/>
    <w:tmpl w:val="E7F68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CB05CD8"/>
    <w:multiLevelType w:val="hybridMultilevel"/>
    <w:tmpl w:val="053AD7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7CAD47F0"/>
    <w:multiLevelType w:val="hybridMultilevel"/>
    <w:tmpl w:val="242C1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4AC7"/>
    <w:rsid w:val="00004D20"/>
    <w:rsid w:val="00006410"/>
    <w:rsid w:val="00066070"/>
    <w:rsid w:val="000C06BC"/>
    <w:rsid w:val="001232B7"/>
    <w:rsid w:val="001355CF"/>
    <w:rsid w:val="001A14E2"/>
    <w:rsid w:val="001E6139"/>
    <w:rsid w:val="00211637"/>
    <w:rsid w:val="002F5E59"/>
    <w:rsid w:val="00340643"/>
    <w:rsid w:val="0035107A"/>
    <w:rsid w:val="003B4AC7"/>
    <w:rsid w:val="00484B83"/>
    <w:rsid w:val="004C42A7"/>
    <w:rsid w:val="00541A2F"/>
    <w:rsid w:val="00594042"/>
    <w:rsid w:val="00597B3D"/>
    <w:rsid w:val="005B64FF"/>
    <w:rsid w:val="005C42FE"/>
    <w:rsid w:val="00655023"/>
    <w:rsid w:val="00685943"/>
    <w:rsid w:val="0071307D"/>
    <w:rsid w:val="00821B55"/>
    <w:rsid w:val="008434F9"/>
    <w:rsid w:val="009014BF"/>
    <w:rsid w:val="00922519"/>
    <w:rsid w:val="00970340"/>
    <w:rsid w:val="00995235"/>
    <w:rsid w:val="00A02CA5"/>
    <w:rsid w:val="00A4124C"/>
    <w:rsid w:val="00A71E00"/>
    <w:rsid w:val="00AE6500"/>
    <w:rsid w:val="00B1536D"/>
    <w:rsid w:val="00B5132A"/>
    <w:rsid w:val="00B95A3A"/>
    <w:rsid w:val="00BA123E"/>
    <w:rsid w:val="00BF6771"/>
    <w:rsid w:val="00C443EF"/>
    <w:rsid w:val="00C7453B"/>
    <w:rsid w:val="00CB779B"/>
    <w:rsid w:val="00CC0B1C"/>
    <w:rsid w:val="00CC2649"/>
    <w:rsid w:val="00CE7964"/>
    <w:rsid w:val="00D47849"/>
    <w:rsid w:val="00D81F89"/>
    <w:rsid w:val="00F016B9"/>
    <w:rsid w:val="00F055AD"/>
    <w:rsid w:val="00F06AFA"/>
    <w:rsid w:val="00F2354E"/>
    <w:rsid w:val="00F60DC7"/>
    <w:rsid w:val="00F87CD9"/>
    <w:rsid w:val="00FD07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szCs w:val="24"/>
      <w:lang w:eastAsia="en-US"/>
    </w:rPr>
  </w:style>
  <w:style w:type="paragraph" w:styleId="Heading1">
    <w:name w:val="heading 1"/>
    <w:basedOn w:val="Normal"/>
    <w:next w:val="Normal"/>
    <w:qFormat/>
    <w:pPr>
      <w:keepNext/>
      <w:outlineLvl w:val="0"/>
    </w:pPr>
    <w:rPr>
      <w:szCs w:val="20"/>
    </w:rPr>
  </w:style>
  <w:style w:type="paragraph" w:styleId="Heading2">
    <w:name w:val="heading 2"/>
    <w:basedOn w:val="Normal"/>
    <w:next w:val="Normal"/>
    <w:qFormat/>
    <w:pPr>
      <w:keepNext/>
      <w:outlineLvl w:val="1"/>
    </w:pPr>
    <w:rPr>
      <w:b/>
      <w:szCs w:val="20"/>
    </w:rPr>
  </w:style>
  <w:style w:type="paragraph" w:styleId="Heading3">
    <w:name w:val="heading 3"/>
    <w:basedOn w:val="Normal"/>
    <w:next w:val="Normal"/>
    <w:qFormat/>
    <w:pPr>
      <w:keepNext/>
      <w:outlineLvl w:val="2"/>
    </w:pPr>
    <w:rPr>
      <w:rFonts w:ascii="Comic Sans MS" w:hAnsi="Comic Sans MS" w:cs="Arial"/>
      <w:b/>
      <w:bCs/>
      <w:sz w:val="20"/>
    </w:rPr>
  </w:style>
  <w:style w:type="paragraph" w:styleId="Heading4">
    <w:name w:val="heading 4"/>
    <w:basedOn w:val="Normal"/>
    <w:next w:val="Normal"/>
    <w:qFormat/>
    <w:pPr>
      <w:keepNext/>
      <w:jc w:val="center"/>
      <w:outlineLvl w:val="3"/>
    </w:pPr>
    <w:rPr>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3B4AC7"/>
    <w:rPr>
      <w:i/>
      <w:iCs/>
    </w:rPr>
  </w:style>
  <w:style w:type="character" w:styleId="Strong">
    <w:name w:val="Strong"/>
    <w:qFormat/>
    <w:rsid w:val="003B4AC7"/>
    <w:rPr>
      <w:b/>
      <w:bCs/>
    </w:rPr>
  </w:style>
  <w:style w:type="paragraph" w:styleId="ListParagraph">
    <w:name w:val="List Paragraph"/>
    <w:basedOn w:val="Normal"/>
    <w:uiPriority w:val="34"/>
    <w:qFormat/>
    <w:rsid w:val="00B5132A"/>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8503999">
      <w:bodyDiv w:val="1"/>
      <w:marLeft w:val="0"/>
      <w:marRight w:val="0"/>
      <w:marTop w:val="0"/>
      <w:marBottom w:val="0"/>
      <w:divBdr>
        <w:top w:val="none" w:sz="0" w:space="0" w:color="auto"/>
        <w:left w:val="none" w:sz="0" w:space="0" w:color="auto"/>
        <w:bottom w:val="none" w:sz="0" w:space="0" w:color="auto"/>
        <w:right w:val="none" w:sz="0" w:space="0" w:color="auto"/>
      </w:divBdr>
      <w:divsChild>
        <w:div w:id="17854936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mden.gov.u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1175</Words>
  <Characters>6479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Delegated Report</vt:lpstr>
    </vt:vector>
  </TitlesOfParts>
  <Company>MVM Consultants plc</Company>
  <LinksUpToDate>false</LinksUpToDate>
  <CharactersWithSpaces>7639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Delegated Report</dc:title>
  <dc:subject/>
  <dc:creator>Administrator</dc:creator>
  <cp:keywords/>
  <cp:lastModifiedBy>Hope, Obote</cp:lastModifiedBy>
  <cp:revision>5</cp:revision>
  <dcterms:created xsi:type="dcterms:W3CDTF">2014-10-29T11:59:00Z</dcterms:created>
  <dcterms:modified xsi:type="dcterms:W3CDTF">2014-10-29T16:47:00Z</dcterms:modified>
</cp:coreProperties>
</file>