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33"/>
        <w:gridCol w:w="1286"/>
        <w:gridCol w:w="273"/>
        <w:gridCol w:w="284"/>
        <w:gridCol w:w="709"/>
        <w:gridCol w:w="425"/>
        <w:gridCol w:w="514"/>
        <w:gridCol w:w="1187"/>
        <w:gridCol w:w="142"/>
        <w:gridCol w:w="708"/>
        <w:gridCol w:w="851"/>
        <w:gridCol w:w="1247"/>
        <w:gridCol w:w="737"/>
      </w:tblGrid>
      <w:tr w:rsidR="00870B98" w:rsidTr="00870B98">
        <w:trPr>
          <w:cantSplit/>
          <w:trHeight w:val="330"/>
        </w:trPr>
        <w:tc>
          <w:tcPr>
            <w:tcW w:w="3980" w:type="dxa"/>
            <w:gridSpan w:val="3"/>
            <w:vMerge w:val="restart"/>
            <w:tcBorders>
              <w:top w:val="single" w:sz="12" w:space="0" w:color="auto"/>
              <w:left w:val="single" w:sz="12" w:space="0" w:color="auto"/>
              <w:bottom w:val="single" w:sz="2" w:space="0" w:color="auto"/>
              <w:right w:val="single" w:sz="4" w:space="0" w:color="auto"/>
            </w:tcBorders>
            <w:hideMark/>
          </w:tcPr>
          <w:p w:rsidR="00870B98" w:rsidRDefault="00870B98">
            <w:pPr>
              <w:pStyle w:val="Heading4"/>
              <w:jc w:val="left"/>
              <w:rPr>
                <w:rFonts w:cs="Arial"/>
                <w:szCs w:val="32"/>
              </w:rPr>
            </w:pPr>
            <w:bookmarkStart w:id="0" w:name="_GoBack"/>
            <w:bookmarkEnd w:id="0"/>
            <w:r>
              <w:rPr>
                <w:rFonts w:cs="Arial"/>
                <w:szCs w:val="32"/>
              </w:rPr>
              <w:t>Delegated Report</w:t>
            </w:r>
          </w:p>
        </w:tc>
        <w:tc>
          <w:tcPr>
            <w:tcW w:w="2205" w:type="dxa"/>
            <w:gridSpan w:val="5"/>
            <w:tcBorders>
              <w:top w:val="single" w:sz="12" w:space="0" w:color="auto"/>
              <w:left w:val="single" w:sz="4" w:space="0" w:color="auto"/>
              <w:bottom w:val="single" w:sz="4" w:space="0" w:color="auto"/>
              <w:right w:val="single" w:sz="4" w:space="0" w:color="auto"/>
            </w:tcBorders>
            <w:shd w:val="clear" w:color="auto" w:fill="000000"/>
            <w:vAlign w:val="center"/>
            <w:hideMark/>
          </w:tcPr>
          <w:p w:rsidR="00870B98" w:rsidRDefault="00870B98">
            <w:pPr>
              <w:pStyle w:val="Heading4"/>
              <w:jc w:val="left"/>
              <w:rPr>
                <w:rFonts w:cs="Arial"/>
                <w:sz w:val="20"/>
              </w:rPr>
            </w:pPr>
            <w:r>
              <w:rPr>
                <w:rFonts w:cs="Arial"/>
                <w:color w:val="FFFFFF"/>
                <w:sz w:val="20"/>
                <w:highlight w:val="black"/>
              </w:rPr>
              <w:t>Analysis sheet</w:t>
            </w:r>
          </w:p>
        </w:tc>
        <w:tc>
          <w:tcPr>
            <w:tcW w:w="1187" w:type="dxa"/>
            <w:tcBorders>
              <w:top w:val="single" w:sz="12" w:space="0" w:color="auto"/>
              <w:left w:val="single" w:sz="4" w:space="0" w:color="auto"/>
              <w:bottom w:val="single" w:sz="4" w:space="0" w:color="auto"/>
              <w:right w:val="single" w:sz="2" w:space="0" w:color="FFFFFF"/>
            </w:tcBorders>
            <w:shd w:val="clear" w:color="auto" w:fill="000000"/>
          </w:tcPr>
          <w:p w:rsidR="00870B98" w:rsidRDefault="00870B98">
            <w:pPr>
              <w:pStyle w:val="Heading4"/>
              <w:jc w:val="left"/>
              <w:rPr>
                <w:rFonts w:cs="Arial"/>
                <w:b w:val="0"/>
                <w:sz w:val="20"/>
                <w:highlight w:val="black"/>
              </w:rPr>
            </w:pPr>
          </w:p>
        </w:tc>
        <w:tc>
          <w:tcPr>
            <w:tcW w:w="1701" w:type="dxa"/>
            <w:gridSpan w:val="3"/>
            <w:tcBorders>
              <w:top w:val="single" w:sz="12" w:space="0" w:color="auto"/>
              <w:left w:val="single" w:sz="2" w:space="0" w:color="FFFFFF"/>
              <w:bottom w:val="single" w:sz="2" w:space="0" w:color="FFFFFF"/>
              <w:right w:val="single" w:sz="4" w:space="0" w:color="auto"/>
            </w:tcBorders>
            <w:shd w:val="clear" w:color="auto" w:fill="000000"/>
            <w:vAlign w:val="center"/>
            <w:hideMark/>
          </w:tcPr>
          <w:p w:rsidR="00870B98" w:rsidRDefault="00870B98">
            <w:pPr>
              <w:pStyle w:val="Heading4"/>
              <w:jc w:val="left"/>
              <w:rPr>
                <w:rFonts w:cs="Arial"/>
                <w:color w:val="FFFFFF"/>
                <w:sz w:val="20"/>
                <w:highlight w:val="black"/>
              </w:rPr>
            </w:pPr>
            <w:r>
              <w:rPr>
                <w:rFonts w:cs="Arial"/>
                <w:color w:val="FFFFFF"/>
                <w:sz w:val="20"/>
                <w:highlight w:val="black"/>
              </w:rPr>
              <w:t xml:space="preserve">Expiry Date: </w:t>
            </w:r>
          </w:p>
        </w:tc>
        <w:tc>
          <w:tcPr>
            <w:tcW w:w="1984" w:type="dxa"/>
            <w:gridSpan w:val="2"/>
            <w:tcBorders>
              <w:top w:val="single" w:sz="12" w:space="0" w:color="auto"/>
              <w:left w:val="single" w:sz="4" w:space="0" w:color="auto"/>
              <w:bottom w:val="single" w:sz="4" w:space="0" w:color="auto"/>
              <w:right w:val="single" w:sz="12" w:space="0" w:color="auto"/>
            </w:tcBorders>
            <w:vAlign w:val="center"/>
            <w:hideMark/>
          </w:tcPr>
          <w:p w:rsidR="00870B98" w:rsidRDefault="00870B98">
            <w:pPr>
              <w:pStyle w:val="Heading1"/>
              <w:jc w:val="center"/>
              <w:rPr>
                <w:rFonts w:cs="Arial"/>
                <w:b/>
                <w:bCs/>
                <w:sz w:val="20"/>
              </w:rPr>
            </w:pPr>
            <w:r>
              <w:rPr>
                <w:rFonts w:cs="Arial"/>
                <w:b/>
                <w:bCs/>
                <w:sz w:val="20"/>
              </w:rPr>
              <w:t>21/10/2014</w:t>
            </w:r>
          </w:p>
        </w:tc>
      </w:tr>
      <w:tr w:rsidR="00870B98" w:rsidTr="00870B98">
        <w:trPr>
          <w:cantSplit/>
          <w:trHeight w:val="360"/>
        </w:trPr>
        <w:tc>
          <w:tcPr>
            <w:tcW w:w="900" w:type="dxa"/>
            <w:gridSpan w:val="3"/>
            <w:vMerge/>
            <w:tcBorders>
              <w:top w:val="single" w:sz="12" w:space="0" w:color="auto"/>
              <w:left w:val="single" w:sz="12" w:space="0" w:color="auto"/>
              <w:bottom w:val="single" w:sz="2" w:space="0" w:color="auto"/>
              <w:right w:val="single" w:sz="4" w:space="0" w:color="auto"/>
            </w:tcBorders>
            <w:vAlign w:val="center"/>
            <w:hideMark/>
          </w:tcPr>
          <w:p w:rsidR="00870B98" w:rsidRDefault="00870B98">
            <w:pPr>
              <w:rPr>
                <w:rFonts w:ascii="Arial" w:hAnsi="Arial" w:cs="Arial"/>
                <w:b/>
                <w:sz w:val="32"/>
                <w:szCs w:val="32"/>
              </w:rPr>
            </w:pPr>
          </w:p>
        </w:tc>
        <w:tc>
          <w:tcPr>
            <w:tcW w:w="3392" w:type="dxa"/>
            <w:gridSpan w:val="6"/>
            <w:tcBorders>
              <w:top w:val="single" w:sz="4" w:space="0" w:color="auto"/>
              <w:left w:val="single" w:sz="4" w:space="0" w:color="auto"/>
              <w:bottom w:val="single" w:sz="2" w:space="0" w:color="auto"/>
              <w:right w:val="single" w:sz="2" w:space="0" w:color="FFFFFF"/>
            </w:tcBorders>
            <w:hideMark/>
          </w:tcPr>
          <w:p w:rsidR="00870B98" w:rsidRDefault="00870B98">
            <w:pPr>
              <w:rPr>
                <w:rFonts w:ascii="Arial" w:hAnsi="Arial" w:cs="Arial"/>
                <w:color w:val="FFFFFF"/>
                <w:sz w:val="20"/>
                <w:szCs w:val="20"/>
                <w:highlight w:val="darkBlue"/>
              </w:rPr>
            </w:pPr>
            <w:r>
              <w:rPr>
                <w:rFonts w:ascii="Arial" w:hAnsi="Arial" w:cs="Arial"/>
                <w:sz w:val="20"/>
                <w:szCs w:val="20"/>
              </w:rPr>
              <w:t>N/A / attached</w:t>
            </w:r>
          </w:p>
        </w:tc>
        <w:tc>
          <w:tcPr>
            <w:tcW w:w="1701" w:type="dxa"/>
            <w:gridSpan w:val="3"/>
            <w:tcBorders>
              <w:top w:val="single" w:sz="2" w:space="0" w:color="FFFFFF"/>
              <w:left w:val="single" w:sz="2" w:space="0" w:color="FFFFFF"/>
              <w:bottom w:val="single" w:sz="2" w:space="0" w:color="FFFFFF"/>
              <w:right w:val="single" w:sz="4" w:space="0" w:color="auto"/>
            </w:tcBorders>
            <w:shd w:val="clear" w:color="auto" w:fill="000000"/>
            <w:vAlign w:val="center"/>
            <w:hideMark/>
          </w:tcPr>
          <w:p w:rsidR="00870B98" w:rsidRDefault="00870B98">
            <w:pPr>
              <w:rPr>
                <w:rFonts w:ascii="Arial" w:hAnsi="Arial" w:cs="Arial"/>
                <w:b/>
                <w:color w:val="FFFFFF"/>
                <w:sz w:val="20"/>
                <w:szCs w:val="20"/>
                <w:highlight w:val="darkBlue"/>
              </w:rPr>
            </w:pPr>
            <w:r>
              <w:rPr>
                <w:rFonts w:ascii="Arial" w:hAnsi="Arial" w:cs="Arial"/>
                <w:b/>
                <w:color w:val="FFFFFF"/>
                <w:sz w:val="20"/>
                <w:szCs w:val="20"/>
                <w:highlight w:val="black"/>
              </w:rPr>
              <w:t>Consultation Expiry Date:</w:t>
            </w:r>
          </w:p>
        </w:tc>
        <w:tc>
          <w:tcPr>
            <w:tcW w:w="1984" w:type="dxa"/>
            <w:gridSpan w:val="2"/>
            <w:tcBorders>
              <w:top w:val="single" w:sz="4" w:space="0" w:color="auto"/>
              <w:left w:val="single" w:sz="4" w:space="0" w:color="auto"/>
              <w:bottom w:val="single" w:sz="2" w:space="0" w:color="FFFFFF"/>
              <w:right w:val="single" w:sz="12" w:space="0" w:color="auto"/>
            </w:tcBorders>
            <w:vAlign w:val="center"/>
            <w:hideMark/>
          </w:tcPr>
          <w:p w:rsidR="00870B98" w:rsidRDefault="00870B98">
            <w:pPr>
              <w:jc w:val="center"/>
              <w:rPr>
                <w:rFonts w:ascii="Arial" w:hAnsi="Arial" w:cs="Arial"/>
                <w:sz w:val="20"/>
                <w:szCs w:val="20"/>
              </w:rPr>
            </w:pPr>
            <w:r>
              <w:rPr>
                <w:rFonts w:ascii="Arial" w:hAnsi="Arial" w:cs="Arial"/>
                <w:sz w:val="20"/>
                <w:szCs w:val="20"/>
              </w:rPr>
              <w:t>09/10/2014</w:t>
            </w:r>
          </w:p>
        </w:tc>
      </w:tr>
      <w:tr w:rsidR="00870B98" w:rsidTr="00870B98">
        <w:tc>
          <w:tcPr>
            <w:tcW w:w="5671" w:type="dxa"/>
            <w:gridSpan w:val="7"/>
            <w:tcBorders>
              <w:top w:val="single" w:sz="2" w:space="0" w:color="auto"/>
              <w:left w:val="single" w:sz="12" w:space="0" w:color="auto"/>
              <w:bottom w:val="single" w:sz="4" w:space="0" w:color="auto"/>
              <w:right w:val="single" w:sz="2" w:space="0" w:color="FFFFFF"/>
            </w:tcBorders>
            <w:shd w:val="clear" w:color="auto" w:fill="000000"/>
            <w:vAlign w:val="center"/>
            <w:hideMark/>
          </w:tcPr>
          <w:p w:rsidR="00870B98" w:rsidRDefault="00870B98">
            <w:pPr>
              <w:pStyle w:val="Heading4"/>
              <w:jc w:val="left"/>
              <w:rPr>
                <w:rFonts w:cs="Arial"/>
                <w:color w:val="FFFFFF"/>
                <w:sz w:val="20"/>
                <w:highlight w:val="black"/>
              </w:rPr>
            </w:pPr>
            <w:r>
              <w:rPr>
                <w:rFonts w:cs="Arial"/>
                <w:color w:val="FFFFFF"/>
                <w:sz w:val="20"/>
                <w:highlight w:val="black"/>
              </w:rPr>
              <w:t>Officer</w:t>
            </w:r>
          </w:p>
        </w:tc>
        <w:tc>
          <w:tcPr>
            <w:tcW w:w="5386" w:type="dxa"/>
            <w:gridSpan w:val="7"/>
            <w:tcBorders>
              <w:top w:val="single" w:sz="2" w:space="0" w:color="FFFFFF"/>
              <w:left w:val="single" w:sz="2" w:space="0" w:color="FFFFFF"/>
              <w:bottom w:val="single" w:sz="4" w:space="0" w:color="auto"/>
              <w:right w:val="single" w:sz="12" w:space="0" w:color="auto"/>
            </w:tcBorders>
            <w:shd w:val="clear" w:color="auto" w:fill="000000"/>
            <w:hideMark/>
          </w:tcPr>
          <w:p w:rsidR="00870B98" w:rsidRDefault="00870B98">
            <w:pPr>
              <w:pStyle w:val="Heading4"/>
              <w:jc w:val="left"/>
              <w:rPr>
                <w:rFonts w:cs="Arial"/>
                <w:color w:val="FFFFFF"/>
                <w:sz w:val="20"/>
                <w:highlight w:val="black"/>
              </w:rPr>
            </w:pPr>
            <w:r>
              <w:rPr>
                <w:rFonts w:cs="Arial"/>
                <w:color w:val="FFFFFF"/>
                <w:sz w:val="20"/>
                <w:highlight w:val="black"/>
              </w:rPr>
              <w:t>Application Number(s)</w:t>
            </w:r>
          </w:p>
        </w:tc>
      </w:tr>
      <w:tr w:rsidR="00870B98" w:rsidTr="00870B98">
        <w:trPr>
          <w:trHeight w:val="465"/>
        </w:trPr>
        <w:tc>
          <w:tcPr>
            <w:tcW w:w="5671" w:type="dxa"/>
            <w:gridSpan w:val="7"/>
            <w:tcBorders>
              <w:top w:val="single" w:sz="4" w:space="0" w:color="auto"/>
              <w:left w:val="single" w:sz="12" w:space="0" w:color="auto"/>
              <w:bottom w:val="single" w:sz="4" w:space="0" w:color="auto"/>
              <w:right w:val="single" w:sz="4" w:space="0" w:color="auto"/>
            </w:tcBorders>
            <w:vAlign w:val="center"/>
            <w:hideMark/>
          </w:tcPr>
          <w:p w:rsidR="00870B98" w:rsidRDefault="00870B98">
            <w:pPr>
              <w:rPr>
                <w:rFonts w:ascii="Arial" w:hAnsi="Arial" w:cs="Arial"/>
                <w:sz w:val="20"/>
                <w:szCs w:val="20"/>
              </w:rPr>
            </w:pPr>
            <w:r>
              <w:rPr>
                <w:rFonts w:ascii="Arial" w:hAnsi="Arial" w:cs="Arial"/>
                <w:sz w:val="20"/>
                <w:szCs w:val="20"/>
              </w:rPr>
              <w:t>Karen Scarisbrick</w:t>
            </w:r>
          </w:p>
        </w:tc>
        <w:tc>
          <w:tcPr>
            <w:tcW w:w="5386" w:type="dxa"/>
            <w:gridSpan w:val="7"/>
            <w:tcBorders>
              <w:top w:val="single" w:sz="4" w:space="0" w:color="auto"/>
              <w:left w:val="single" w:sz="4" w:space="0" w:color="auto"/>
              <w:bottom w:val="single" w:sz="4" w:space="0" w:color="auto"/>
              <w:right w:val="single" w:sz="12" w:space="0" w:color="auto"/>
            </w:tcBorders>
            <w:vAlign w:val="center"/>
            <w:hideMark/>
          </w:tcPr>
          <w:p w:rsidR="00870B98" w:rsidRDefault="00870B98">
            <w:pPr>
              <w:rPr>
                <w:rFonts w:ascii="Arial" w:hAnsi="Arial" w:cs="Arial"/>
                <w:sz w:val="20"/>
                <w:szCs w:val="20"/>
              </w:rPr>
            </w:pPr>
            <w:r>
              <w:rPr>
                <w:rFonts w:ascii="Arial" w:hAnsi="Arial" w:cs="Arial"/>
                <w:sz w:val="20"/>
                <w:szCs w:val="20"/>
              </w:rPr>
              <w:t>2014/5309/P</w:t>
            </w:r>
          </w:p>
        </w:tc>
      </w:tr>
      <w:tr w:rsidR="00870B98" w:rsidTr="00870B98">
        <w:tc>
          <w:tcPr>
            <w:tcW w:w="5671" w:type="dxa"/>
            <w:gridSpan w:val="7"/>
            <w:tcBorders>
              <w:top w:val="single" w:sz="4" w:space="0" w:color="auto"/>
              <w:left w:val="single" w:sz="12" w:space="0" w:color="auto"/>
              <w:bottom w:val="single" w:sz="4" w:space="0" w:color="auto"/>
              <w:right w:val="single" w:sz="2" w:space="0" w:color="FFFFFF"/>
            </w:tcBorders>
            <w:shd w:val="clear" w:color="auto" w:fill="000000"/>
            <w:hideMark/>
          </w:tcPr>
          <w:p w:rsidR="00870B98" w:rsidRDefault="00870B98">
            <w:pPr>
              <w:pStyle w:val="Heading4"/>
              <w:jc w:val="left"/>
              <w:rPr>
                <w:rFonts w:cs="Arial"/>
                <w:color w:val="FFFFFF"/>
                <w:sz w:val="20"/>
              </w:rPr>
            </w:pPr>
            <w:r>
              <w:rPr>
                <w:rFonts w:cs="Arial"/>
                <w:color w:val="FFFFFF"/>
                <w:sz w:val="20"/>
                <w:highlight w:val="black"/>
              </w:rPr>
              <w:t>Application Address</w:t>
            </w:r>
          </w:p>
        </w:tc>
        <w:tc>
          <w:tcPr>
            <w:tcW w:w="5386" w:type="dxa"/>
            <w:gridSpan w:val="7"/>
            <w:tcBorders>
              <w:top w:val="single" w:sz="4" w:space="0" w:color="auto"/>
              <w:left w:val="single" w:sz="2" w:space="0" w:color="FFFFFF"/>
              <w:bottom w:val="single" w:sz="4" w:space="0" w:color="auto"/>
              <w:right w:val="single" w:sz="12" w:space="0" w:color="auto"/>
            </w:tcBorders>
            <w:shd w:val="clear" w:color="auto" w:fill="000000"/>
            <w:hideMark/>
          </w:tcPr>
          <w:p w:rsidR="00870B98" w:rsidRDefault="00870B98">
            <w:pPr>
              <w:pStyle w:val="Heading2"/>
              <w:rPr>
                <w:rFonts w:cs="Arial"/>
                <w:color w:val="FFFFFF"/>
                <w:sz w:val="20"/>
              </w:rPr>
            </w:pPr>
            <w:r>
              <w:rPr>
                <w:rFonts w:cs="Arial"/>
                <w:color w:val="FFFFFF"/>
                <w:sz w:val="20"/>
                <w:highlight w:val="black"/>
              </w:rPr>
              <w:t>Drawing Numbers</w:t>
            </w:r>
          </w:p>
        </w:tc>
      </w:tr>
      <w:tr w:rsidR="00870B98" w:rsidTr="00870B98">
        <w:trPr>
          <w:trHeight w:val="992"/>
        </w:trPr>
        <w:tc>
          <w:tcPr>
            <w:tcW w:w="5671" w:type="dxa"/>
            <w:gridSpan w:val="7"/>
            <w:tcBorders>
              <w:top w:val="single" w:sz="4" w:space="0" w:color="auto"/>
              <w:left w:val="single" w:sz="12" w:space="0" w:color="auto"/>
              <w:bottom w:val="single" w:sz="4" w:space="0" w:color="auto"/>
              <w:right w:val="single" w:sz="4" w:space="0" w:color="auto"/>
            </w:tcBorders>
            <w:vAlign w:val="center"/>
            <w:hideMark/>
          </w:tcPr>
          <w:p w:rsidR="00870B98" w:rsidRDefault="00870B98">
            <w:pPr>
              <w:rPr>
                <w:rFonts w:ascii="Arial" w:hAnsi="Arial" w:cs="Arial"/>
                <w:sz w:val="20"/>
                <w:szCs w:val="20"/>
              </w:rPr>
            </w:pPr>
            <w:r>
              <w:rPr>
                <w:rFonts w:ascii="Arial" w:hAnsi="Arial" w:cs="Arial"/>
                <w:sz w:val="20"/>
                <w:szCs w:val="20"/>
              </w:rPr>
              <w:t>11 Leighton Place, London, NW5 2QL</w:t>
            </w:r>
            <w:r>
              <w:rPr>
                <w:rFonts w:ascii="Arial" w:hAnsi="Arial" w:cs="Arial"/>
                <w:sz w:val="20"/>
                <w:szCs w:val="20"/>
              </w:rPr>
              <w:br/>
            </w:r>
          </w:p>
        </w:tc>
        <w:tc>
          <w:tcPr>
            <w:tcW w:w="5386" w:type="dxa"/>
            <w:gridSpan w:val="7"/>
            <w:tcBorders>
              <w:top w:val="single" w:sz="4" w:space="0" w:color="auto"/>
              <w:left w:val="single" w:sz="4" w:space="0" w:color="auto"/>
              <w:bottom w:val="single" w:sz="4" w:space="0" w:color="auto"/>
              <w:right w:val="single" w:sz="12" w:space="0" w:color="auto"/>
            </w:tcBorders>
            <w:vAlign w:val="center"/>
            <w:hideMark/>
          </w:tcPr>
          <w:p w:rsidR="00870B98" w:rsidRDefault="00870B98">
            <w:pPr>
              <w:rPr>
                <w:rFonts w:ascii="Arial" w:hAnsi="Arial" w:cs="Arial"/>
                <w:sz w:val="20"/>
                <w:szCs w:val="20"/>
              </w:rPr>
            </w:pPr>
            <w:r>
              <w:rPr>
                <w:rFonts w:ascii="Arial" w:hAnsi="Arial" w:cs="Arial"/>
                <w:sz w:val="20"/>
                <w:szCs w:val="20"/>
              </w:rPr>
              <w:t>Refer to decision notice</w:t>
            </w:r>
          </w:p>
        </w:tc>
      </w:tr>
      <w:tr w:rsidR="00870B98" w:rsidTr="00870B98">
        <w:trPr>
          <w:trHeight w:val="255"/>
        </w:trPr>
        <w:tc>
          <w:tcPr>
            <w:tcW w:w="1560" w:type="dxa"/>
            <w:tcBorders>
              <w:top w:val="single" w:sz="4" w:space="0" w:color="auto"/>
              <w:left w:val="single" w:sz="12" w:space="0" w:color="auto"/>
              <w:bottom w:val="single" w:sz="4" w:space="0" w:color="auto"/>
              <w:right w:val="single" w:sz="2" w:space="0" w:color="FFFFFF"/>
            </w:tcBorders>
            <w:shd w:val="clear" w:color="auto" w:fill="000000"/>
            <w:hideMark/>
          </w:tcPr>
          <w:p w:rsidR="00870B98" w:rsidRDefault="00870B98">
            <w:pPr>
              <w:pStyle w:val="Heading4"/>
              <w:jc w:val="left"/>
              <w:rPr>
                <w:rFonts w:cs="Arial"/>
                <w:color w:val="FFFFFF"/>
                <w:sz w:val="20"/>
                <w:highlight w:val="black"/>
              </w:rPr>
            </w:pPr>
            <w:r>
              <w:rPr>
                <w:rFonts w:cs="Arial"/>
                <w:color w:val="FFFFFF"/>
                <w:sz w:val="20"/>
                <w:highlight w:val="black"/>
              </w:rPr>
              <w:t xml:space="preserve">PO 3/4              </w:t>
            </w:r>
          </w:p>
        </w:tc>
        <w:tc>
          <w:tcPr>
            <w:tcW w:w="2693" w:type="dxa"/>
            <w:gridSpan w:val="3"/>
            <w:tcBorders>
              <w:top w:val="single" w:sz="4" w:space="0" w:color="auto"/>
              <w:left w:val="single" w:sz="2" w:space="0" w:color="FFFFFF"/>
              <w:bottom w:val="single" w:sz="4" w:space="0" w:color="auto"/>
              <w:right w:val="single" w:sz="2" w:space="0" w:color="FFFFFF"/>
            </w:tcBorders>
            <w:shd w:val="clear" w:color="auto" w:fill="000000"/>
            <w:hideMark/>
          </w:tcPr>
          <w:p w:rsidR="00870B98" w:rsidRDefault="00870B98">
            <w:pPr>
              <w:pStyle w:val="Heading4"/>
              <w:jc w:val="left"/>
              <w:rPr>
                <w:rFonts w:cs="Arial"/>
                <w:color w:val="FFFFFF"/>
                <w:sz w:val="20"/>
                <w:highlight w:val="black"/>
              </w:rPr>
            </w:pPr>
            <w:r>
              <w:rPr>
                <w:rFonts w:cs="Arial"/>
                <w:color w:val="FFFFFF"/>
                <w:sz w:val="20"/>
                <w:highlight w:val="black"/>
              </w:rPr>
              <w:t>Area Team Signature</w:t>
            </w:r>
          </w:p>
        </w:tc>
        <w:tc>
          <w:tcPr>
            <w:tcW w:w="1418" w:type="dxa"/>
            <w:gridSpan w:val="3"/>
            <w:tcBorders>
              <w:top w:val="single" w:sz="4" w:space="0" w:color="auto"/>
              <w:left w:val="single" w:sz="2" w:space="0" w:color="FFFFFF"/>
              <w:bottom w:val="single" w:sz="4" w:space="0" w:color="auto"/>
              <w:right w:val="single" w:sz="2" w:space="0" w:color="FFFFFF"/>
            </w:tcBorders>
            <w:shd w:val="clear" w:color="auto" w:fill="000000"/>
            <w:hideMark/>
          </w:tcPr>
          <w:p w:rsidR="00870B98" w:rsidRDefault="00870B98">
            <w:pPr>
              <w:pStyle w:val="Heading4"/>
              <w:jc w:val="left"/>
              <w:rPr>
                <w:rFonts w:cs="Arial"/>
                <w:color w:val="FFFFFF"/>
                <w:sz w:val="20"/>
                <w:highlight w:val="black"/>
              </w:rPr>
            </w:pPr>
            <w:r>
              <w:rPr>
                <w:rFonts w:cs="Arial"/>
                <w:color w:val="FFFFFF"/>
                <w:sz w:val="20"/>
                <w:highlight w:val="black"/>
              </w:rPr>
              <w:t>C&amp;UD</w:t>
            </w:r>
          </w:p>
        </w:tc>
        <w:tc>
          <w:tcPr>
            <w:tcW w:w="5386" w:type="dxa"/>
            <w:gridSpan w:val="7"/>
            <w:tcBorders>
              <w:top w:val="single" w:sz="4" w:space="0" w:color="auto"/>
              <w:left w:val="single" w:sz="2" w:space="0" w:color="FFFFFF"/>
              <w:bottom w:val="single" w:sz="4" w:space="0" w:color="auto"/>
              <w:right w:val="single" w:sz="12" w:space="0" w:color="auto"/>
            </w:tcBorders>
            <w:shd w:val="clear" w:color="auto" w:fill="000000"/>
            <w:hideMark/>
          </w:tcPr>
          <w:p w:rsidR="00870B98" w:rsidRDefault="00870B98">
            <w:pPr>
              <w:pStyle w:val="Heading4"/>
              <w:jc w:val="left"/>
              <w:rPr>
                <w:rFonts w:cs="Arial"/>
                <w:color w:val="FFFFFF"/>
                <w:sz w:val="20"/>
                <w:highlight w:val="black"/>
              </w:rPr>
            </w:pPr>
            <w:r>
              <w:rPr>
                <w:rFonts w:cs="Arial"/>
                <w:color w:val="FFFFFF"/>
                <w:sz w:val="20"/>
                <w:highlight w:val="black"/>
              </w:rPr>
              <w:t>Authorised Officer Signature</w:t>
            </w:r>
          </w:p>
        </w:tc>
      </w:tr>
      <w:tr w:rsidR="00870B98" w:rsidTr="00870B98">
        <w:trPr>
          <w:trHeight w:val="684"/>
        </w:trPr>
        <w:tc>
          <w:tcPr>
            <w:tcW w:w="1560" w:type="dxa"/>
            <w:tcBorders>
              <w:top w:val="single" w:sz="4" w:space="0" w:color="auto"/>
              <w:left w:val="single" w:sz="12" w:space="0" w:color="auto"/>
              <w:bottom w:val="single" w:sz="4" w:space="0" w:color="auto"/>
              <w:right w:val="single" w:sz="4" w:space="0" w:color="auto"/>
            </w:tcBorders>
          </w:tcPr>
          <w:p w:rsidR="00870B98" w:rsidRDefault="00870B98">
            <w:pPr>
              <w:rPr>
                <w:rFonts w:ascii="Arial" w:hAnsi="Arial" w:cs="Arial"/>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Pr>
          <w:p w:rsidR="00870B98" w:rsidRDefault="00870B98">
            <w:pPr>
              <w:rPr>
                <w:rFonts w:ascii="Arial" w:hAnsi="Arial" w:cs="Arial"/>
                <w:sz w:val="20"/>
                <w:szCs w:val="20"/>
              </w:rPr>
            </w:pPr>
          </w:p>
        </w:tc>
        <w:tc>
          <w:tcPr>
            <w:tcW w:w="1418" w:type="dxa"/>
            <w:gridSpan w:val="3"/>
            <w:tcBorders>
              <w:top w:val="single" w:sz="4" w:space="0" w:color="auto"/>
              <w:left w:val="single" w:sz="4" w:space="0" w:color="auto"/>
              <w:bottom w:val="single" w:sz="4" w:space="0" w:color="auto"/>
              <w:right w:val="single" w:sz="4" w:space="0" w:color="auto"/>
            </w:tcBorders>
          </w:tcPr>
          <w:p w:rsidR="00870B98" w:rsidRDefault="00870B98">
            <w:pPr>
              <w:rPr>
                <w:rFonts w:ascii="Arial" w:hAnsi="Arial" w:cs="Arial"/>
                <w:sz w:val="20"/>
                <w:szCs w:val="20"/>
              </w:rPr>
            </w:pPr>
          </w:p>
        </w:tc>
        <w:tc>
          <w:tcPr>
            <w:tcW w:w="5386" w:type="dxa"/>
            <w:gridSpan w:val="7"/>
            <w:tcBorders>
              <w:top w:val="single" w:sz="4" w:space="0" w:color="auto"/>
              <w:left w:val="single" w:sz="4" w:space="0" w:color="auto"/>
              <w:bottom w:val="single" w:sz="4" w:space="0" w:color="auto"/>
              <w:right w:val="single" w:sz="12" w:space="0" w:color="auto"/>
            </w:tcBorders>
          </w:tcPr>
          <w:p w:rsidR="00870B98" w:rsidRDefault="00870B98">
            <w:pPr>
              <w:rPr>
                <w:rFonts w:ascii="Arial" w:hAnsi="Arial" w:cs="Arial"/>
                <w:sz w:val="20"/>
                <w:szCs w:val="20"/>
              </w:rPr>
            </w:pPr>
          </w:p>
        </w:tc>
      </w:tr>
      <w:tr w:rsidR="00870B98" w:rsidTr="00870B98">
        <w:tc>
          <w:tcPr>
            <w:tcW w:w="11057" w:type="dxa"/>
            <w:gridSpan w:val="14"/>
            <w:tcBorders>
              <w:top w:val="single" w:sz="4" w:space="0" w:color="auto"/>
              <w:left w:val="single" w:sz="12" w:space="0" w:color="auto"/>
              <w:bottom w:val="single" w:sz="4" w:space="0" w:color="auto"/>
              <w:right w:val="single" w:sz="12" w:space="0" w:color="auto"/>
            </w:tcBorders>
            <w:shd w:val="clear" w:color="auto" w:fill="000000"/>
            <w:hideMark/>
          </w:tcPr>
          <w:p w:rsidR="00870B98" w:rsidRDefault="00870B98">
            <w:pPr>
              <w:pStyle w:val="Heading4"/>
              <w:jc w:val="left"/>
              <w:rPr>
                <w:rFonts w:cs="Arial"/>
                <w:color w:val="FFFFFF"/>
                <w:sz w:val="20"/>
                <w:highlight w:val="black"/>
              </w:rPr>
            </w:pPr>
            <w:r>
              <w:rPr>
                <w:rFonts w:cs="Arial"/>
                <w:color w:val="FFFFFF"/>
                <w:sz w:val="20"/>
                <w:highlight w:val="black"/>
              </w:rPr>
              <w:t>Proposal(s)</w:t>
            </w:r>
          </w:p>
        </w:tc>
      </w:tr>
      <w:tr w:rsidR="00870B98" w:rsidTr="00870B98">
        <w:trPr>
          <w:trHeight w:val="651"/>
        </w:trPr>
        <w:tc>
          <w:tcPr>
            <w:tcW w:w="11057" w:type="dxa"/>
            <w:gridSpan w:val="14"/>
            <w:tcBorders>
              <w:top w:val="single" w:sz="4" w:space="0" w:color="auto"/>
              <w:left w:val="single" w:sz="12" w:space="0" w:color="auto"/>
              <w:bottom w:val="single" w:sz="12" w:space="0" w:color="auto"/>
              <w:right w:val="single" w:sz="12" w:space="0" w:color="auto"/>
            </w:tcBorders>
            <w:vAlign w:val="center"/>
            <w:hideMark/>
          </w:tcPr>
          <w:p w:rsidR="00870B98" w:rsidRDefault="00870B98">
            <w:pPr>
              <w:rPr>
                <w:rFonts w:ascii="Arial" w:hAnsi="Arial" w:cs="Arial"/>
                <w:sz w:val="20"/>
                <w:szCs w:val="20"/>
              </w:rPr>
            </w:pPr>
            <w:r>
              <w:rPr>
                <w:rFonts w:ascii="Arial" w:hAnsi="Arial" w:cs="Arial"/>
                <w:sz w:val="20"/>
                <w:szCs w:val="20"/>
              </w:rPr>
              <w:t>Change of use of ground floor from office (Class B1) to 1 x residential unit (Class C3)</w:t>
            </w:r>
          </w:p>
        </w:tc>
      </w:tr>
      <w:tr w:rsidR="00870B98" w:rsidTr="00870B98">
        <w:trPr>
          <w:trHeight w:val="401"/>
        </w:trPr>
        <w:tc>
          <w:tcPr>
            <w:tcW w:w="2694" w:type="dxa"/>
            <w:gridSpan w:val="2"/>
            <w:tcBorders>
              <w:top w:val="single" w:sz="12" w:space="0" w:color="auto"/>
              <w:left w:val="single" w:sz="12" w:space="0" w:color="auto"/>
              <w:bottom w:val="single" w:sz="4" w:space="0" w:color="auto"/>
              <w:right w:val="single" w:sz="12" w:space="0" w:color="auto"/>
            </w:tcBorders>
            <w:shd w:val="clear" w:color="auto" w:fill="000000"/>
            <w:vAlign w:val="center"/>
            <w:hideMark/>
          </w:tcPr>
          <w:p w:rsidR="00870B98" w:rsidRDefault="00870B98">
            <w:pPr>
              <w:pStyle w:val="Heading2"/>
              <w:rPr>
                <w:rFonts w:cs="Arial"/>
                <w:color w:val="000000"/>
                <w:sz w:val="20"/>
                <w:highlight w:val="black"/>
              </w:rPr>
            </w:pPr>
            <w:r>
              <w:rPr>
                <w:rFonts w:cs="Arial"/>
                <w:color w:val="FFFFFF"/>
                <w:sz w:val="20"/>
                <w:highlight w:val="black"/>
              </w:rPr>
              <w:t>Recommendation(s):</w:t>
            </w:r>
          </w:p>
        </w:tc>
        <w:tc>
          <w:tcPr>
            <w:tcW w:w="8363" w:type="dxa"/>
            <w:gridSpan w:val="12"/>
            <w:tcBorders>
              <w:top w:val="single" w:sz="12" w:space="0" w:color="auto"/>
              <w:left w:val="single" w:sz="12" w:space="0" w:color="auto"/>
              <w:bottom w:val="single" w:sz="4" w:space="0" w:color="auto"/>
              <w:right w:val="single" w:sz="12" w:space="0" w:color="auto"/>
            </w:tcBorders>
            <w:shd w:val="clear" w:color="auto" w:fill="B3B3B3"/>
            <w:vAlign w:val="center"/>
            <w:hideMark/>
          </w:tcPr>
          <w:p w:rsidR="00870B98" w:rsidRDefault="00510861" w:rsidP="00510861">
            <w:pPr>
              <w:pStyle w:val="Heading2"/>
              <w:rPr>
                <w:sz w:val="20"/>
              </w:rPr>
            </w:pPr>
            <w:r>
              <w:rPr>
                <w:sz w:val="20"/>
              </w:rPr>
              <w:t xml:space="preserve">Refusal </w:t>
            </w:r>
            <w:r w:rsidR="00870B98">
              <w:rPr>
                <w:sz w:val="20"/>
              </w:rPr>
              <w:t xml:space="preserve">Prior Approval </w:t>
            </w:r>
          </w:p>
        </w:tc>
      </w:tr>
      <w:tr w:rsidR="00870B98" w:rsidTr="00870B98">
        <w:trPr>
          <w:trHeight w:val="414"/>
        </w:trPr>
        <w:tc>
          <w:tcPr>
            <w:tcW w:w="2694" w:type="dxa"/>
            <w:gridSpan w:val="2"/>
            <w:tcBorders>
              <w:top w:val="single" w:sz="4" w:space="0" w:color="auto"/>
              <w:left w:val="single" w:sz="12" w:space="0" w:color="auto"/>
              <w:bottom w:val="single" w:sz="4" w:space="0" w:color="auto"/>
              <w:right w:val="single" w:sz="12" w:space="0" w:color="auto"/>
            </w:tcBorders>
            <w:vAlign w:val="center"/>
            <w:hideMark/>
          </w:tcPr>
          <w:p w:rsidR="00870B98" w:rsidRDefault="00870B98">
            <w:pPr>
              <w:rPr>
                <w:rFonts w:ascii="Arial" w:hAnsi="Arial" w:cs="Arial"/>
                <w:sz w:val="20"/>
                <w:szCs w:val="20"/>
              </w:rPr>
            </w:pPr>
            <w:r>
              <w:rPr>
                <w:rFonts w:ascii="Arial" w:hAnsi="Arial" w:cs="Arial"/>
                <w:b/>
                <w:sz w:val="20"/>
                <w:szCs w:val="20"/>
              </w:rPr>
              <w:t>Application Type:</w:t>
            </w:r>
          </w:p>
        </w:tc>
        <w:tc>
          <w:tcPr>
            <w:tcW w:w="8363" w:type="dxa"/>
            <w:gridSpan w:val="12"/>
            <w:tcBorders>
              <w:top w:val="single" w:sz="4" w:space="0" w:color="auto"/>
              <w:left w:val="single" w:sz="12" w:space="0" w:color="auto"/>
              <w:bottom w:val="single" w:sz="4" w:space="0" w:color="auto"/>
              <w:right w:val="single" w:sz="12" w:space="0" w:color="auto"/>
            </w:tcBorders>
          </w:tcPr>
          <w:p w:rsidR="00870B98" w:rsidRDefault="00870B98">
            <w:pPr>
              <w:pStyle w:val="Heading2"/>
              <w:rPr>
                <w:sz w:val="20"/>
              </w:rPr>
            </w:pPr>
          </w:p>
          <w:p w:rsidR="00870B98" w:rsidRDefault="00870B98">
            <w:pPr>
              <w:pStyle w:val="Heading2"/>
              <w:rPr>
                <w:sz w:val="20"/>
              </w:rPr>
            </w:pPr>
            <w:r>
              <w:rPr>
                <w:sz w:val="20"/>
              </w:rPr>
              <w:t>GPDO Prior Approval Class J Change of use B1 to C3</w:t>
            </w:r>
            <w:r>
              <w:rPr>
                <w:sz w:val="20"/>
              </w:rPr>
              <w:br/>
            </w:r>
          </w:p>
        </w:tc>
      </w:tr>
      <w:tr w:rsidR="00870B98" w:rsidTr="00870B98">
        <w:trPr>
          <w:cantSplit/>
          <w:trHeight w:val="641"/>
        </w:trPr>
        <w:tc>
          <w:tcPr>
            <w:tcW w:w="2694" w:type="dxa"/>
            <w:gridSpan w:val="2"/>
            <w:tcBorders>
              <w:top w:val="single" w:sz="4" w:space="0" w:color="auto"/>
              <w:left w:val="single" w:sz="12" w:space="0" w:color="auto"/>
              <w:bottom w:val="single" w:sz="4" w:space="0" w:color="auto"/>
              <w:right w:val="single" w:sz="12" w:space="0" w:color="auto"/>
            </w:tcBorders>
            <w:vAlign w:val="center"/>
            <w:hideMark/>
          </w:tcPr>
          <w:p w:rsidR="00870B98" w:rsidRDefault="00870B98">
            <w:pPr>
              <w:pStyle w:val="Heading2"/>
              <w:rPr>
                <w:rFonts w:cs="Arial"/>
                <w:sz w:val="20"/>
              </w:rPr>
            </w:pPr>
            <w:r>
              <w:rPr>
                <w:rFonts w:cs="Arial"/>
                <w:sz w:val="20"/>
              </w:rPr>
              <w:t>Conditions or Reasons for Refusal:</w:t>
            </w:r>
          </w:p>
        </w:tc>
        <w:tc>
          <w:tcPr>
            <w:tcW w:w="8363" w:type="dxa"/>
            <w:gridSpan w:val="12"/>
            <w:vMerge w:val="restart"/>
            <w:tcBorders>
              <w:top w:val="single" w:sz="4" w:space="0" w:color="auto"/>
              <w:left w:val="single" w:sz="12" w:space="0" w:color="auto"/>
              <w:bottom w:val="single" w:sz="4" w:space="0" w:color="auto"/>
              <w:right w:val="single" w:sz="12" w:space="0" w:color="auto"/>
            </w:tcBorders>
          </w:tcPr>
          <w:p w:rsidR="00870B98" w:rsidRDefault="00870B98">
            <w:pPr>
              <w:rPr>
                <w:rFonts w:ascii="Arial" w:hAnsi="Arial" w:cs="Arial"/>
                <w:sz w:val="20"/>
                <w:szCs w:val="20"/>
              </w:rPr>
            </w:pPr>
          </w:p>
          <w:p w:rsidR="00870B98" w:rsidRDefault="00870B98">
            <w:pPr>
              <w:rPr>
                <w:rFonts w:ascii="Arial" w:hAnsi="Arial" w:cs="Arial"/>
                <w:sz w:val="20"/>
                <w:szCs w:val="20"/>
              </w:rPr>
            </w:pPr>
          </w:p>
          <w:p w:rsidR="00870B98" w:rsidRDefault="00870B98" w:rsidP="00510861">
            <w:pPr>
              <w:pStyle w:val="Heading3"/>
              <w:rPr>
                <w:rFonts w:ascii="Arial" w:hAnsi="Arial"/>
                <w:szCs w:val="20"/>
              </w:rPr>
            </w:pPr>
            <w:r>
              <w:rPr>
                <w:rFonts w:ascii="Arial" w:hAnsi="Arial"/>
                <w:szCs w:val="20"/>
              </w:rPr>
              <w:t>Refer to Decision Notice</w:t>
            </w:r>
          </w:p>
        </w:tc>
      </w:tr>
      <w:tr w:rsidR="00870B98" w:rsidTr="00870B98">
        <w:trPr>
          <w:cantSplit/>
          <w:trHeight w:val="523"/>
        </w:trPr>
        <w:tc>
          <w:tcPr>
            <w:tcW w:w="2694" w:type="dxa"/>
            <w:gridSpan w:val="2"/>
            <w:tcBorders>
              <w:top w:val="single" w:sz="4" w:space="0" w:color="auto"/>
              <w:left w:val="single" w:sz="12" w:space="0" w:color="auto"/>
              <w:bottom w:val="single" w:sz="4" w:space="0" w:color="auto"/>
              <w:right w:val="single" w:sz="12" w:space="0" w:color="auto"/>
            </w:tcBorders>
            <w:vAlign w:val="center"/>
            <w:hideMark/>
          </w:tcPr>
          <w:p w:rsidR="00870B98" w:rsidRDefault="00870B98">
            <w:pPr>
              <w:pStyle w:val="Heading2"/>
              <w:rPr>
                <w:rFonts w:cs="Arial"/>
                <w:sz w:val="20"/>
              </w:rPr>
            </w:pPr>
            <w:r>
              <w:rPr>
                <w:rFonts w:cs="Arial"/>
                <w:sz w:val="20"/>
              </w:rPr>
              <w:t>Informatives:</w:t>
            </w:r>
          </w:p>
        </w:tc>
        <w:tc>
          <w:tcPr>
            <w:tcW w:w="15601" w:type="dxa"/>
            <w:gridSpan w:val="12"/>
            <w:vMerge/>
            <w:tcBorders>
              <w:top w:val="single" w:sz="4" w:space="0" w:color="auto"/>
              <w:left w:val="single" w:sz="12" w:space="0" w:color="auto"/>
              <w:bottom w:val="single" w:sz="4" w:space="0" w:color="auto"/>
              <w:right w:val="single" w:sz="12" w:space="0" w:color="auto"/>
            </w:tcBorders>
            <w:vAlign w:val="center"/>
            <w:hideMark/>
          </w:tcPr>
          <w:p w:rsidR="00870B98" w:rsidRDefault="00870B98">
            <w:pPr>
              <w:rPr>
                <w:rFonts w:ascii="Arial" w:hAnsi="Arial" w:cs="Arial"/>
                <w:b/>
                <w:bCs/>
                <w:sz w:val="20"/>
                <w:szCs w:val="20"/>
              </w:rPr>
            </w:pPr>
          </w:p>
        </w:tc>
      </w:tr>
      <w:tr w:rsidR="00870B98" w:rsidTr="00870B98">
        <w:trPr>
          <w:trHeight w:val="318"/>
        </w:trPr>
        <w:tc>
          <w:tcPr>
            <w:tcW w:w="11057" w:type="dxa"/>
            <w:gridSpan w:val="14"/>
            <w:tcBorders>
              <w:top w:val="single" w:sz="4" w:space="0" w:color="auto"/>
              <w:left w:val="single" w:sz="12" w:space="0" w:color="auto"/>
              <w:bottom w:val="single" w:sz="4" w:space="0" w:color="auto"/>
              <w:right w:val="single" w:sz="12" w:space="0" w:color="auto"/>
            </w:tcBorders>
            <w:shd w:val="clear" w:color="auto" w:fill="000000"/>
            <w:vAlign w:val="center"/>
            <w:hideMark/>
          </w:tcPr>
          <w:p w:rsidR="00870B98" w:rsidRDefault="00870B98">
            <w:pPr>
              <w:pStyle w:val="Heading2"/>
              <w:rPr>
                <w:rFonts w:cs="Arial"/>
                <w:color w:val="FFFFFF"/>
                <w:sz w:val="20"/>
                <w:highlight w:val="black"/>
              </w:rPr>
            </w:pPr>
            <w:r>
              <w:rPr>
                <w:rFonts w:cs="Arial"/>
                <w:color w:val="FFFFFF"/>
                <w:sz w:val="20"/>
                <w:highlight w:val="black"/>
              </w:rPr>
              <w:t>Consultations</w:t>
            </w:r>
          </w:p>
        </w:tc>
      </w:tr>
      <w:tr w:rsidR="00870B98" w:rsidTr="00870B98">
        <w:trPr>
          <w:trHeight w:val="421"/>
        </w:trPr>
        <w:tc>
          <w:tcPr>
            <w:tcW w:w="2694" w:type="dxa"/>
            <w:gridSpan w:val="2"/>
            <w:tcBorders>
              <w:top w:val="single" w:sz="4" w:space="0" w:color="auto"/>
              <w:left w:val="single" w:sz="12" w:space="0" w:color="auto"/>
              <w:bottom w:val="single" w:sz="4" w:space="0" w:color="auto"/>
              <w:right w:val="single" w:sz="12" w:space="0" w:color="auto"/>
            </w:tcBorders>
            <w:vAlign w:val="center"/>
            <w:hideMark/>
          </w:tcPr>
          <w:p w:rsidR="00870B98" w:rsidRDefault="00870B98">
            <w:pPr>
              <w:pStyle w:val="Heading2"/>
              <w:rPr>
                <w:rFonts w:cs="Arial"/>
                <w:color w:val="FFFFFF"/>
                <w:sz w:val="20"/>
                <w:highlight w:val="darkBlue"/>
              </w:rPr>
            </w:pPr>
            <w:r>
              <w:rPr>
                <w:rFonts w:cs="Arial"/>
                <w:sz w:val="20"/>
              </w:rPr>
              <w:t xml:space="preserve">Adjoining Occupiers: </w:t>
            </w:r>
          </w:p>
        </w:tc>
        <w:tc>
          <w:tcPr>
            <w:tcW w:w="1843" w:type="dxa"/>
            <w:gridSpan w:val="3"/>
            <w:tcBorders>
              <w:top w:val="single" w:sz="4" w:space="0" w:color="auto"/>
              <w:left w:val="single" w:sz="12" w:space="0" w:color="auto"/>
              <w:bottom w:val="single" w:sz="4" w:space="0" w:color="auto"/>
              <w:right w:val="single" w:sz="4" w:space="0" w:color="auto"/>
            </w:tcBorders>
            <w:vAlign w:val="center"/>
          </w:tcPr>
          <w:p w:rsidR="00870B98" w:rsidRDefault="00870B98">
            <w:pPr>
              <w:rPr>
                <w:rFonts w:ascii="Arial" w:hAnsi="Arial" w:cs="Arial"/>
                <w:sz w:val="20"/>
                <w:szCs w:val="20"/>
              </w:rPr>
            </w:pPr>
            <w:r>
              <w:rPr>
                <w:rFonts w:ascii="Arial" w:hAnsi="Arial" w:cs="Arial"/>
                <w:sz w:val="20"/>
                <w:szCs w:val="20"/>
              </w:rPr>
              <w:t>No. notified</w:t>
            </w:r>
          </w:p>
          <w:p w:rsidR="00870B98" w:rsidRDefault="00870B98">
            <w:pPr>
              <w:rPr>
                <w:rFonts w:ascii="Arial" w:hAnsi="Arial" w:cs="Arial"/>
                <w:color w:val="FFFFFF"/>
                <w:sz w:val="20"/>
                <w:szCs w:val="20"/>
                <w:highlight w:val="darkBlue"/>
              </w:rPr>
            </w:pPr>
          </w:p>
        </w:tc>
        <w:tc>
          <w:tcPr>
            <w:tcW w:w="709" w:type="dxa"/>
            <w:tcBorders>
              <w:top w:val="single" w:sz="4" w:space="0" w:color="auto"/>
              <w:left w:val="single" w:sz="4" w:space="0" w:color="auto"/>
              <w:bottom w:val="single" w:sz="4" w:space="0" w:color="auto"/>
              <w:right w:val="single" w:sz="4" w:space="0" w:color="auto"/>
            </w:tcBorders>
            <w:vAlign w:val="center"/>
          </w:tcPr>
          <w:p w:rsidR="00870B98" w:rsidRDefault="00870B98">
            <w:pPr>
              <w:rPr>
                <w:rFonts w:ascii="Arial" w:hAnsi="Arial" w:cs="Arial"/>
                <w:b/>
                <w:bCs/>
                <w:sz w:val="20"/>
                <w:szCs w:val="20"/>
              </w:rPr>
            </w:pPr>
            <w:r>
              <w:rPr>
                <w:rFonts w:ascii="Arial" w:hAnsi="Arial" w:cs="Arial"/>
                <w:b/>
                <w:bCs/>
                <w:sz w:val="20"/>
                <w:szCs w:val="20"/>
              </w:rPr>
              <w:t>12</w:t>
            </w:r>
          </w:p>
          <w:p w:rsidR="00870B98" w:rsidRDefault="00870B98">
            <w:pPr>
              <w:rPr>
                <w:rFonts w:ascii="Arial" w:hAnsi="Arial" w:cs="Arial"/>
                <w:b/>
                <w:bCs/>
                <w:sz w:val="20"/>
                <w:szCs w:val="20"/>
                <w:highlight w:val="darkBlue"/>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870B98" w:rsidRDefault="00870B98">
            <w:pPr>
              <w:rPr>
                <w:rFonts w:ascii="Arial" w:hAnsi="Arial" w:cs="Arial"/>
                <w:sz w:val="20"/>
                <w:szCs w:val="20"/>
              </w:rPr>
            </w:pPr>
          </w:p>
          <w:p w:rsidR="00870B98" w:rsidRDefault="00870B98">
            <w:pPr>
              <w:rPr>
                <w:rFonts w:ascii="Arial" w:hAnsi="Arial" w:cs="Arial"/>
                <w:sz w:val="20"/>
                <w:szCs w:val="20"/>
              </w:rPr>
            </w:pPr>
            <w:r>
              <w:rPr>
                <w:rFonts w:ascii="Arial" w:hAnsi="Arial" w:cs="Arial"/>
                <w:sz w:val="20"/>
                <w:szCs w:val="20"/>
              </w:rPr>
              <w:t>No. of responses</w:t>
            </w:r>
          </w:p>
          <w:p w:rsidR="00870B98" w:rsidRDefault="00870B98">
            <w:pPr>
              <w:rPr>
                <w:rFonts w:ascii="Arial" w:hAnsi="Arial" w:cs="Arial"/>
                <w:sz w:val="20"/>
                <w:szCs w:val="20"/>
              </w:rPr>
            </w:pPr>
          </w:p>
          <w:p w:rsidR="00870B98" w:rsidRDefault="00870B98">
            <w:pPr>
              <w:rPr>
                <w:rFonts w:ascii="Arial" w:hAnsi="Arial" w:cs="Arial"/>
                <w:color w:val="FFFFFF"/>
                <w:sz w:val="20"/>
                <w:szCs w:val="20"/>
                <w:highlight w:val="darkBlue"/>
              </w:rPr>
            </w:pPr>
            <w:r>
              <w:rPr>
                <w:rFonts w:ascii="Arial" w:hAnsi="Arial" w:cs="Arial"/>
                <w:sz w:val="20"/>
                <w:szCs w:val="20"/>
              </w:rPr>
              <w:t>No. electronic</w:t>
            </w:r>
          </w:p>
        </w:tc>
        <w:tc>
          <w:tcPr>
            <w:tcW w:w="708" w:type="dxa"/>
            <w:tcBorders>
              <w:top w:val="single" w:sz="4" w:space="0" w:color="auto"/>
              <w:left w:val="single" w:sz="4" w:space="0" w:color="auto"/>
              <w:bottom w:val="single" w:sz="4" w:space="0" w:color="auto"/>
              <w:right w:val="single" w:sz="4" w:space="0" w:color="auto"/>
            </w:tcBorders>
            <w:vAlign w:val="center"/>
          </w:tcPr>
          <w:p w:rsidR="00870B98" w:rsidRDefault="00870B98">
            <w:pPr>
              <w:rPr>
                <w:rFonts w:ascii="Arial" w:hAnsi="Arial" w:cs="Arial"/>
                <w:b/>
                <w:bCs/>
                <w:sz w:val="20"/>
                <w:szCs w:val="20"/>
              </w:rPr>
            </w:pPr>
          </w:p>
          <w:p w:rsidR="00870B98" w:rsidRDefault="00870B98">
            <w:pPr>
              <w:rPr>
                <w:rFonts w:ascii="Arial" w:hAnsi="Arial" w:cs="Arial"/>
                <w:b/>
                <w:bCs/>
                <w:sz w:val="20"/>
                <w:szCs w:val="20"/>
              </w:rPr>
            </w:pPr>
            <w:r>
              <w:rPr>
                <w:rFonts w:ascii="Arial" w:hAnsi="Arial" w:cs="Arial"/>
                <w:b/>
                <w:bCs/>
                <w:sz w:val="20"/>
                <w:szCs w:val="20"/>
              </w:rPr>
              <w:t>00</w:t>
            </w:r>
          </w:p>
          <w:p w:rsidR="00870B98" w:rsidRDefault="00870B98">
            <w:pPr>
              <w:rPr>
                <w:rFonts w:ascii="Arial" w:hAnsi="Arial" w:cs="Arial"/>
                <w:b/>
                <w:bCs/>
                <w:sz w:val="20"/>
                <w:szCs w:val="20"/>
              </w:rPr>
            </w:pPr>
          </w:p>
          <w:p w:rsidR="00870B98" w:rsidRDefault="00870B98">
            <w:pPr>
              <w:rPr>
                <w:rFonts w:ascii="Arial" w:hAnsi="Arial" w:cs="Arial"/>
                <w:b/>
                <w:bCs/>
                <w:color w:val="FFFFFF"/>
                <w:sz w:val="20"/>
                <w:szCs w:val="20"/>
                <w:highlight w:val="darkBlue"/>
              </w:rPr>
            </w:pPr>
            <w:r>
              <w:rPr>
                <w:rFonts w:ascii="Arial" w:hAnsi="Arial" w:cs="Arial"/>
                <w:b/>
                <w:bCs/>
                <w:sz w:val="20"/>
                <w:szCs w:val="20"/>
              </w:rPr>
              <w:t>00</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870B98" w:rsidRDefault="00870B98">
            <w:pPr>
              <w:rPr>
                <w:rFonts w:ascii="Arial" w:hAnsi="Arial" w:cs="Arial"/>
                <w:sz w:val="20"/>
                <w:szCs w:val="20"/>
              </w:rPr>
            </w:pPr>
            <w:r>
              <w:rPr>
                <w:rFonts w:ascii="Arial" w:hAnsi="Arial" w:cs="Arial"/>
                <w:sz w:val="20"/>
                <w:szCs w:val="20"/>
              </w:rPr>
              <w:t>No. of objections</w:t>
            </w:r>
          </w:p>
          <w:p w:rsidR="00870B98" w:rsidRDefault="00870B98">
            <w:pPr>
              <w:rPr>
                <w:rFonts w:ascii="Arial" w:hAnsi="Arial" w:cs="Arial"/>
                <w:color w:val="FFFFFF"/>
                <w:sz w:val="20"/>
                <w:szCs w:val="20"/>
                <w:highlight w:val="darkBlue"/>
              </w:rPr>
            </w:pPr>
          </w:p>
        </w:tc>
        <w:tc>
          <w:tcPr>
            <w:tcW w:w="737" w:type="dxa"/>
            <w:tcBorders>
              <w:top w:val="single" w:sz="4" w:space="0" w:color="auto"/>
              <w:left w:val="single" w:sz="4" w:space="0" w:color="auto"/>
              <w:bottom w:val="single" w:sz="4" w:space="0" w:color="auto"/>
              <w:right w:val="single" w:sz="12" w:space="0" w:color="auto"/>
            </w:tcBorders>
            <w:vAlign w:val="center"/>
          </w:tcPr>
          <w:p w:rsidR="00870B98" w:rsidRDefault="00870B98">
            <w:pPr>
              <w:rPr>
                <w:rFonts w:ascii="Arial" w:hAnsi="Arial" w:cs="Arial"/>
                <w:b/>
                <w:bCs/>
                <w:sz w:val="20"/>
                <w:szCs w:val="20"/>
              </w:rPr>
            </w:pPr>
            <w:r>
              <w:rPr>
                <w:rFonts w:ascii="Arial" w:hAnsi="Arial" w:cs="Arial"/>
                <w:b/>
                <w:bCs/>
                <w:sz w:val="20"/>
                <w:szCs w:val="20"/>
              </w:rPr>
              <w:t>00</w:t>
            </w:r>
          </w:p>
          <w:p w:rsidR="00870B98" w:rsidRDefault="00870B98">
            <w:pPr>
              <w:rPr>
                <w:rFonts w:ascii="Arial" w:hAnsi="Arial" w:cs="Arial"/>
                <w:color w:val="FFFFFF"/>
                <w:sz w:val="20"/>
                <w:szCs w:val="20"/>
                <w:highlight w:val="darkBlue"/>
              </w:rPr>
            </w:pPr>
          </w:p>
        </w:tc>
      </w:tr>
      <w:tr w:rsidR="00870B98" w:rsidTr="00870B98">
        <w:trPr>
          <w:trHeight w:val="1118"/>
        </w:trPr>
        <w:tc>
          <w:tcPr>
            <w:tcW w:w="2694" w:type="dxa"/>
            <w:gridSpan w:val="2"/>
            <w:tcBorders>
              <w:top w:val="single" w:sz="4" w:space="0" w:color="auto"/>
              <w:left w:val="single" w:sz="12" w:space="0" w:color="auto"/>
              <w:bottom w:val="single" w:sz="4" w:space="0" w:color="auto"/>
              <w:right w:val="single" w:sz="12" w:space="0" w:color="auto"/>
            </w:tcBorders>
            <w:vAlign w:val="center"/>
          </w:tcPr>
          <w:p w:rsidR="00870B98" w:rsidRDefault="00870B98">
            <w:pPr>
              <w:pStyle w:val="Heading2"/>
              <w:rPr>
                <w:rFonts w:cs="Arial"/>
                <w:sz w:val="20"/>
              </w:rPr>
            </w:pPr>
            <w:r>
              <w:rPr>
                <w:rFonts w:cs="Arial"/>
                <w:sz w:val="20"/>
              </w:rPr>
              <w:t>Summary of consultation responses:</w:t>
            </w:r>
          </w:p>
          <w:p w:rsidR="00870B98" w:rsidRDefault="00870B98">
            <w:pPr>
              <w:rPr>
                <w:sz w:val="20"/>
                <w:szCs w:val="20"/>
              </w:rPr>
            </w:pPr>
          </w:p>
          <w:p w:rsidR="00870B98" w:rsidRDefault="00870B98">
            <w:pPr>
              <w:rPr>
                <w:sz w:val="20"/>
                <w:szCs w:val="20"/>
              </w:rPr>
            </w:pPr>
          </w:p>
        </w:tc>
        <w:tc>
          <w:tcPr>
            <w:tcW w:w="8363" w:type="dxa"/>
            <w:gridSpan w:val="12"/>
            <w:tcBorders>
              <w:top w:val="single" w:sz="4" w:space="0" w:color="auto"/>
              <w:left w:val="single" w:sz="12" w:space="0" w:color="auto"/>
              <w:bottom w:val="single" w:sz="4" w:space="0" w:color="auto"/>
              <w:right w:val="single" w:sz="12" w:space="0" w:color="auto"/>
            </w:tcBorders>
          </w:tcPr>
          <w:p w:rsidR="00870B98" w:rsidRDefault="00870B98">
            <w:pPr>
              <w:rPr>
                <w:rFonts w:ascii="Arial" w:hAnsi="Arial" w:cs="Arial"/>
                <w:sz w:val="20"/>
                <w:szCs w:val="20"/>
              </w:rPr>
            </w:pPr>
            <w:r>
              <w:rPr>
                <w:rFonts w:ascii="Arial" w:hAnsi="Arial" w:cs="Arial"/>
                <w:sz w:val="20"/>
                <w:szCs w:val="20"/>
              </w:rPr>
              <w:t>Site notice: 11/09/2014 to 02/10/2014</w:t>
            </w:r>
          </w:p>
          <w:p w:rsidR="00870B98" w:rsidRDefault="00870B98">
            <w:pPr>
              <w:rPr>
                <w:rFonts w:ascii="Arial" w:hAnsi="Arial" w:cs="Arial"/>
                <w:sz w:val="20"/>
                <w:szCs w:val="20"/>
              </w:rPr>
            </w:pPr>
          </w:p>
          <w:p w:rsidR="00870B98" w:rsidRDefault="00870B98">
            <w:pPr>
              <w:rPr>
                <w:rFonts w:ascii="Arial" w:hAnsi="Arial" w:cs="Arial"/>
                <w:sz w:val="20"/>
                <w:szCs w:val="20"/>
              </w:rPr>
            </w:pPr>
            <w:r>
              <w:rPr>
                <w:rFonts w:ascii="Arial" w:hAnsi="Arial" w:cs="Arial"/>
                <w:sz w:val="20"/>
                <w:szCs w:val="20"/>
              </w:rPr>
              <w:t>No responses received to date.</w:t>
            </w:r>
          </w:p>
        </w:tc>
      </w:tr>
      <w:tr w:rsidR="00870B98" w:rsidTr="00870B98">
        <w:trPr>
          <w:trHeight w:val="751"/>
        </w:trPr>
        <w:tc>
          <w:tcPr>
            <w:tcW w:w="2694" w:type="dxa"/>
            <w:gridSpan w:val="2"/>
            <w:tcBorders>
              <w:top w:val="single" w:sz="4" w:space="0" w:color="auto"/>
              <w:left w:val="single" w:sz="12" w:space="0" w:color="auto"/>
              <w:bottom w:val="single" w:sz="12" w:space="0" w:color="auto"/>
              <w:right w:val="single" w:sz="12" w:space="0" w:color="auto"/>
            </w:tcBorders>
            <w:vAlign w:val="center"/>
          </w:tcPr>
          <w:p w:rsidR="00870B98" w:rsidRDefault="00870B98">
            <w:pPr>
              <w:pStyle w:val="Heading2"/>
              <w:rPr>
                <w:rFonts w:cs="Arial"/>
                <w:sz w:val="20"/>
              </w:rPr>
            </w:pPr>
            <w:r>
              <w:rPr>
                <w:rFonts w:cs="Arial"/>
                <w:sz w:val="20"/>
              </w:rPr>
              <w:t>CAAC/Local groups’ comments:</w:t>
            </w:r>
          </w:p>
          <w:p w:rsidR="00870B98" w:rsidRDefault="00870B98">
            <w:pPr>
              <w:pStyle w:val="Heading2"/>
              <w:rPr>
                <w:rFonts w:cs="Arial"/>
                <w:b w:val="0"/>
                <w:bCs/>
                <w:sz w:val="20"/>
              </w:rPr>
            </w:pPr>
          </w:p>
        </w:tc>
        <w:tc>
          <w:tcPr>
            <w:tcW w:w="8363" w:type="dxa"/>
            <w:gridSpan w:val="12"/>
            <w:tcBorders>
              <w:top w:val="single" w:sz="4" w:space="0" w:color="auto"/>
              <w:left w:val="single" w:sz="12" w:space="0" w:color="auto"/>
              <w:bottom w:val="single" w:sz="12" w:space="0" w:color="auto"/>
              <w:right w:val="single" w:sz="12" w:space="0" w:color="auto"/>
            </w:tcBorders>
            <w:hideMark/>
          </w:tcPr>
          <w:p w:rsidR="00870B98" w:rsidRDefault="00870B98">
            <w:pPr>
              <w:rPr>
                <w:rFonts w:ascii="Arial" w:hAnsi="Arial" w:cs="Arial"/>
                <w:color w:val="FFFFFF"/>
                <w:sz w:val="20"/>
                <w:szCs w:val="20"/>
                <w:highlight w:val="darkBlue"/>
              </w:rPr>
            </w:pPr>
            <w:r>
              <w:rPr>
                <w:rFonts w:ascii="Arial" w:hAnsi="Arial" w:cs="Arial"/>
                <w:sz w:val="20"/>
                <w:szCs w:val="20"/>
              </w:rPr>
              <w:t>No responses received to date.</w:t>
            </w:r>
          </w:p>
        </w:tc>
      </w:tr>
    </w:tbl>
    <w:p w:rsidR="00870B98" w:rsidRDefault="00870B98" w:rsidP="00870B98">
      <w:pPr>
        <w:rPr>
          <w:rFonts w:ascii="Arial" w:hAnsi="Arial" w:cs="Arial"/>
          <w:b/>
          <w:sz w:val="20"/>
          <w:szCs w:val="20"/>
        </w:rPr>
      </w:pPr>
      <w:r>
        <w:rPr>
          <w:rFonts w:ascii="Arial" w:hAnsi="Arial" w:cs="Arial"/>
          <w:b/>
          <w:sz w:val="20"/>
          <w:szCs w:val="20"/>
        </w:rPr>
        <w:tab/>
      </w:r>
      <w:r>
        <w:rPr>
          <w:rFonts w:ascii="Arial" w:hAnsi="Arial" w:cs="Arial"/>
          <w:b/>
          <w:sz w:val="20"/>
          <w:szCs w:val="20"/>
        </w:rPr>
        <w:tab/>
      </w:r>
    </w:p>
    <w:p w:rsidR="00870B98" w:rsidRDefault="00870B98" w:rsidP="00870B98">
      <w:pPr>
        <w:rPr>
          <w:rFonts w:ascii="Arial" w:hAnsi="Arial" w:cs="Arial"/>
          <w:b/>
          <w:sz w:val="20"/>
          <w:szCs w:val="20"/>
        </w:rPr>
      </w:pPr>
      <w:r>
        <w:rPr>
          <w:rFonts w:ascii="Arial" w:hAnsi="Arial" w:cs="Arial"/>
          <w:b/>
          <w:sz w:val="20"/>
          <w:szCs w:val="20"/>
        </w:rPr>
        <w:br w:type="page"/>
      </w:r>
    </w:p>
    <w:tbl>
      <w:tblPr>
        <w:tblW w:w="1105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5"/>
      </w:tblGrid>
      <w:tr w:rsidR="00870B98" w:rsidTr="00870B98">
        <w:trPr>
          <w:trHeight w:val="340"/>
        </w:trPr>
        <w:tc>
          <w:tcPr>
            <w:tcW w:w="11057" w:type="dxa"/>
            <w:tcBorders>
              <w:top w:val="single" w:sz="4" w:space="0" w:color="auto"/>
              <w:left w:val="single" w:sz="12" w:space="0" w:color="auto"/>
              <w:bottom w:val="single" w:sz="12" w:space="0" w:color="auto"/>
              <w:right w:val="single" w:sz="12" w:space="0" w:color="auto"/>
            </w:tcBorders>
            <w:shd w:val="clear" w:color="auto" w:fill="000000"/>
            <w:vAlign w:val="center"/>
            <w:hideMark/>
          </w:tcPr>
          <w:p w:rsidR="00870B98" w:rsidRDefault="00870B98">
            <w:pPr>
              <w:pStyle w:val="Heading2"/>
              <w:rPr>
                <w:rFonts w:cs="Arial"/>
                <w:sz w:val="20"/>
                <w:highlight w:val="black"/>
              </w:rPr>
            </w:pPr>
            <w:r>
              <w:rPr>
                <w:rFonts w:cs="Arial"/>
                <w:sz w:val="20"/>
                <w:highlight w:val="black"/>
              </w:rPr>
              <w:br w:type="page"/>
            </w:r>
            <w:r>
              <w:rPr>
                <w:rFonts w:cs="Arial"/>
                <w:color w:val="FFFFFF"/>
                <w:sz w:val="20"/>
                <w:highlight w:val="black"/>
              </w:rPr>
              <w:t>Site Description</w:t>
            </w:r>
            <w:r>
              <w:rPr>
                <w:rFonts w:cs="Arial"/>
                <w:sz w:val="20"/>
                <w:highlight w:val="black"/>
              </w:rPr>
              <w:t xml:space="preserve"> </w:t>
            </w:r>
          </w:p>
        </w:tc>
      </w:tr>
      <w:tr w:rsidR="00870B98" w:rsidTr="00870B98">
        <w:trPr>
          <w:trHeight w:val="1193"/>
        </w:trPr>
        <w:tc>
          <w:tcPr>
            <w:tcW w:w="11057" w:type="dxa"/>
            <w:tcBorders>
              <w:top w:val="single" w:sz="12" w:space="0" w:color="auto"/>
              <w:left w:val="single" w:sz="12" w:space="0" w:color="auto"/>
              <w:bottom w:val="single" w:sz="4" w:space="0" w:color="auto"/>
              <w:right w:val="single" w:sz="12" w:space="0" w:color="auto"/>
            </w:tcBorders>
          </w:tcPr>
          <w:p w:rsidR="00870B98" w:rsidRDefault="00870B98">
            <w:pPr>
              <w:jc w:val="both"/>
              <w:rPr>
                <w:rFonts w:ascii="Arial" w:hAnsi="Arial" w:cs="Arial"/>
                <w:sz w:val="20"/>
                <w:szCs w:val="20"/>
              </w:rPr>
            </w:pPr>
            <w:r>
              <w:rPr>
                <w:rFonts w:ascii="Arial" w:hAnsi="Arial" w:cs="Arial"/>
                <w:sz w:val="20"/>
                <w:szCs w:val="20"/>
              </w:rPr>
              <w:t xml:space="preserve">The application site is a three-storey property located within a terrace on the south side of Leighton Place with office use at ground floor level and residential on the upper floors. Leighton Place is comprised of similar commercial/residential occupancy on the south of the Place with residential properties opposite. </w:t>
            </w:r>
          </w:p>
          <w:p w:rsidR="00870B98" w:rsidRDefault="00870B98">
            <w:pPr>
              <w:jc w:val="both"/>
              <w:rPr>
                <w:rFonts w:ascii="Arial" w:hAnsi="Arial" w:cs="Arial"/>
                <w:sz w:val="20"/>
                <w:szCs w:val="20"/>
              </w:rPr>
            </w:pPr>
          </w:p>
          <w:p w:rsidR="00870B98" w:rsidRDefault="00870B98">
            <w:pPr>
              <w:jc w:val="both"/>
              <w:rPr>
                <w:rFonts w:ascii="Arial" w:hAnsi="Arial" w:cs="Arial"/>
                <w:sz w:val="20"/>
                <w:szCs w:val="20"/>
              </w:rPr>
            </w:pPr>
            <w:r>
              <w:rPr>
                <w:rFonts w:ascii="Arial" w:hAnsi="Arial" w:cs="Arial"/>
                <w:sz w:val="20"/>
                <w:szCs w:val="20"/>
              </w:rPr>
              <w:t xml:space="preserve">Leighton Place is a cul-de-sac which is not restricted by any site specific controls other than the building being locally listed. </w:t>
            </w:r>
          </w:p>
        </w:tc>
      </w:tr>
      <w:tr w:rsidR="00870B98" w:rsidTr="00870B98">
        <w:trPr>
          <w:trHeight w:val="273"/>
        </w:trPr>
        <w:tc>
          <w:tcPr>
            <w:tcW w:w="11057" w:type="dxa"/>
            <w:tcBorders>
              <w:top w:val="single" w:sz="4" w:space="0" w:color="auto"/>
              <w:left w:val="single" w:sz="12" w:space="0" w:color="auto"/>
              <w:bottom w:val="single" w:sz="4" w:space="0" w:color="auto"/>
              <w:right w:val="single" w:sz="12" w:space="0" w:color="auto"/>
            </w:tcBorders>
            <w:shd w:val="clear" w:color="auto" w:fill="000000"/>
            <w:vAlign w:val="center"/>
            <w:hideMark/>
          </w:tcPr>
          <w:p w:rsidR="00870B98" w:rsidRDefault="00870B98">
            <w:pPr>
              <w:pStyle w:val="Heading2"/>
              <w:rPr>
                <w:rFonts w:cs="Arial"/>
                <w:b w:val="0"/>
                <w:sz w:val="20"/>
              </w:rPr>
            </w:pPr>
            <w:r>
              <w:rPr>
                <w:rFonts w:cs="Arial"/>
                <w:color w:val="FFFFFF"/>
                <w:sz w:val="20"/>
                <w:highlight w:val="black"/>
              </w:rPr>
              <w:t>Relevant History</w:t>
            </w:r>
          </w:p>
        </w:tc>
      </w:tr>
      <w:tr w:rsidR="00870B98" w:rsidTr="00870B98">
        <w:trPr>
          <w:trHeight w:val="378"/>
        </w:trPr>
        <w:tc>
          <w:tcPr>
            <w:tcW w:w="11057" w:type="dxa"/>
            <w:tcBorders>
              <w:top w:val="single" w:sz="4" w:space="0" w:color="auto"/>
              <w:left w:val="single" w:sz="12" w:space="0" w:color="auto"/>
              <w:bottom w:val="single" w:sz="4" w:space="0" w:color="auto"/>
              <w:right w:val="single" w:sz="12" w:space="0" w:color="auto"/>
            </w:tcBorders>
            <w:hideMark/>
          </w:tcPr>
          <w:p w:rsidR="00870B98" w:rsidRDefault="00870B98">
            <w:pPr>
              <w:jc w:val="both"/>
              <w:rPr>
                <w:rFonts w:ascii="Arial" w:hAnsi="Arial" w:cs="Arial"/>
                <w:sz w:val="20"/>
                <w:szCs w:val="20"/>
              </w:rPr>
            </w:pPr>
            <w:r>
              <w:rPr>
                <w:rFonts w:ascii="Arial" w:hAnsi="Arial" w:cs="Arial"/>
                <w:sz w:val="20"/>
                <w:szCs w:val="20"/>
              </w:rPr>
              <w:t xml:space="preserve">There is no relevant planning history for this site. </w:t>
            </w:r>
          </w:p>
        </w:tc>
      </w:tr>
      <w:tr w:rsidR="00870B98" w:rsidTr="00870B98">
        <w:trPr>
          <w:trHeight w:val="300"/>
        </w:trPr>
        <w:tc>
          <w:tcPr>
            <w:tcW w:w="11057" w:type="dxa"/>
            <w:tcBorders>
              <w:top w:val="single" w:sz="4" w:space="0" w:color="auto"/>
              <w:left w:val="single" w:sz="12" w:space="0" w:color="auto"/>
              <w:bottom w:val="single" w:sz="4" w:space="0" w:color="auto"/>
              <w:right w:val="single" w:sz="12" w:space="0" w:color="auto"/>
            </w:tcBorders>
            <w:shd w:val="clear" w:color="auto" w:fill="000000"/>
            <w:vAlign w:val="center"/>
            <w:hideMark/>
          </w:tcPr>
          <w:p w:rsidR="00870B98" w:rsidRDefault="00870B98">
            <w:pPr>
              <w:pStyle w:val="Heading2"/>
              <w:jc w:val="both"/>
              <w:rPr>
                <w:rFonts w:cs="Arial"/>
                <w:sz w:val="20"/>
              </w:rPr>
            </w:pPr>
            <w:r>
              <w:rPr>
                <w:rFonts w:cs="Arial"/>
                <w:color w:val="FFFFFF"/>
                <w:sz w:val="20"/>
                <w:highlight w:val="black"/>
              </w:rPr>
              <w:t>Relevant policies</w:t>
            </w:r>
          </w:p>
        </w:tc>
      </w:tr>
      <w:tr w:rsidR="00870B98" w:rsidTr="00870B98">
        <w:trPr>
          <w:trHeight w:val="663"/>
        </w:trPr>
        <w:tc>
          <w:tcPr>
            <w:tcW w:w="11057" w:type="dxa"/>
            <w:tcBorders>
              <w:top w:val="single" w:sz="4" w:space="0" w:color="auto"/>
              <w:left w:val="single" w:sz="12" w:space="0" w:color="auto"/>
              <w:bottom w:val="single" w:sz="4" w:space="0" w:color="auto"/>
              <w:right w:val="single" w:sz="12" w:space="0" w:color="auto"/>
            </w:tcBorders>
          </w:tcPr>
          <w:p w:rsidR="00870B98" w:rsidRDefault="00870B98">
            <w:pPr>
              <w:jc w:val="both"/>
              <w:rPr>
                <w:rFonts w:ascii="Arial" w:hAnsi="Arial" w:cs="Arial"/>
                <w:sz w:val="20"/>
                <w:szCs w:val="20"/>
              </w:rPr>
            </w:pPr>
            <w:r>
              <w:rPr>
                <w:rFonts w:ascii="Arial" w:hAnsi="Arial" w:cs="Arial"/>
                <w:sz w:val="20"/>
                <w:szCs w:val="20"/>
              </w:rPr>
              <w:t xml:space="preserve">- Town and Country Planning (General Permitted Development) (Amendment) (England) Order 2013 </w:t>
            </w:r>
          </w:p>
          <w:p w:rsidR="00870B98" w:rsidRDefault="00870B98">
            <w:pPr>
              <w:jc w:val="both"/>
              <w:rPr>
                <w:rFonts w:ascii="Arial" w:hAnsi="Arial" w:cs="Arial"/>
                <w:sz w:val="20"/>
                <w:szCs w:val="20"/>
              </w:rPr>
            </w:pPr>
            <w:r>
              <w:rPr>
                <w:rFonts w:ascii="Arial" w:hAnsi="Arial" w:cs="Arial"/>
                <w:sz w:val="20"/>
                <w:szCs w:val="20"/>
              </w:rPr>
              <w:t xml:space="preserve"> </w:t>
            </w:r>
          </w:p>
          <w:p w:rsidR="00870B98" w:rsidRDefault="00870B98">
            <w:pPr>
              <w:jc w:val="both"/>
              <w:rPr>
                <w:rFonts w:ascii="Arial" w:hAnsi="Arial" w:cs="Arial"/>
                <w:sz w:val="20"/>
                <w:szCs w:val="20"/>
              </w:rPr>
            </w:pPr>
            <w:r>
              <w:rPr>
                <w:rFonts w:ascii="Arial" w:hAnsi="Arial" w:cs="Arial"/>
                <w:sz w:val="20"/>
                <w:szCs w:val="20"/>
              </w:rPr>
              <w:t xml:space="preserve">- Explanatory Memorandum to the Town and Country Planning (General Permitted Development) </w:t>
            </w:r>
          </w:p>
          <w:p w:rsidR="00870B98" w:rsidRDefault="00870B98">
            <w:pPr>
              <w:jc w:val="both"/>
              <w:rPr>
                <w:rFonts w:ascii="Arial" w:hAnsi="Arial" w:cs="Arial"/>
                <w:sz w:val="20"/>
                <w:szCs w:val="20"/>
              </w:rPr>
            </w:pPr>
            <w:r>
              <w:rPr>
                <w:rFonts w:ascii="Arial" w:hAnsi="Arial" w:cs="Arial"/>
                <w:sz w:val="20"/>
                <w:szCs w:val="20"/>
              </w:rPr>
              <w:t xml:space="preserve">(Amendment and Consequential Provisions) (England) Order 2014 No. 564 </w:t>
            </w:r>
          </w:p>
          <w:p w:rsidR="00870B98" w:rsidRDefault="00870B98">
            <w:pPr>
              <w:jc w:val="both"/>
              <w:rPr>
                <w:rFonts w:ascii="Arial" w:hAnsi="Arial" w:cs="Arial"/>
                <w:sz w:val="20"/>
                <w:szCs w:val="20"/>
              </w:rPr>
            </w:pPr>
            <w:r>
              <w:rPr>
                <w:rFonts w:ascii="Arial" w:hAnsi="Arial" w:cs="Arial"/>
                <w:sz w:val="20"/>
                <w:szCs w:val="20"/>
              </w:rPr>
              <w:t xml:space="preserve"> </w:t>
            </w:r>
          </w:p>
          <w:p w:rsidR="00870B98" w:rsidRDefault="00870B98">
            <w:pPr>
              <w:jc w:val="both"/>
              <w:rPr>
                <w:rFonts w:ascii="Arial" w:hAnsi="Arial" w:cs="Arial"/>
                <w:sz w:val="20"/>
                <w:szCs w:val="20"/>
              </w:rPr>
            </w:pPr>
            <w:r>
              <w:rPr>
                <w:rFonts w:ascii="Arial" w:hAnsi="Arial" w:cs="Arial"/>
                <w:sz w:val="20"/>
                <w:szCs w:val="20"/>
              </w:rPr>
              <w:t xml:space="preserve">- The Environmental Protection Act 1990(a) part IIA </w:t>
            </w:r>
          </w:p>
          <w:p w:rsidR="00870B98" w:rsidRDefault="00870B98">
            <w:pPr>
              <w:jc w:val="both"/>
              <w:rPr>
                <w:rFonts w:ascii="Arial" w:hAnsi="Arial" w:cs="Arial"/>
                <w:sz w:val="20"/>
                <w:szCs w:val="20"/>
              </w:rPr>
            </w:pPr>
            <w:r>
              <w:rPr>
                <w:rFonts w:ascii="Arial" w:hAnsi="Arial" w:cs="Arial"/>
                <w:sz w:val="20"/>
                <w:szCs w:val="20"/>
              </w:rPr>
              <w:t xml:space="preserve">  </w:t>
            </w:r>
          </w:p>
          <w:p w:rsidR="00870B98" w:rsidRDefault="00870B98">
            <w:pPr>
              <w:jc w:val="both"/>
              <w:rPr>
                <w:rFonts w:ascii="Arial" w:hAnsi="Arial" w:cs="Arial"/>
                <w:sz w:val="20"/>
                <w:szCs w:val="20"/>
              </w:rPr>
            </w:pPr>
            <w:r>
              <w:rPr>
                <w:rFonts w:ascii="Arial" w:hAnsi="Arial" w:cs="Arial"/>
                <w:sz w:val="20"/>
                <w:szCs w:val="20"/>
              </w:rPr>
              <w:t xml:space="preserve">- The Contaminated Land Statutory Guidance issued by the SoS for Environment, Food and Rural </w:t>
            </w:r>
          </w:p>
          <w:p w:rsidR="00870B98" w:rsidRDefault="00870B98">
            <w:pPr>
              <w:jc w:val="both"/>
              <w:rPr>
                <w:rFonts w:ascii="Arial" w:hAnsi="Arial" w:cs="Arial"/>
                <w:sz w:val="20"/>
                <w:szCs w:val="20"/>
              </w:rPr>
            </w:pPr>
            <w:r>
              <w:rPr>
                <w:rFonts w:ascii="Arial" w:hAnsi="Arial" w:cs="Arial"/>
                <w:sz w:val="20"/>
                <w:szCs w:val="20"/>
              </w:rPr>
              <w:t xml:space="preserve">Affairs in April 2012 </w:t>
            </w:r>
          </w:p>
          <w:p w:rsidR="00870B98" w:rsidRDefault="00870B98">
            <w:pPr>
              <w:jc w:val="both"/>
              <w:rPr>
                <w:rFonts w:ascii="Arial" w:hAnsi="Arial" w:cs="Arial"/>
                <w:sz w:val="20"/>
                <w:szCs w:val="20"/>
              </w:rPr>
            </w:pPr>
            <w:r>
              <w:rPr>
                <w:rFonts w:ascii="Arial" w:hAnsi="Arial" w:cs="Arial"/>
                <w:sz w:val="20"/>
                <w:szCs w:val="20"/>
              </w:rPr>
              <w:t xml:space="preserve"> </w:t>
            </w:r>
          </w:p>
          <w:p w:rsidR="00870B98" w:rsidRDefault="00870B98">
            <w:pPr>
              <w:jc w:val="both"/>
              <w:rPr>
                <w:rFonts w:ascii="Arial" w:hAnsi="Arial" w:cs="Arial"/>
                <w:sz w:val="20"/>
                <w:szCs w:val="20"/>
              </w:rPr>
            </w:pPr>
            <w:r>
              <w:rPr>
                <w:rFonts w:ascii="Arial" w:hAnsi="Arial" w:cs="Arial"/>
                <w:sz w:val="20"/>
                <w:szCs w:val="20"/>
              </w:rPr>
              <w:t>- The National Planning Policy Framework 2012</w:t>
            </w:r>
          </w:p>
          <w:p w:rsidR="00870B98" w:rsidRDefault="00870B98">
            <w:pPr>
              <w:jc w:val="both"/>
              <w:rPr>
                <w:b/>
                <w:sz w:val="20"/>
                <w:szCs w:val="20"/>
              </w:rPr>
            </w:pPr>
          </w:p>
        </w:tc>
      </w:tr>
      <w:tr w:rsidR="00870B98" w:rsidTr="00870B98">
        <w:trPr>
          <w:trHeight w:val="360"/>
        </w:trPr>
        <w:tc>
          <w:tcPr>
            <w:tcW w:w="11057" w:type="dxa"/>
            <w:tcBorders>
              <w:top w:val="single" w:sz="4" w:space="0" w:color="auto"/>
              <w:left w:val="single" w:sz="12" w:space="0" w:color="auto"/>
              <w:bottom w:val="single" w:sz="4" w:space="0" w:color="auto"/>
              <w:right w:val="single" w:sz="12" w:space="0" w:color="auto"/>
            </w:tcBorders>
            <w:shd w:val="clear" w:color="auto" w:fill="000000"/>
            <w:vAlign w:val="center"/>
            <w:hideMark/>
          </w:tcPr>
          <w:p w:rsidR="00870B98" w:rsidRDefault="00870B98">
            <w:pPr>
              <w:pStyle w:val="Heading2"/>
              <w:rPr>
                <w:rFonts w:cs="Arial"/>
                <w:sz w:val="20"/>
                <w:highlight w:val="black"/>
              </w:rPr>
            </w:pPr>
            <w:r>
              <w:rPr>
                <w:rFonts w:cs="Arial"/>
                <w:color w:val="FFFFFF"/>
                <w:sz w:val="20"/>
                <w:highlight w:val="black"/>
              </w:rPr>
              <w:t>Assessment</w:t>
            </w:r>
          </w:p>
        </w:tc>
      </w:tr>
      <w:tr w:rsidR="00870B98" w:rsidTr="00870B98">
        <w:trPr>
          <w:trHeight w:val="551"/>
        </w:trPr>
        <w:tc>
          <w:tcPr>
            <w:tcW w:w="11057" w:type="dxa"/>
            <w:tcBorders>
              <w:top w:val="single" w:sz="4" w:space="0" w:color="auto"/>
              <w:left w:val="single" w:sz="12" w:space="0" w:color="auto"/>
              <w:bottom w:val="single" w:sz="12" w:space="0" w:color="auto"/>
              <w:right w:val="single" w:sz="12" w:space="0" w:color="auto"/>
            </w:tcBorders>
          </w:tcPr>
          <w:p w:rsidR="00870B98" w:rsidRDefault="00870B98">
            <w:pPr>
              <w:jc w:val="both"/>
              <w:rPr>
                <w:rFonts w:ascii="Arial" w:hAnsi="Arial" w:cs="Arial"/>
                <w:b/>
                <w:sz w:val="20"/>
                <w:szCs w:val="20"/>
              </w:rPr>
            </w:pPr>
            <w:r>
              <w:rPr>
                <w:rFonts w:ascii="Arial" w:hAnsi="Arial" w:cs="Arial"/>
                <w:b/>
                <w:sz w:val="20"/>
                <w:szCs w:val="20"/>
              </w:rPr>
              <w:t>Proposal</w:t>
            </w:r>
          </w:p>
          <w:p w:rsidR="00870B98" w:rsidRDefault="00870B98">
            <w:pPr>
              <w:jc w:val="both"/>
              <w:rPr>
                <w:rFonts w:ascii="Arial" w:hAnsi="Arial" w:cs="Arial"/>
                <w:sz w:val="20"/>
                <w:szCs w:val="20"/>
              </w:rPr>
            </w:pPr>
            <w:r>
              <w:rPr>
                <w:rFonts w:ascii="Arial" w:hAnsi="Arial" w:cs="Arial"/>
                <w:sz w:val="20"/>
                <w:szCs w:val="20"/>
              </w:rPr>
              <w:t>The application is to ascertain whether the proposed change of use would constitute permitted development (‘pd’) within the General Permitted Development (‘GDPO’) and therefore be “lawful development”.</w:t>
            </w:r>
          </w:p>
          <w:p w:rsidR="00870B98" w:rsidRDefault="00870B98">
            <w:pPr>
              <w:jc w:val="both"/>
              <w:rPr>
                <w:rFonts w:ascii="Arial" w:hAnsi="Arial" w:cs="Arial"/>
                <w:sz w:val="20"/>
                <w:szCs w:val="20"/>
              </w:rPr>
            </w:pPr>
          </w:p>
          <w:p w:rsidR="00870B98" w:rsidRDefault="00870B98">
            <w:pPr>
              <w:jc w:val="both"/>
              <w:rPr>
                <w:rFonts w:ascii="Arial" w:hAnsi="Arial" w:cs="Arial"/>
                <w:sz w:val="20"/>
                <w:szCs w:val="20"/>
              </w:rPr>
            </w:pPr>
            <w:r>
              <w:rPr>
                <w:rFonts w:ascii="Arial" w:hAnsi="Arial" w:cs="Arial"/>
                <w:sz w:val="20"/>
                <w:szCs w:val="20"/>
              </w:rPr>
              <w:t xml:space="preserve">Development is not permitted by Class J where - </w:t>
            </w:r>
          </w:p>
          <w:p w:rsidR="00870B98" w:rsidRDefault="00870B98">
            <w:pPr>
              <w:jc w:val="both"/>
              <w:rPr>
                <w:rFonts w:ascii="Arial" w:hAnsi="Arial" w:cs="Arial"/>
                <w:sz w:val="20"/>
                <w:szCs w:val="20"/>
              </w:rPr>
            </w:pPr>
            <w:r>
              <w:rPr>
                <w:rFonts w:ascii="Arial" w:hAnsi="Arial" w:cs="Arial"/>
                <w:sz w:val="20"/>
                <w:szCs w:val="20"/>
              </w:rPr>
              <w:t>(a)</w:t>
            </w:r>
            <w:r>
              <w:rPr>
                <w:rFonts w:ascii="Arial" w:hAnsi="Arial" w:cs="Arial"/>
                <w:sz w:val="20"/>
                <w:szCs w:val="20"/>
              </w:rPr>
              <w:tab/>
            </w:r>
            <w:proofErr w:type="gramStart"/>
            <w:r>
              <w:rPr>
                <w:rFonts w:ascii="Arial" w:hAnsi="Arial" w:cs="Arial"/>
                <w:i/>
                <w:sz w:val="20"/>
                <w:szCs w:val="20"/>
              </w:rPr>
              <w:t>the</w:t>
            </w:r>
            <w:proofErr w:type="gramEnd"/>
            <w:r>
              <w:rPr>
                <w:rFonts w:ascii="Arial" w:hAnsi="Arial" w:cs="Arial"/>
                <w:i/>
                <w:sz w:val="20"/>
                <w:szCs w:val="20"/>
              </w:rPr>
              <w:t xml:space="preserve"> building is on article 1(6A) land. </w:t>
            </w:r>
            <w:r>
              <w:rPr>
                <w:rFonts w:ascii="Arial" w:hAnsi="Arial" w:cs="Arial"/>
                <w:b/>
                <w:sz w:val="20"/>
                <w:szCs w:val="20"/>
              </w:rPr>
              <w:t xml:space="preserve">Complies </w:t>
            </w:r>
            <w:r>
              <w:rPr>
                <w:rFonts w:ascii="Arial" w:hAnsi="Arial" w:cs="Arial"/>
                <w:sz w:val="20"/>
                <w:szCs w:val="20"/>
              </w:rPr>
              <w:t>as the</w:t>
            </w:r>
            <w:r>
              <w:rPr>
                <w:rFonts w:ascii="Arial" w:hAnsi="Arial" w:cs="Arial"/>
                <w:b/>
                <w:sz w:val="20"/>
                <w:szCs w:val="20"/>
              </w:rPr>
              <w:t xml:space="preserve"> </w:t>
            </w:r>
            <w:r>
              <w:rPr>
                <w:rFonts w:ascii="Arial" w:hAnsi="Arial" w:cs="Arial"/>
                <w:sz w:val="20"/>
                <w:szCs w:val="20"/>
              </w:rPr>
              <w:t>site it falls outside of the ‘exempt office area’ designation in Camden.</w:t>
            </w:r>
          </w:p>
          <w:p w:rsidR="00870B98" w:rsidRDefault="00870B98">
            <w:pPr>
              <w:jc w:val="both"/>
              <w:rPr>
                <w:rFonts w:ascii="Arial" w:hAnsi="Arial" w:cs="Arial"/>
                <w:b/>
                <w:sz w:val="20"/>
                <w:szCs w:val="20"/>
              </w:rPr>
            </w:pPr>
            <w:r>
              <w:rPr>
                <w:rFonts w:ascii="Arial" w:hAnsi="Arial" w:cs="Arial"/>
                <w:sz w:val="20"/>
                <w:szCs w:val="20"/>
              </w:rPr>
              <w:t>(b)</w:t>
            </w:r>
            <w:r>
              <w:rPr>
                <w:rFonts w:ascii="Arial" w:hAnsi="Arial" w:cs="Arial"/>
                <w:sz w:val="20"/>
                <w:szCs w:val="20"/>
              </w:rPr>
              <w:tab/>
            </w:r>
            <w:r>
              <w:rPr>
                <w:rFonts w:ascii="Arial" w:hAnsi="Arial" w:cs="Arial"/>
                <w:i/>
                <w:sz w:val="20"/>
                <w:szCs w:val="20"/>
              </w:rPr>
              <w:t>the building was not used for a use falling within Class B1(a) (offices) of the Schedule to the Use Classes Order immediately before 30th May 2013 or, if the building was not in use immediately before that date, when it was last in use</w:t>
            </w:r>
            <w:r>
              <w:rPr>
                <w:rFonts w:ascii="Arial" w:hAnsi="Arial" w:cs="Arial"/>
                <w:sz w:val="20"/>
                <w:szCs w:val="20"/>
              </w:rPr>
              <w:t xml:space="preserve">; </w:t>
            </w:r>
            <w:r>
              <w:rPr>
                <w:rFonts w:ascii="Arial" w:hAnsi="Arial" w:cs="Arial"/>
                <w:b/>
                <w:sz w:val="20"/>
                <w:szCs w:val="20"/>
              </w:rPr>
              <w:t>Complies</w:t>
            </w:r>
          </w:p>
          <w:p w:rsidR="00870B98" w:rsidRDefault="00870B98">
            <w:pPr>
              <w:jc w:val="both"/>
              <w:rPr>
                <w:rFonts w:ascii="Arial" w:hAnsi="Arial" w:cs="Arial"/>
                <w:b/>
                <w:sz w:val="20"/>
                <w:szCs w:val="20"/>
              </w:rPr>
            </w:pPr>
            <w:r>
              <w:rPr>
                <w:rFonts w:ascii="Arial" w:hAnsi="Arial" w:cs="Arial"/>
                <w:sz w:val="20"/>
                <w:szCs w:val="20"/>
              </w:rPr>
              <w:t>(c)</w:t>
            </w:r>
            <w:r>
              <w:rPr>
                <w:rFonts w:ascii="Arial" w:hAnsi="Arial" w:cs="Arial"/>
                <w:sz w:val="20"/>
                <w:szCs w:val="20"/>
              </w:rPr>
              <w:tab/>
            </w:r>
            <w:proofErr w:type="gramStart"/>
            <w:r>
              <w:rPr>
                <w:rFonts w:ascii="Arial" w:hAnsi="Arial" w:cs="Arial"/>
                <w:i/>
                <w:sz w:val="20"/>
                <w:szCs w:val="20"/>
              </w:rPr>
              <w:t>the</w:t>
            </w:r>
            <w:proofErr w:type="gramEnd"/>
            <w:r>
              <w:rPr>
                <w:rFonts w:ascii="Arial" w:hAnsi="Arial" w:cs="Arial"/>
                <w:i/>
                <w:sz w:val="20"/>
                <w:szCs w:val="20"/>
              </w:rPr>
              <w:t xml:space="preserve"> use of the building falling within Class C3 (dwellinghouses) of the Schedule to the Use Classes Order was begun after 30th May 2016. </w:t>
            </w:r>
            <w:r>
              <w:rPr>
                <w:rFonts w:ascii="Arial" w:hAnsi="Arial" w:cs="Arial"/>
                <w:b/>
                <w:sz w:val="20"/>
                <w:szCs w:val="20"/>
              </w:rPr>
              <w:t xml:space="preserve">Complies </w:t>
            </w:r>
          </w:p>
          <w:p w:rsidR="00870B98" w:rsidRDefault="00870B98">
            <w:pPr>
              <w:jc w:val="both"/>
              <w:rPr>
                <w:rFonts w:ascii="Arial" w:hAnsi="Arial" w:cs="Arial"/>
                <w:sz w:val="20"/>
                <w:szCs w:val="20"/>
              </w:rPr>
            </w:pPr>
            <w:r>
              <w:rPr>
                <w:rFonts w:ascii="Arial" w:hAnsi="Arial" w:cs="Arial"/>
                <w:sz w:val="20"/>
                <w:szCs w:val="20"/>
              </w:rPr>
              <w:t>(d)</w:t>
            </w:r>
            <w:r>
              <w:rPr>
                <w:rFonts w:ascii="Arial" w:hAnsi="Arial" w:cs="Arial"/>
                <w:sz w:val="20"/>
                <w:szCs w:val="20"/>
              </w:rPr>
              <w:tab/>
            </w:r>
            <w:r>
              <w:rPr>
                <w:rFonts w:ascii="Arial" w:hAnsi="Arial" w:cs="Arial"/>
                <w:i/>
                <w:sz w:val="20"/>
                <w:szCs w:val="20"/>
              </w:rPr>
              <w:t>the site is or forms part of a safety hazard area</w:t>
            </w:r>
            <w:r>
              <w:rPr>
                <w:rFonts w:ascii="Arial" w:hAnsi="Arial" w:cs="Arial"/>
                <w:sz w:val="20"/>
                <w:szCs w:val="20"/>
              </w:rPr>
              <w:t xml:space="preserve">; </w:t>
            </w:r>
            <w:r>
              <w:rPr>
                <w:rFonts w:ascii="Arial" w:hAnsi="Arial" w:cs="Arial"/>
                <w:b/>
                <w:sz w:val="20"/>
                <w:szCs w:val="20"/>
              </w:rPr>
              <w:t xml:space="preserve">Complies </w:t>
            </w:r>
            <w:r>
              <w:rPr>
                <w:rFonts w:ascii="Arial" w:hAnsi="Arial" w:cs="Arial"/>
                <w:sz w:val="20"/>
                <w:szCs w:val="20"/>
              </w:rPr>
              <w:t>as the site</w:t>
            </w:r>
            <w:r>
              <w:rPr>
                <w:rFonts w:ascii="Arial" w:hAnsi="Arial" w:cs="Arial"/>
                <w:b/>
                <w:sz w:val="20"/>
                <w:szCs w:val="20"/>
              </w:rPr>
              <w:t xml:space="preserve"> </w:t>
            </w:r>
            <w:r>
              <w:rPr>
                <w:rFonts w:ascii="Arial" w:hAnsi="Arial" w:cs="Arial"/>
                <w:sz w:val="20"/>
                <w:szCs w:val="20"/>
              </w:rPr>
              <w:t>does not form part of a safety hazard area</w:t>
            </w:r>
          </w:p>
          <w:p w:rsidR="00870B98" w:rsidRDefault="00870B98">
            <w:pPr>
              <w:jc w:val="both"/>
              <w:rPr>
                <w:rFonts w:ascii="Arial" w:hAnsi="Arial" w:cs="Arial"/>
                <w:sz w:val="20"/>
                <w:szCs w:val="20"/>
              </w:rPr>
            </w:pPr>
            <w:r>
              <w:rPr>
                <w:rFonts w:ascii="Arial" w:hAnsi="Arial" w:cs="Arial"/>
                <w:sz w:val="20"/>
                <w:szCs w:val="20"/>
              </w:rPr>
              <w:t>(e)</w:t>
            </w:r>
            <w:r>
              <w:rPr>
                <w:rFonts w:ascii="Arial" w:hAnsi="Arial" w:cs="Arial"/>
                <w:sz w:val="20"/>
                <w:szCs w:val="20"/>
              </w:rPr>
              <w:tab/>
            </w:r>
            <w:r>
              <w:rPr>
                <w:rFonts w:ascii="Arial" w:hAnsi="Arial" w:cs="Arial"/>
                <w:i/>
                <w:sz w:val="20"/>
                <w:szCs w:val="20"/>
              </w:rPr>
              <w:t>the site is or forms part of a military explosives storage area</w:t>
            </w:r>
            <w:r>
              <w:rPr>
                <w:rFonts w:ascii="Arial" w:hAnsi="Arial" w:cs="Arial"/>
                <w:sz w:val="20"/>
                <w:szCs w:val="20"/>
              </w:rPr>
              <w:t xml:space="preserve">; </w:t>
            </w:r>
            <w:r>
              <w:rPr>
                <w:rFonts w:ascii="Arial" w:hAnsi="Arial" w:cs="Arial"/>
                <w:b/>
                <w:sz w:val="20"/>
                <w:szCs w:val="20"/>
              </w:rPr>
              <w:t>Complies</w:t>
            </w:r>
            <w:r>
              <w:rPr>
                <w:rFonts w:ascii="Arial" w:hAnsi="Arial" w:cs="Arial"/>
                <w:sz w:val="20"/>
                <w:szCs w:val="20"/>
              </w:rPr>
              <w:t xml:space="preserve"> as the site  does not form part of a military explosives storage area;</w:t>
            </w:r>
          </w:p>
          <w:p w:rsidR="00870B98" w:rsidRDefault="00870B98">
            <w:pPr>
              <w:jc w:val="both"/>
              <w:rPr>
                <w:rFonts w:ascii="Arial" w:hAnsi="Arial" w:cs="Arial"/>
                <w:sz w:val="20"/>
                <w:szCs w:val="20"/>
              </w:rPr>
            </w:pPr>
            <w:r>
              <w:rPr>
                <w:rFonts w:ascii="Arial" w:hAnsi="Arial" w:cs="Arial"/>
                <w:sz w:val="20"/>
                <w:szCs w:val="20"/>
              </w:rPr>
              <w:t>(f)</w:t>
            </w:r>
            <w:r>
              <w:rPr>
                <w:rFonts w:ascii="Arial" w:hAnsi="Arial" w:cs="Arial"/>
                <w:sz w:val="20"/>
                <w:szCs w:val="20"/>
              </w:rPr>
              <w:tab/>
            </w:r>
            <w:proofErr w:type="gramStart"/>
            <w:r>
              <w:rPr>
                <w:rFonts w:ascii="Arial" w:hAnsi="Arial" w:cs="Arial"/>
                <w:i/>
                <w:sz w:val="20"/>
                <w:szCs w:val="20"/>
              </w:rPr>
              <w:t>the</w:t>
            </w:r>
            <w:proofErr w:type="gramEnd"/>
            <w:r>
              <w:rPr>
                <w:rFonts w:ascii="Arial" w:hAnsi="Arial" w:cs="Arial"/>
                <w:i/>
                <w:sz w:val="20"/>
                <w:szCs w:val="20"/>
              </w:rPr>
              <w:t xml:space="preserve"> building is a listed building or a scheduled monument. </w:t>
            </w:r>
            <w:r>
              <w:rPr>
                <w:rFonts w:ascii="Arial" w:hAnsi="Arial" w:cs="Arial"/>
                <w:b/>
                <w:sz w:val="20"/>
                <w:szCs w:val="20"/>
              </w:rPr>
              <w:t>Complies</w:t>
            </w:r>
            <w:r>
              <w:rPr>
                <w:rFonts w:ascii="Arial" w:hAnsi="Arial" w:cs="Arial"/>
                <w:sz w:val="20"/>
                <w:szCs w:val="20"/>
              </w:rPr>
              <w:t xml:space="preserve">. Whilst the building is locally listed – this is not the same as being listed as locally listed buildings have no statutory protection. </w:t>
            </w:r>
          </w:p>
          <w:p w:rsidR="00870B98" w:rsidRDefault="00870B98">
            <w:pPr>
              <w:jc w:val="both"/>
              <w:rPr>
                <w:rFonts w:ascii="Arial" w:hAnsi="Arial" w:cs="Arial"/>
                <w:sz w:val="20"/>
                <w:szCs w:val="20"/>
              </w:rPr>
            </w:pPr>
          </w:p>
          <w:p w:rsidR="00870B98" w:rsidRDefault="00870B98">
            <w:pPr>
              <w:jc w:val="both"/>
              <w:rPr>
                <w:rFonts w:ascii="Arial" w:hAnsi="Arial" w:cs="Arial"/>
                <w:sz w:val="20"/>
                <w:szCs w:val="20"/>
              </w:rPr>
            </w:pPr>
            <w:r>
              <w:rPr>
                <w:rFonts w:ascii="Arial" w:hAnsi="Arial" w:cs="Arial"/>
                <w:sz w:val="20"/>
                <w:szCs w:val="20"/>
              </w:rPr>
              <w:t>The application complies with each of the above criteria.</w:t>
            </w:r>
          </w:p>
          <w:p w:rsidR="00870B98" w:rsidRDefault="00870B98">
            <w:pPr>
              <w:jc w:val="both"/>
              <w:rPr>
                <w:rFonts w:ascii="Arial" w:hAnsi="Arial" w:cs="Arial"/>
                <w:b/>
                <w:sz w:val="20"/>
                <w:szCs w:val="20"/>
              </w:rPr>
            </w:pPr>
          </w:p>
          <w:p w:rsidR="00870B98" w:rsidRDefault="00870B98">
            <w:pPr>
              <w:jc w:val="both"/>
              <w:rPr>
                <w:rFonts w:ascii="Arial" w:hAnsi="Arial" w:cs="Arial"/>
                <w:b/>
                <w:sz w:val="20"/>
                <w:szCs w:val="20"/>
              </w:rPr>
            </w:pPr>
            <w:r>
              <w:rPr>
                <w:rFonts w:ascii="Arial" w:hAnsi="Arial" w:cs="Arial"/>
                <w:b/>
                <w:sz w:val="20"/>
                <w:szCs w:val="20"/>
              </w:rPr>
              <w:t>Further assessment</w:t>
            </w:r>
          </w:p>
          <w:p w:rsidR="00870B98" w:rsidRDefault="00870B98">
            <w:pPr>
              <w:jc w:val="both"/>
              <w:rPr>
                <w:rFonts w:ascii="Arial" w:hAnsi="Arial" w:cs="Arial"/>
                <w:sz w:val="20"/>
                <w:szCs w:val="20"/>
              </w:rPr>
            </w:pPr>
            <w:r>
              <w:rPr>
                <w:rFonts w:ascii="Arial" w:hAnsi="Arial" w:cs="Arial"/>
                <w:sz w:val="20"/>
                <w:szCs w:val="20"/>
              </w:rPr>
              <w:t xml:space="preserve">As the above pre-requisites are complied with, it falls to the Council to assess the proposal. With regard to the terms of reference of that assessment  paragraph N(8) of the GPDO states: (8) The local planning authority shall, when determining an application: </w:t>
            </w:r>
          </w:p>
          <w:p w:rsidR="00870B98" w:rsidRDefault="00870B98">
            <w:pPr>
              <w:jc w:val="both"/>
              <w:rPr>
                <w:rFonts w:ascii="Arial" w:hAnsi="Arial" w:cs="Arial"/>
                <w:sz w:val="20"/>
                <w:szCs w:val="20"/>
              </w:rPr>
            </w:pPr>
          </w:p>
          <w:p w:rsidR="00870B98" w:rsidRDefault="00870B98">
            <w:pPr>
              <w:jc w:val="both"/>
              <w:rPr>
                <w:rFonts w:ascii="Arial" w:hAnsi="Arial" w:cs="Arial"/>
                <w:sz w:val="20"/>
                <w:szCs w:val="20"/>
              </w:rPr>
            </w:pPr>
            <w:r>
              <w:rPr>
                <w:rFonts w:ascii="Arial" w:hAnsi="Arial" w:cs="Arial"/>
                <w:sz w:val="20"/>
                <w:szCs w:val="20"/>
              </w:rPr>
              <w:t xml:space="preserve">(a) take into account any representations made to them as a result of any consultation under paragraphs (3) or (4) and any notice given under paragraph (6);  </w:t>
            </w:r>
          </w:p>
          <w:p w:rsidR="00870B98" w:rsidRDefault="00870B98">
            <w:pPr>
              <w:jc w:val="both"/>
              <w:rPr>
                <w:rFonts w:ascii="Arial" w:hAnsi="Arial" w:cs="Arial"/>
                <w:sz w:val="20"/>
                <w:szCs w:val="20"/>
              </w:rPr>
            </w:pPr>
            <w:r>
              <w:rPr>
                <w:rFonts w:ascii="Arial" w:hAnsi="Arial" w:cs="Arial"/>
                <w:sz w:val="20"/>
                <w:szCs w:val="20"/>
              </w:rPr>
              <w:t xml:space="preserve">(b) have regard to the National Planning Policy Framework (NPPF) issued by the Department for Communities and Local Government in March 2012 as if the application were a planning application;  </w:t>
            </w:r>
          </w:p>
          <w:p w:rsidR="00870B98" w:rsidRDefault="00870B98">
            <w:pPr>
              <w:jc w:val="both"/>
              <w:rPr>
                <w:rFonts w:ascii="Arial" w:hAnsi="Arial" w:cs="Arial"/>
                <w:sz w:val="20"/>
                <w:szCs w:val="20"/>
              </w:rPr>
            </w:pPr>
          </w:p>
          <w:p w:rsidR="00870B98" w:rsidRDefault="00870B98">
            <w:pPr>
              <w:jc w:val="both"/>
              <w:rPr>
                <w:rFonts w:ascii="Arial" w:hAnsi="Arial" w:cs="Arial"/>
                <w:sz w:val="20"/>
                <w:szCs w:val="20"/>
              </w:rPr>
            </w:pPr>
            <w:r>
              <w:rPr>
                <w:rFonts w:ascii="Arial" w:hAnsi="Arial" w:cs="Arial"/>
                <w:sz w:val="20"/>
                <w:szCs w:val="20"/>
              </w:rPr>
              <w:t>The NPPF can only be taken into consideration in relation to transport and highway impacts and contamination and flooding risks. As such, it is considered that assessment of this application can only take into consideration the matter of transport and highways impacts and flooding and contamination risks and not wider issues such as such as affordable housing, quality of accommodation, educational and community facilities contributions, and public open space contributions.</w:t>
            </w:r>
          </w:p>
          <w:p w:rsidR="00870B98" w:rsidRDefault="00870B98">
            <w:pPr>
              <w:jc w:val="both"/>
              <w:rPr>
                <w:rFonts w:ascii="Arial" w:hAnsi="Arial" w:cs="Arial"/>
                <w:sz w:val="20"/>
                <w:szCs w:val="20"/>
              </w:rPr>
            </w:pPr>
          </w:p>
          <w:p w:rsidR="00870B98" w:rsidRDefault="00870B98">
            <w:pPr>
              <w:jc w:val="both"/>
              <w:rPr>
                <w:rFonts w:ascii="Arial" w:hAnsi="Arial" w:cs="Arial"/>
                <w:sz w:val="20"/>
                <w:szCs w:val="20"/>
                <w:u w:val="single"/>
              </w:rPr>
            </w:pPr>
            <w:r>
              <w:rPr>
                <w:rFonts w:ascii="Arial" w:hAnsi="Arial" w:cs="Arial"/>
                <w:sz w:val="20"/>
                <w:szCs w:val="20"/>
                <w:u w:val="single"/>
              </w:rPr>
              <w:t xml:space="preserve">Transport and highways impact </w:t>
            </w:r>
          </w:p>
          <w:p w:rsidR="00870B98" w:rsidRDefault="00870B98">
            <w:pPr>
              <w:jc w:val="both"/>
              <w:rPr>
                <w:rFonts w:ascii="Arial" w:hAnsi="Arial" w:cs="Arial"/>
                <w:sz w:val="20"/>
                <w:szCs w:val="20"/>
              </w:rPr>
            </w:pPr>
            <w:r>
              <w:rPr>
                <w:rFonts w:ascii="Arial" w:hAnsi="Arial" w:cs="Arial"/>
                <w:sz w:val="20"/>
                <w:szCs w:val="20"/>
              </w:rPr>
              <w:t xml:space="preserve">The NPPF confirms that transport policies have an important role to play in facilitating sustainable development. Paragraph 29 states that “the transport system needs to be balanced in favour of sustainable transport modes, giving people a real choice about how they travel”.  It also recognises that “different communities and opportunities to maximise sustainable transport solutions will vary from urban to rural areas.” Given that Camden is within a densely populated urban </w:t>
            </w:r>
            <w:r>
              <w:rPr>
                <w:rFonts w:ascii="Arial" w:hAnsi="Arial" w:cs="Arial"/>
                <w:sz w:val="20"/>
                <w:szCs w:val="20"/>
              </w:rPr>
              <w:lastRenderedPageBreak/>
              <w:t xml:space="preserve">area of London it is considered necessary to maximise sustainable transport solutions.  </w:t>
            </w:r>
          </w:p>
          <w:p w:rsidR="00870B98" w:rsidRDefault="00870B98">
            <w:pPr>
              <w:jc w:val="both"/>
              <w:rPr>
                <w:rFonts w:ascii="Arial" w:hAnsi="Arial" w:cs="Arial"/>
                <w:i/>
                <w:sz w:val="20"/>
                <w:szCs w:val="20"/>
              </w:rPr>
            </w:pPr>
          </w:p>
          <w:p w:rsidR="00870B98" w:rsidRDefault="00870B98">
            <w:pPr>
              <w:jc w:val="both"/>
              <w:rPr>
                <w:rFonts w:ascii="Arial" w:hAnsi="Arial" w:cs="Arial"/>
                <w:i/>
                <w:sz w:val="20"/>
                <w:szCs w:val="20"/>
              </w:rPr>
            </w:pPr>
            <w:r>
              <w:rPr>
                <w:rFonts w:ascii="Arial" w:hAnsi="Arial" w:cs="Arial"/>
                <w:i/>
                <w:sz w:val="20"/>
                <w:szCs w:val="20"/>
              </w:rPr>
              <w:t>On-street parking</w:t>
            </w:r>
          </w:p>
          <w:p w:rsidR="00870B98" w:rsidRDefault="00870B98">
            <w:pPr>
              <w:jc w:val="both"/>
              <w:rPr>
                <w:rFonts w:ascii="Arial" w:hAnsi="Arial" w:cs="Arial"/>
                <w:sz w:val="20"/>
                <w:szCs w:val="20"/>
              </w:rPr>
            </w:pPr>
            <w:r>
              <w:rPr>
                <w:rFonts w:ascii="Arial" w:hAnsi="Arial" w:cs="Arial"/>
                <w:sz w:val="20"/>
                <w:szCs w:val="20"/>
              </w:rPr>
              <w:t xml:space="preserve">The Council has considered the highways impacts of the change of use and whether to seek appropriate mitigation measures to mediate against any highways impacts.  The development is likely to result in a material increase / material change in the character of traffic in the vicinity of the site and would seek mitigation measures to mediate against any impacts on the highway network.  The new residential units could apply for residents parking permits if there are no restrictions in place to remove this.  The site has good access to public transport. (PTAL rating 5) and the area suffers from parking stress. Therefore the proposed residential unit should be secured by a S106 legal agreement to be car free. </w:t>
            </w:r>
          </w:p>
          <w:p w:rsidR="00870B98" w:rsidRDefault="00870B98">
            <w:pPr>
              <w:jc w:val="both"/>
              <w:rPr>
                <w:rFonts w:ascii="Arial" w:hAnsi="Arial" w:cs="Arial"/>
                <w:i/>
                <w:sz w:val="20"/>
                <w:szCs w:val="20"/>
              </w:rPr>
            </w:pPr>
          </w:p>
          <w:p w:rsidR="00870B98" w:rsidRDefault="00870B98">
            <w:pPr>
              <w:jc w:val="both"/>
              <w:rPr>
                <w:rFonts w:ascii="Arial" w:hAnsi="Arial" w:cs="Arial"/>
                <w:i/>
                <w:sz w:val="20"/>
                <w:szCs w:val="20"/>
              </w:rPr>
            </w:pPr>
            <w:r>
              <w:rPr>
                <w:rFonts w:ascii="Arial" w:hAnsi="Arial" w:cs="Arial"/>
                <w:i/>
                <w:sz w:val="20"/>
                <w:szCs w:val="20"/>
              </w:rPr>
              <w:t>Cycle parking</w:t>
            </w:r>
          </w:p>
          <w:p w:rsidR="00870B98" w:rsidRDefault="00870B98">
            <w:pPr>
              <w:jc w:val="both"/>
              <w:rPr>
                <w:rFonts w:ascii="Arial" w:hAnsi="Arial" w:cs="Arial"/>
                <w:sz w:val="20"/>
                <w:szCs w:val="20"/>
              </w:rPr>
            </w:pPr>
            <w:r>
              <w:rPr>
                <w:rFonts w:ascii="Arial" w:hAnsi="Arial" w:cs="Arial"/>
                <w:sz w:val="20"/>
                <w:szCs w:val="20"/>
              </w:rPr>
              <w:t xml:space="preserve">The submitted plans do not show any provision for cycle parking on-site.  Paragraph 8(b) of the prior approval legislation states that the local planning authority shall have regard to the NPPF as if the application were a planning application in relation to the three categories that can be considered by the Council.  Paragraph 29 of the NPPF states that “the transport system needs to be balanced in favour of sustainable transport modes, giving people a real choice about how they travel.”  In paragraph 35 it goes on to advise that “developments should be located and designed where practical to…give priority to pedestrian and cycle movements, and have access to high quality public transport facilities.”  The requirement for one cycle parking space </w:t>
            </w:r>
            <w:r w:rsidR="001C16F5">
              <w:rPr>
                <w:rFonts w:ascii="Arial" w:hAnsi="Arial" w:cs="Arial"/>
                <w:sz w:val="20"/>
                <w:szCs w:val="20"/>
              </w:rPr>
              <w:t>could easily be accommodated within the new accommodation and therefore it is not considered that cycle provision will need to be secured by s</w:t>
            </w:r>
            <w:r>
              <w:rPr>
                <w:rFonts w:ascii="Arial" w:hAnsi="Arial" w:cs="Arial"/>
                <w:sz w:val="20"/>
                <w:szCs w:val="20"/>
              </w:rPr>
              <w:t xml:space="preserve">ection 106 legal </w:t>
            </w:r>
            <w:proofErr w:type="gramStart"/>
            <w:r>
              <w:rPr>
                <w:rFonts w:ascii="Arial" w:hAnsi="Arial" w:cs="Arial"/>
                <w:sz w:val="20"/>
                <w:szCs w:val="20"/>
              </w:rPr>
              <w:t>agreement</w:t>
            </w:r>
            <w:proofErr w:type="gramEnd"/>
            <w:r>
              <w:rPr>
                <w:rFonts w:ascii="Arial" w:hAnsi="Arial" w:cs="Arial"/>
                <w:sz w:val="20"/>
                <w:szCs w:val="20"/>
              </w:rPr>
              <w:t xml:space="preserve">. </w:t>
            </w:r>
          </w:p>
          <w:p w:rsidR="00870B98" w:rsidRDefault="00870B98">
            <w:pPr>
              <w:jc w:val="both"/>
              <w:rPr>
                <w:rFonts w:ascii="Arial" w:hAnsi="Arial" w:cs="Arial"/>
                <w:sz w:val="20"/>
                <w:szCs w:val="20"/>
              </w:rPr>
            </w:pPr>
          </w:p>
          <w:p w:rsidR="00870B98" w:rsidRDefault="00870B98">
            <w:pPr>
              <w:jc w:val="both"/>
              <w:rPr>
                <w:rFonts w:ascii="Arial" w:hAnsi="Arial" w:cs="Arial"/>
                <w:sz w:val="20"/>
                <w:szCs w:val="20"/>
              </w:rPr>
            </w:pPr>
            <w:r>
              <w:rPr>
                <w:rFonts w:ascii="Arial" w:hAnsi="Arial" w:cs="Arial"/>
                <w:b/>
                <w:sz w:val="20"/>
                <w:szCs w:val="20"/>
                <w:u w:val="single"/>
              </w:rPr>
              <w:t>Contamination risks on the site</w:t>
            </w:r>
          </w:p>
          <w:p w:rsidR="00870B98" w:rsidRDefault="00870B98">
            <w:pPr>
              <w:jc w:val="both"/>
              <w:rPr>
                <w:rFonts w:ascii="Arial" w:hAnsi="Arial" w:cs="Arial"/>
                <w:sz w:val="20"/>
                <w:szCs w:val="20"/>
              </w:rPr>
            </w:pPr>
            <w:r>
              <w:rPr>
                <w:rFonts w:ascii="Arial" w:hAnsi="Arial" w:cs="Arial"/>
                <w:sz w:val="20"/>
                <w:szCs w:val="20"/>
              </w:rPr>
              <w:t xml:space="preserve">Council records indicate that the property is within an area of medium risk contamination with the site being used as an organ works from 1952-1954 and a factory from 1965 – 1971. The submission includes no supporting documents to address matters relating to contaminated land and therefore it has not been sufficiently demonstrated that either the site is no longer contaminated or that the proposal would not lead to contaminated land issues. </w:t>
            </w:r>
          </w:p>
          <w:p w:rsidR="00870B98" w:rsidRDefault="00870B98">
            <w:pPr>
              <w:jc w:val="both"/>
              <w:rPr>
                <w:rFonts w:ascii="Arial" w:hAnsi="Arial" w:cs="Arial"/>
                <w:b/>
                <w:sz w:val="20"/>
                <w:szCs w:val="20"/>
                <w:u w:val="single"/>
              </w:rPr>
            </w:pPr>
          </w:p>
          <w:p w:rsidR="00870B98" w:rsidRDefault="00870B98">
            <w:pPr>
              <w:jc w:val="both"/>
              <w:rPr>
                <w:rFonts w:ascii="Arial" w:hAnsi="Arial" w:cs="Arial"/>
                <w:b/>
                <w:sz w:val="20"/>
                <w:szCs w:val="20"/>
                <w:u w:val="single"/>
              </w:rPr>
            </w:pPr>
            <w:r>
              <w:rPr>
                <w:rFonts w:ascii="Arial" w:hAnsi="Arial" w:cs="Arial"/>
                <w:b/>
                <w:sz w:val="20"/>
                <w:szCs w:val="20"/>
                <w:u w:val="single"/>
              </w:rPr>
              <w:t>Flooding risks on the site</w:t>
            </w:r>
          </w:p>
          <w:p w:rsidR="00870B98" w:rsidRDefault="00870B98">
            <w:pPr>
              <w:jc w:val="both"/>
              <w:rPr>
                <w:rFonts w:ascii="Arial" w:hAnsi="Arial" w:cs="Arial"/>
                <w:sz w:val="20"/>
                <w:szCs w:val="20"/>
              </w:rPr>
            </w:pPr>
            <w:r>
              <w:rPr>
                <w:rFonts w:ascii="Arial" w:hAnsi="Arial" w:cs="Arial"/>
                <w:sz w:val="20"/>
                <w:szCs w:val="20"/>
              </w:rPr>
              <w:t xml:space="preserve">The site is not located in a flood risk zone. </w:t>
            </w:r>
          </w:p>
          <w:p w:rsidR="00870B98" w:rsidRDefault="00870B98">
            <w:pPr>
              <w:jc w:val="both"/>
              <w:rPr>
                <w:rFonts w:ascii="Arial" w:hAnsi="Arial" w:cs="Arial"/>
                <w:b/>
                <w:sz w:val="20"/>
                <w:szCs w:val="20"/>
              </w:rPr>
            </w:pPr>
          </w:p>
          <w:p w:rsidR="00870B98" w:rsidRDefault="00870B98">
            <w:pPr>
              <w:jc w:val="both"/>
              <w:rPr>
                <w:rFonts w:ascii="Arial" w:hAnsi="Arial" w:cs="Arial"/>
                <w:b/>
                <w:sz w:val="20"/>
                <w:szCs w:val="20"/>
                <w:u w:val="single"/>
              </w:rPr>
            </w:pPr>
            <w:r>
              <w:rPr>
                <w:rFonts w:ascii="Arial" w:hAnsi="Arial" w:cs="Arial"/>
                <w:b/>
                <w:sz w:val="20"/>
                <w:szCs w:val="20"/>
                <w:u w:val="single"/>
              </w:rPr>
              <w:t>Recommendation</w:t>
            </w:r>
          </w:p>
          <w:p w:rsidR="00870B98" w:rsidRDefault="00870B98">
            <w:pPr>
              <w:jc w:val="both"/>
              <w:rPr>
                <w:rFonts w:ascii="Arial" w:hAnsi="Arial" w:cs="Arial"/>
                <w:sz w:val="20"/>
                <w:szCs w:val="20"/>
              </w:rPr>
            </w:pPr>
            <w:r>
              <w:rPr>
                <w:rFonts w:ascii="Arial" w:hAnsi="Arial" w:cs="Arial"/>
                <w:sz w:val="20"/>
                <w:szCs w:val="20"/>
              </w:rPr>
              <w:t xml:space="preserve">In light of the above, the application is recommended for refusal on the following grounds:  </w:t>
            </w:r>
          </w:p>
          <w:p w:rsidR="00870B98" w:rsidRDefault="00870B98">
            <w:pPr>
              <w:jc w:val="both"/>
              <w:rPr>
                <w:rFonts w:ascii="Arial" w:hAnsi="Arial" w:cs="Arial"/>
                <w:sz w:val="20"/>
                <w:szCs w:val="20"/>
              </w:rPr>
            </w:pPr>
          </w:p>
          <w:p w:rsidR="00870B98" w:rsidRDefault="00870B98">
            <w:pPr>
              <w:jc w:val="both"/>
              <w:rPr>
                <w:rFonts w:ascii="Arial" w:hAnsi="Arial" w:cs="Arial"/>
                <w:sz w:val="20"/>
                <w:szCs w:val="20"/>
              </w:rPr>
            </w:pPr>
            <w:r>
              <w:rPr>
                <w:rFonts w:ascii="Arial" w:hAnsi="Arial" w:cs="Arial"/>
                <w:sz w:val="20"/>
                <w:szCs w:val="20"/>
              </w:rPr>
              <w:t xml:space="preserve">- The applicant has failed to provide supporting information to confirm that the development would not lead to contaminated land issues.   </w:t>
            </w:r>
          </w:p>
          <w:p w:rsidR="00870B98" w:rsidRDefault="00870B98">
            <w:pPr>
              <w:jc w:val="both"/>
              <w:rPr>
                <w:rFonts w:ascii="Arial" w:hAnsi="Arial" w:cs="Arial"/>
                <w:sz w:val="20"/>
                <w:szCs w:val="20"/>
              </w:rPr>
            </w:pPr>
          </w:p>
          <w:p w:rsidR="00870B98" w:rsidRDefault="00870B98">
            <w:pPr>
              <w:jc w:val="both"/>
              <w:rPr>
                <w:rFonts w:ascii="Arial" w:hAnsi="Arial" w:cs="Arial"/>
                <w:sz w:val="20"/>
                <w:szCs w:val="20"/>
              </w:rPr>
            </w:pPr>
            <w:r>
              <w:rPr>
                <w:rFonts w:ascii="Arial" w:hAnsi="Arial" w:cs="Arial"/>
                <w:sz w:val="20"/>
                <w:szCs w:val="20"/>
              </w:rPr>
              <w:t xml:space="preserve">- The applicant has failed to complete a S106 confirming </w:t>
            </w:r>
            <w:r w:rsidR="00625387">
              <w:rPr>
                <w:rFonts w:ascii="Arial" w:hAnsi="Arial" w:cs="Arial"/>
                <w:sz w:val="20"/>
                <w:szCs w:val="20"/>
              </w:rPr>
              <w:t>a</w:t>
            </w:r>
            <w:r>
              <w:rPr>
                <w:rFonts w:ascii="Arial" w:hAnsi="Arial" w:cs="Arial"/>
                <w:sz w:val="20"/>
                <w:szCs w:val="20"/>
              </w:rPr>
              <w:t xml:space="preserve"> car free development. </w:t>
            </w:r>
          </w:p>
          <w:p w:rsidR="00870B98" w:rsidRDefault="00870B98">
            <w:pPr>
              <w:jc w:val="both"/>
              <w:rPr>
                <w:rFonts w:ascii="Arial" w:hAnsi="Arial" w:cs="Arial"/>
                <w:b/>
                <w:sz w:val="20"/>
                <w:szCs w:val="20"/>
              </w:rPr>
            </w:pPr>
          </w:p>
        </w:tc>
      </w:tr>
    </w:tbl>
    <w:p w:rsidR="00870B98" w:rsidRDefault="00870B98" w:rsidP="00870B98">
      <w:pPr>
        <w:rPr>
          <w:sz w:val="20"/>
          <w:szCs w:val="20"/>
        </w:rPr>
      </w:pPr>
    </w:p>
    <w:p w:rsidR="003B4AC7" w:rsidRPr="00870B98" w:rsidRDefault="003B4AC7" w:rsidP="00870B98"/>
    <w:sectPr w:rsidR="003B4AC7" w:rsidRPr="00870B98" w:rsidSect="00FC13C4">
      <w:pgSz w:w="11906" w:h="16838"/>
      <w:pgMar w:top="567" w:right="1797" w:bottom="567"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AC7"/>
    <w:rsid w:val="000B3B35"/>
    <w:rsid w:val="001C16F5"/>
    <w:rsid w:val="001C5F6F"/>
    <w:rsid w:val="001F4589"/>
    <w:rsid w:val="003B4AC7"/>
    <w:rsid w:val="003E55FD"/>
    <w:rsid w:val="004636C3"/>
    <w:rsid w:val="00484B83"/>
    <w:rsid w:val="00510861"/>
    <w:rsid w:val="00625387"/>
    <w:rsid w:val="00870B98"/>
    <w:rsid w:val="008C66FE"/>
    <w:rsid w:val="00FC1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rFonts w:ascii="Arial" w:hAnsi="Arial"/>
      <w:szCs w:val="20"/>
    </w:rPr>
  </w:style>
  <w:style w:type="paragraph" w:styleId="Heading2">
    <w:name w:val="heading 2"/>
    <w:basedOn w:val="Normal"/>
    <w:next w:val="Normal"/>
    <w:link w:val="Heading2Char"/>
    <w:qFormat/>
    <w:pPr>
      <w:keepNext/>
      <w:outlineLvl w:val="1"/>
    </w:pPr>
    <w:rPr>
      <w:rFonts w:ascii="Arial" w:hAnsi="Arial"/>
      <w:b/>
      <w:szCs w:val="20"/>
    </w:rPr>
  </w:style>
  <w:style w:type="paragraph" w:styleId="Heading3">
    <w:name w:val="heading 3"/>
    <w:basedOn w:val="Normal"/>
    <w:next w:val="Normal"/>
    <w:link w:val="Heading3Char"/>
    <w:qFormat/>
    <w:pPr>
      <w:keepNext/>
      <w:outlineLvl w:val="2"/>
    </w:pPr>
    <w:rPr>
      <w:rFonts w:ascii="Comic Sans MS" w:hAnsi="Comic Sans MS" w:cs="Arial"/>
      <w:b/>
      <w:bCs/>
      <w:sz w:val="20"/>
    </w:rPr>
  </w:style>
  <w:style w:type="paragraph" w:styleId="Heading4">
    <w:name w:val="heading 4"/>
    <w:basedOn w:val="Normal"/>
    <w:next w:val="Normal"/>
    <w:link w:val="Heading4Char"/>
    <w:qFormat/>
    <w:pPr>
      <w:keepNext/>
      <w:jc w:val="center"/>
      <w:outlineLvl w:val="3"/>
    </w:pPr>
    <w:rPr>
      <w:rFonts w:ascii="Arial" w:hAnsi="Arial"/>
      <w:b/>
      <w:sz w:val="3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mphasis">
    <w:name w:val="Emphasis"/>
    <w:qFormat/>
    <w:rsid w:val="003B4AC7"/>
    <w:rPr>
      <w:i/>
      <w:iCs/>
    </w:rPr>
  </w:style>
  <w:style w:type="character" w:styleId="Strong">
    <w:name w:val="Strong"/>
    <w:qFormat/>
    <w:rsid w:val="003B4AC7"/>
    <w:rPr>
      <w:b/>
      <w:bCs/>
    </w:rPr>
  </w:style>
  <w:style w:type="paragraph" w:customStyle="1" w:styleId="styleverdana11ptleftbefore5ptafter5pt">
    <w:name w:val="styleverdana11ptleftbefore5ptafter5pt"/>
    <w:basedOn w:val="Normal"/>
    <w:rsid w:val="004636C3"/>
    <w:pPr>
      <w:spacing w:before="100" w:beforeAutospacing="1" w:after="100" w:afterAutospacing="1"/>
    </w:pPr>
    <w:rPr>
      <w:lang w:eastAsia="en-GB"/>
    </w:rPr>
  </w:style>
  <w:style w:type="character" w:customStyle="1" w:styleId="Heading1Char">
    <w:name w:val="Heading 1 Char"/>
    <w:link w:val="Heading1"/>
    <w:rsid w:val="00870B98"/>
    <w:rPr>
      <w:rFonts w:ascii="Arial" w:hAnsi="Arial"/>
      <w:sz w:val="24"/>
      <w:lang w:eastAsia="en-US"/>
    </w:rPr>
  </w:style>
  <w:style w:type="character" w:customStyle="1" w:styleId="Heading2Char">
    <w:name w:val="Heading 2 Char"/>
    <w:link w:val="Heading2"/>
    <w:rsid w:val="00870B98"/>
    <w:rPr>
      <w:rFonts w:ascii="Arial" w:hAnsi="Arial"/>
      <w:b/>
      <w:sz w:val="24"/>
      <w:lang w:eastAsia="en-US"/>
    </w:rPr>
  </w:style>
  <w:style w:type="character" w:customStyle="1" w:styleId="Heading3Char">
    <w:name w:val="Heading 3 Char"/>
    <w:link w:val="Heading3"/>
    <w:rsid w:val="00870B98"/>
    <w:rPr>
      <w:rFonts w:ascii="Comic Sans MS" w:hAnsi="Comic Sans MS" w:cs="Arial"/>
      <w:b/>
      <w:bCs/>
      <w:szCs w:val="24"/>
      <w:lang w:eastAsia="en-US"/>
    </w:rPr>
  </w:style>
  <w:style w:type="character" w:customStyle="1" w:styleId="Heading4Char">
    <w:name w:val="Heading 4 Char"/>
    <w:link w:val="Heading4"/>
    <w:rsid w:val="00870B98"/>
    <w:rPr>
      <w:rFonts w:ascii="Arial" w:hAnsi="Arial"/>
      <w:b/>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056381">
      <w:bodyDiv w:val="1"/>
      <w:marLeft w:val="0"/>
      <w:marRight w:val="0"/>
      <w:marTop w:val="0"/>
      <w:marBottom w:val="0"/>
      <w:divBdr>
        <w:top w:val="none" w:sz="0" w:space="0" w:color="auto"/>
        <w:left w:val="none" w:sz="0" w:space="0" w:color="auto"/>
        <w:bottom w:val="none" w:sz="0" w:space="0" w:color="auto"/>
        <w:right w:val="none" w:sz="0" w:space="0" w:color="auto"/>
      </w:divBdr>
    </w:div>
    <w:div w:id="728503999">
      <w:bodyDiv w:val="1"/>
      <w:marLeft w:val="0"/>
      <w:marRight w:val="0"/>
      <w:marTop w:val="0"/>
      <w:marBottom w:val="0"/>
      <w:divBdr>
        <w:top w:val="none" w:sz="0" w:space="0" w:color="auto"/>
        <w:left w:val="none" w:sz="0" w:space="0" w:color="auto"/>
        <w:bottom w:val="none" w:sz="0" w:space="0" w:color="auto"/>
        <w:right w:val="none" w:sz="0" w:space="0" w:color="auto"/>
      </w:divBdr>
      <w:divsChild>
        <w:div w:id="1785493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6303</Characters>
  <Application>Microsoft Office Word</Application>
  <DocSecurity>0</DocSecurity>
  <Lines>176</Lines>
  <Paragraphs>86</Paragraphs>
  <ScaleCrop>false</ScaleCrop>
  <HeadingPairs>
    <vt:vector size="2" baseType="variant">
      <vt:variant>
        <vt:lpstr>Title</vt:lpstr>
      </vt:variant>
      <vt:variant>
        <vt:i4>1</vt:i4>
      </vt:variant>
    </vt:vector>
  </HeadingPairs>
  <TitlesOfParts>
    <vt:vector size="1" baseType="lpstr">
      <vt:lpstr>Delegated Report</vt:lpstr>
    </vt:vector>
  </TitlesOfParts>
  <Company>MVM Consultants plc</Company>
  <LinksUpToDate>false</LinksUpToDate>
  <CharactersWithSpaces>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Delegated Report</dc:title>
  <dc:subject/>
  <dc:creator>Administrator</dc:creator>
  <cp:keywords/>
  <dc:description/>
  <cp:lastModifiedBy>Scarisbrick, Karen</cp:lastModifiedBy>
  <cp:revision>2</cp:revision>
  <dcterms:created xsi:type="dcterms:W3CDTF">2014-10-27T11:22:00Z</dcterms:created>
  <dcterms:modified xsi:type="dcterms:W3CDTF">2014-10-27T11:22:00Z</dcterms:modified>
</cp:coreProperties>
</file>