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054" w:rsidRDefault="00300054" w:rsidP="00300054">
      <w:pPr>
        <w:rPr>
          <w:b/>
        </w:rPr>
      </w:pPr>
    </w:p>
    <w:p w:rsidR="00300054" w:rsidRPr="00300054" w:rsidRDefault="000E7372" w:rsidP="00300054">
      <w:pPr>
        <w:rPr>
          <w:b/>
          <w:sz w:val="32"/>
          <w:szCs w:val="32"/>
        </w:rPr>
      </w:pPr>
      <w:r>
        <w:rPr>
          <w:b/>
          <w:sz w:val="32"/>
          <w:szCs w:val="32"/>
        </w:rPr>
        <w:t xml:space="preserve">Design Statement – Proposed Garden </w:t>
      </w:r>
      <w:r w:rsidR="00B53FCE">
        <w:rPr>
          <w:b/>
          <w:sz w:val="32"/>
          <w:szCs w:val="32"/>
        </w:rPr>
        <w:t xml:space="preserve">Main </w:t>
      </w:r>
      <w:r>
        <w:rPr>
          <w:b/>
          <w:sz w:val="32"/>
          <w:szCs w:val="32"/>
        </w:rPr>
        <w:t>Entrance Gates</w:t>
      </w:r>
    </w:p>
    <w:p w:rsidR="000E7372" w:rsidRDefault="000E7372" w:rsidP="00300054">
      <w:r>
        <w:t xml:space="preserve">Since the indicative landscaping proposals submitted at planning </w:t>
      </w:r>
      <w:r w:rsidR="00B53FCE">
        <w:t xml:space="preserve">(April 2013) the applicant has revised the design of the Garden Main Entrance Gates. These amendments have had regard to the comments raised by London Borough of Camden Parks Officers at the time of the original application </w:t>
      </w:r>
      <w:r w:rsidR="00B53FCE">
        <w:t>(comments from J. Gibbons 15/05/2013).</w:t>
      </w:r>
    </w:p>
    <w:p w:rsidR="00B53FCE" w:rsidRDefault="00B53FCE" w:rsidP="00300054">
      <w:pPr>
        <w:rPr>
          <w:b/>
        </w:rPr>
      </w:pPr>
      <w:r w:rsidRPr="00B53FCE">
        <w:rPr>
          <w:b/>
        </w:rPr>
        <w:t xml:space="preserve">Original </w:t>
      </w:r>
      <w:r>
        <w:rPr>
          <w:b/>
        </w:rPr>
        <w:t xml:space="preserve">Indicative </w:t>
      </w:r>
      <w:r w:rsidRPr="00B53FCE">
        <w:rPr>
          <w:b/>
        </w:rPr>
        <w:t>Proposals</w:t>
      </w:r>
      <w:r>
        <w:rPr>
          <w:b/>
        </w:rPr>
        <w:t xml:space="preserve"> (April 2013)</w:t>
      </w:r>
    </w:p>
    <w:p w:rsidR="00B53FCE" w:rsidRDefault="00C2604D" w:rsidP="00300054">
      <w:r w:rsidRPr="00C2604D">
        <w:t xml:space="preserve">The </w:t>
      </w:r>
      <w:r>
        <w:t>indicative landscaping proposals submitted at planning proposed a new wider main entrance to the Gardens. The proposed design comprised wide leaf gates with two wide low arches. See Viewpoint 1 of enclosed plan 1488.P111 Cartwright Gardens Community Use.</w:t>
      </w:r>
    </w:p>
    <w:p w:rsidR="00C2604D" w:rsidRDefault="00C2604D" w:rsidP="00300054">
      <w:pPr>
        <w:rPr>
          <w:b/>
        </w:rPr>
      </w:pPr>
      <w:r w:rsidRPr="00C2604D">
        <w:rPr>
          <w:b/>
        </w:rPr>
        <w:t>LB Camden Parks Comments</w:t>
      </w:r>
    </w:p>
    <w:p w:rsidR="00C2604D" w:rsidRPr="00C2604D" w:rsidRDefault="00C2604D" w:rsidP="00300054">
      <w:r>
        <w:t xml:space="preserve">On the indicative proposals, LB </w:t>
      </w:r>
      <w:r w:rsidRPr="00C2604D">
        <w:t xml:space="preserve">Camden </w:t>
      </w:r>
      <w:r>
        <w:t>Parks Officers advised (15.05.2013):</w:t>
      </w:r>
    </w:p>
    <w:p w:rsidR="00C2604D" w:rsidRDefault="00C2604D" w:rsidP="00C2604D">
      <w:pPr>
        <w:ind w:left="720"/>
      </w:pPr>
      <w:r>
        <w:t>“</w:t>
      </w:r>
      <w:r w:rsidRPr="00C2604D">
        <w:t>A wider, more welcoming, main entrance is also welcomed, although there are</w:t>
      </w:r>
      <w:r>
        <w:t xml:space="preserve"> </w:t>
      </w:r>
      <w:r w:rsidRPr="00C2604D">
        <w:t>concerns regarding the illustrated design (wide leaf gates and two wide low</w:t>
      </w:r>
      <w:r>
        <w:t xml:space="preserve"> </w:t>
      </w:r>
      <w:r w:rsidRPr="00C2604D">
        <w:t>arches). It is important that the treatment of this entrance is of a scale appropriate</w:t>
      </w:r>
      <w:r>
        <w:t xml:space="preserve"> </w:t>
      </w:r>
      <w:r w:rsidRPr="00C2604D">
        <w:t>to the site, in keeping with historical character of the space, and also that it does</w:t>
      </w:r>
      <w:r>
        <w:t xml:space="preserve"> </w:t>
      </w:r>
      <w:r w:rsidRPr="00C2604D">
        <w:t>not compromise the security of the space by making it easier to scale the railings</w:t>
      </w:r>
      <w:r>
        <w:t>”</w:t>
      </w:r>
      <w:r w:rsidRPr="00C2604D">
        <w:t>.</w:t>
      </w:r>
    </w:p>
    <w:p w:rsidR="00C2604D" w:rsidRPr="00C2604D" w:rsidRDefault="00C2604D" w:rsidP="00300054">
      <w:pPr>
        <w:rPr>
          <w:b/>
        </w:rPr>
      </w:pPr>
      <w:r w:rsidRPr="00C2604D">
        <w:rPr>
          <w:b/>
        </w:rPr>
        <w:t>Revised Proposals Submitted Pursuant to Condition 5</w:t>
      </w:r>
    </w:p>
    <w:p w:rsidR="00C2604D" w:rsidRDefault="00B53FCE" w:rsidP="00B53FCE">
      <w:r>
        <w:t>The</w:t>
      </w:r>
      <w:r>
        <w:t xml:space="preserve"> revised proposals </w:t>
      </w:r>
      <w:r>
        <w:t>continue to propose a wider, more welcoming, main entrance</w:t>
      </w:r>
      <w:r w:rsidR="00C2604D">
        <w:t xml:space="preserve"> allowing greater access with the proposed </w:t>
      </w:r>
      <w:r w:rsidR="00C2604D">
        <w:t>installation of 2 new entrance gates</w:t>
      </w:r>
      <w:r>
        <w:t>.</w:t>
      </w:r>
    </w:p>
    <w:p w:rsidR="00C2604D" w:rsidRDefault="00C2604D" w:rsidP="00B53FCE">
      <w:r>
        <w:t xml:space="preserve">The gates are now proposed to </w:t>
      </w:r>
      <w:r>
        <w:t>match the existing boundary treatment of the park</w:t>
      </w:r>
      <w:r>
        <w:t xml:space="preserve"> to complement the park’s scale and historic context.</w:t>
      </w:r>
    </w:p>
    <w:p w:rsidR="00C2604D" w:rsidRDefault="00300054" w:rsidP="00300054">
      <w:r>
        <w:t>Each double swing gate will be constructed of identical railings which are square in section and have pointed finials that currently run on the perimeter of the park (</w:t>
      </w:r>
      <w:r w:rsidR="00C2604D">
        <w:t>p</w:t>
      </w:r>
      <w:r>
        <w:t xml:space="preserve">ainted in black). </w:t>
      </w:r>
    </w:p>
    <w:p w:rsidR="00300054" w:rsidRDefault="00300054" w:rsidP="00300054">
      <w:r>
        <w:t>Each double swing gate when fully opened will provide an entry clearance of 5</w:t>
      </w:r>
      <w:r w:rsidR="00C2604D">
        <w:t xml:space="preserve"> </w:t>
      </w:r>
      <w:r>
        <w:t>m</w:t>
      </w:r>
      <w:r w:rsidR="00C2604D">
        <w:t>etres. T</w:t>
      </w:r>
      <w:r>
        <w:t>hese entry points use a set of hexagonal posts which define each opening and are identical in design to the existing which are currently used to the parks single swing gates.</w:t>
      </w:r>
    </w:p>
    <w:p w:rsidR="00300054" w:rsidRDefault="00C2604D" w:rsidP="00300054">
      <w:r>
        <w:t>When</w:t>
      </w:r>
      <w:r w:rsidR="00300054">
        <w:t xml:space="preserve"> the park is closed a sliding bar connecting the two swings </w:t>
      </w:r>
      <w:r w:rsidR="00ED7FAA">
        <w:t>and</w:t>
      </w:r>
      <w:r w:rsidR="00300054">
        <w:t xml:space="preserve"> secured by a heavy duty padlock and key</w:t>
      </w:r>
      <w:r w:rsidR="00ED7FAA">
        <w:t xml:space="preserve"> come</w:t>
      </w:r>
      <w:r>
        <w:t>s</w:t>
      </w:r>
      <w:r w:rsidR="00ED7FAA">
        <w:t xml:space="preserve"> into play</w:t>
      </w:r>
      <w:r w:rsidR="00300054">
        <w:t>.  Each swing will also have a dead bolt into a ground stone / slab flush to the parks finished surface and again secured by a heavy duty padlock and key. This same system will be implemented when the gate swings are open.</w:t>
      </w:r>
      <w:r w:rsidR="00FF06A6" w:rsidRPr="00FF06A6">
        <w:t xml:space="preserve"> </w:t>
      </w:r>
      <w:r w:rsidR="00FF06A6">
        <w:t>The height of the gates is as per existing to also ensure that the existing levels of security are retained in the new proposals.</w:t>
      </w:r>
    </w:p>
    <w:p w:rsidR="00300054" w:rsidRDefault="00300054" w:rsidP="00300054">
      <w:r>
        <w:lastRenderedPageBreak/>
        <w:t xml:space="preserve">The existing concrete up-stand below the railings will be sensitively refurbished and cut out where new openings are formed. </w:t>
      </w:r>
    </w:p>
    <w:p w:rsidR="00FF06A6" w:rsidRDefault="00FF06A6" w:rsidP="00FF06A6">
      <w:proofErr w:type="gramStart"/>
      <w:r>
        <w:t>tp</w:t>
      </w:r>
      <w:proofErr w:type="gramEnd"/>
      <w:r>
        <w:t xml:space="preserve"> Bennett drawing ref: A10417 D2156 I1</w:t>
      </w:r>
      <w:r>
        <w:t xml:space="preserve"> (enclosed) provides a plan </w:t>
      </w:r>
      <w:r w:rsidR="000E7372">
        <w:t xml:space="preserve">and elevation </w:t>
      </w:r>
      <w:r>
        <w:t xml:space="preserve">of </w:t>
      </w:r>
      <w:proofErr w:type="spellStart"/>
      <w:r>
        <w:t>the</w:t>
      </w:r>
      <w:r w:rsidR="000E7372">
        <w:t>revised</w:t>
      </w:r>
      <w:proofErr w:type="spellEnd"/>
      <w:r w:rsidR="000E7372">
        <w:t xml:space="preserve"> entrance gate railing</w:t>
      </w:r>
      <w:r>
        <w:t>.</w:t>
      </w:r>
    </w:p>
    <w:p w:rsidR="000E7372" w:rsidRDefault="000E7372" w:rsidP="000E7372">
      <w:pPr>
        <w:pStyle w:val="ListParagraph"/>
      </w:pPr>
      <w:bookmarkStart w:id="0" w:name="_GoBack"/>
      <w:bookmarkEnd w:id="0"/>
    </w:p>
    <w:p w:rsidR="00FF06A6" w:rsidRDefault="00FF06A6" w:rsidP="000E7372">
      <w:pPr>
        <w:pStyle w:val="ListParagraph"/>
      </w:pPr>
    </w:p>
    <w:p w:rsidR="000E7372" w:rsidRDefault="000E7372">
      <w:pPr>
        <w:rPr>
          <w:rFonts w:ascii="Arial" w:hAnsi="Arial" w:cs="Arial"/>
          <w:sz w:val="20"/>
          <w:szCs w:val="20"/>
        </w:rPr>
      </w:pPr>
    </w:p>
    <w:sectPr w:rsidR="000E7372">
      <w:headerReference w:type="even" r:id="rId8"/>
      <w:headerReference w:type="default" r:id="rId9"/>
      <w:footerReference w:type="default" r:id="rId10"/>
      <w:headerReference w:type="first" r:id="rId11"/>
      <w:pgSz w:w="11906" w:h="16838"/>
      <w:pgMar w:top="2694" w:right="991" w:bottom="1440" w:left="1276" w:header="708"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E94" w:rsidRDefault="007B6E94">
      <w:r>
        <w:separator/>
      </w:r>
    </w:p>
  </w:endnote>
  <w:endnote w:type="continuationSeparator" w:id="0">
    <w:p w:rsidR="007B6E94" w:rsidRDefault="007B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581" w:rsidRDefault="00513B8A">
    <w:pPr>
      <w:pStyle w:val="NoSpacing"/>
      <w:ind w:left="-98"/>
      <w:rPr>
        <w:rFonts w:ascii="Arial" w:eastAsiaTheme="minorEastAsia" w:hAnsi="Arial" w:cs="Arial"/>
        <w:sz w:val="16"/>
        <w:szCs w:val="16"/>
      </w:rPr>
    </w:pPr>
    <w:r>
      <w:rPr>
        <w:rFonts w:ascii="Arial" w:eastAsiaTheme="minorEastAsia" w:hAnsi="Arial" w:cs="Arial"/>
        <w:sz w:val="16"/>
        <w:szCs w:val="16"/>
      </w:rPr>
      <w:t xml:space="preserve">File Reference:     </w:t>
    </w:r>
    <w:r w:rsidR="00ED7FAA">
      <w:rPr>
        <w:rFonts w:ascii="Arial" w:eastAsiaTheme="minorEastAsia" w:hAnsi="Arial" w:cs="Arial"/>
        <w:color w:val="FF0000"/>
        <w:sz w:val="16"/>
        <w:szCs w:val="16"/>
      </w:rPr>
      <w:t>E1429401</w:t>
    </w:r>
    <w:r>
      <w:rPr>
        <w:rFonts w:ascii="Arial" w:eastAsiaTheme="minorEastAsia" w:hAnsi="Arial" w:cs="Arial"/>
        <w:sz w:val="16"/>
        <w:szCs w:val="16"/>
      </w:rPr>
      <w:t xml:space="preserve">                       </w:t>
    </w:r>
  </w:p>
  <w:p w:rsidR="008F1581" w:rsidRDefault="008F1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E94" w:rsidRDefault="007B6E94">
      <w:r>
        <w:separator/>
      </w:r>
    </w:p>
  </w:footnote>
  <w:footnote w:type="continuationSeparator" w:id="0">
    <w:p w:rsidR="007B6E94" w:rsidRDefault="007B6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581" w:rsidRDefault="00FF06A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1141" o:spid="_x0000_s2055" type="#_x0000_t75" style="position:absolute;margin-left:0;margin-top:0;width:595.2pt;height:841.9pt;z-index:-251657216;mso-position-horizontal:center;mso-position-horizontal-relative:margin;mso-position-vertical:center;mso-position-vertical-relative:margin" o:allowincell="f">
          <v:imagedata r:id="rId1" o:title="081202 Form Templates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581" w:rsidRDefault="00F12C0C">
    <w:pPr>
      <w:pStyle w:val="Header"/>
      <w:ind w:left="-98"/>
    </w:pPr>
    <w:r>
      <w:rPr>
        <w:rFonts w:ascii="Arial" w:hAnsi="Arial" w:cs="Arial"/>
        <w:noProof/>
        <w:sz w:val="32"/>
        <w:szCs w:val="32"/>
        <w:lang w:eastAsia="zh-CN"/>
      </w:rPr>
      <w:drawing>
        <wp:anchor distT="0" distB="0" distL="114300" distR="114300" simplePos="0" relativeHeight="251660288" behindDoc="1" locked="0" layoutInCell="1" allowOverlap="1" wp14:anchorId="5EF989C3" wp14:editId="2626D44F">
          <wp:simplePos x="0" y="0"/>
          <wp:positionH relativeFrom="column">
            <wp:posOffset>-810260</wp:posOffset>
          </wp:positionH>
          <wp:positionV relativeFrom="paragraph">
            <wp:posOffset>-440055</wp:posOffset>
          </wp:positionV>
          <wp:extent cx="7682400" cy="1086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b Letterhead UK_NO COUNTRIES.jpg"/>
                  <pic:cNvPicPr/>
                </pic:nvPicPr>
                <pic:blipFill>
                  <a:blip r:embed="rId1">
                    <a:extLst>
                      <a:ext uri="{28A0092B-C50C-407E-A947-70E740481C1C}">
                        <a14:useLocalDpi xmlns:a14="http://schemas.microsoft.com/office/drawing/2010/main" val="0"/>
                      </a:ext>
                    </a:extLst>
                  </a:blip>
                  <a:stretch>
                    <a:fillRect/>
                  </a:stretch>
                </pic:blipFill>
                <pic:spPr>
                  <a:xfrm>
                    <a:off x="0" y="0"/>
                    <a:ext cx="7682400" cy="10864800"/>
                  </a:xfrm>
                  <a:prstGeom prst="rect">
                    <a:avLst/>
                  </a:prstGeom>
                </pic:spPr>
              </pic:pic>
            </a:graphicData>
          </a:graphic>
          <wp14:sizeRelH relativeFrom="margin">
            <wp14:pctWidth>0</wp14:pctWidth>
          </wp14:sizeRelH>
          <wp14:sizeRelV relativeFrom="margin">
            <wp14:pctHeight>0</wp14:pctHeight>
          </wp14:sizeRelV>
        </wp:anchor>
      </w:drawing>
    </w:r>
    <w:r w:rsidR="00300054" w:rsidRPr="00300054">
      <w:t xml:space="preserve"> </w:t>
    </w:r>
    <w:r w:rsidR="00300054" w:rsidRPr="00300054">
      <w:rPr>
        <w:rFonts w:ascii="Arial" w:hAnsi="Arial" w:cs="Arial"/>
        <w:sz w:val="32"/>
        <w:szCs w:val="32"/>
      </w:rPr>
      <w:t>Cartwright Gardens</w:t>
    </w:r>
    <w:r w:rsidR="000E7372">
      <w:rPr>
        <w:rFonts w:ascii="Arial" w:hAnsi="Arial" w:cs="Arial"/>
        <w:sz w:val="32"/>
        <w:szCs w:val="32"/>
      </w:rPr>
      <w:t xml:space="preserve"> – Condition 5</w:t>
    </w:r>
  </w:p>
  <w:p w:rsidR="008F1581" w:rsidRDefault="008F1581">
    <w:pPr>
      <w:pStyle w:val="Header"/>
    </w:pPr>
  </w:p>
  <w:p w:rsidR="008F1581" w:rsidRDefault="008F15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581" w:rsidRDefault="00FF06A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1140" o:spid="_x0000_s2054" type="#_x0000_t75" style="position:absolute;margin-left:0;margin-top:0;width:595.2pt;height:841.9pt;z-index:-251658240;mso-position-horizontal:center;mso-position-horizontal-relative:margin;mso-position-vertical:center;mso-position-vertical-relative:margin" o:allowincell="f">
          <v:imagedata r:id="rId1" o:title="081202 Form Templates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8291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1F34C4A"/>
    <w:multiLevelType w:val="hybridMultilevel"/>
    <w:tmpl w:val="DEA888BC"/>
    <w:lvl w:ilvl="0" w:tplc="2C8EC45E">
      <w:start w:val="1"/>
      <w:numFmt w:val="decimal"/>
      <w:lvlText w:val="%1."/>
      <w:lvlJc w:val="left"/>
      <w:pPr>
        <w:ind w:left="720" w:hanging="360"/>
      </w:pPr>
      <w:rPr>
        <w:rFonts w:ascii="Calibri" w:eastAsia="SimSun" w:hAnsi="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054"/>
    <w:rsid w:val="000E7372"/>
    <w:rsid w:val="00300054"/>
    <w:rsid w:val="00513B8A"/>
    <w:rsid w:val="007B6E94"/>
    <w:rsid w:val="008F1581"/>
    <w:rsid w:val="00B53FCE"/>
    <w:rsid w:val="00C2604D"/>
    <w:rsid w:val="00EC779B"/>
    <w:rsid w:val="00ED7FAA"/>
    <w:rsid w:val="00F12C0C"/>
    <w:rsid w:val="00FF06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00054"/>
    <w:rPr>
      <w:rFonts w:asciiTheme="minorHAnsi" w:hAnsiTheme="minorHAnsi" w:cstheme="minorBidi"/>
      <w:sz w:val="22"/>
      <w:szCs w:val="22"/>
    </w:rPr>
  </w:style>
  <w:style w:type="paragraph" w:styleId="Heading1">
    <w:name w:val="heading 1"/>
    <w:basedOn w:val="Normal"/>
    <w:next w:val="Normal"/>
    <w:link w:val="Heading1Char"/>
    <w:unhideWhenUsed/>
    <w:qFormat/>
    <w:pPr>
      <w:keepNext/>
      <w:tabs>
        <w:tab w:val="left" w:pos="7513"/>
      </w:tabs>
      <w:spacing w:after="280"/>
      <w:jc w:val="both"/>
      <w:outlineLvl w:val="0"/>
    </w:pPr>
    <w:rPr>
      <w:rFonts w:ascii="Calibri" w:eastAsia="Calibri" w:hAnsi="Calibri" w:cs="Times New Roman"/>
      <w:b/>
    </w:rPr>
  </w:style>
  <w:style w:type="paragraph" w:styleId="Heading2">
    <w:name w:val="heading 2"/>
    <w:basedOn w:val="Normal"/>
    <w:next w:val="Normal"/>
    <w:link w:val="Heading2Char"/>
    <w:unhideWhenUsed/>
    <w:qFormat/>
    <w:pPr>
      <w:keepNext/>
      <w:tabs>
        <w:tab w:val="left" w:pos="7513"/>
      </w:tabs>
      <w:jc w:val="both"/>
      <w:outlineLvl w:val="1"/>
    </w:pPr>
    <w:rPr>
      <w:rFonts w:ascii="Calibri" w:eastAsia="Calibri" w:hAnsi="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basedOn w:val="DefaultParagraphFont"/>
    <w:link w:val="Header"/>
    <w:uiPriority w:val="99"/>
    <w:semiHidden/>
    <w:rPr>
      <w:rFonts w:asciiTheme="minorHAnsi" w:hAnsiTheme="minorHAnsi" w:cstheme="minorBidi"/>
      <w:sz w:val="22"/>
      <w:szCs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heme="minorHAnsi" w:hAnsiTheme="minorHAnsi" w:cstheme="minorBidi"/>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unhideWhenUsed/>
    <w:qFormat/>
    <w:pPr>
      <w:spacing w:after="0" w:line="240" w:lineRule="auto"/>
    </w:pPr>
    <w:rPr>
      <w:rFonts w:ascii="Calibri" w:eastAsia="Times New Roman" w:hAnsi="Calibri" w:cs="Times New Roman"/>
      <w:lang w:eastAsia="en-GB"/>
    </w:rPr>
  </w:style>
  <w:style w:type="character" w:customStyle="1" w:styleId="Heading1Char">
    <w:name w:val="Heading 1 Char"/>
    <w:basedOn w:val="DefaultParagraphFont"/>
    <w:link w:val="Heading1"/>
    <w:rPr>
      <w:rFonts w:eastAsia="Times New Roman" w:cs="Times New Roman"/>
      <w:b/>
    </w:rPr>
  </w:style>
  <w:style w:type="character" w:customStyle="1" w:styleId="Heading2Char">
    <w:name w:val="Heading 2 Char"/>
    <w:basedOn w:val="DefaultParagraphFont"/>
    <w:link w:val="Heading2"/>
    <w:rPr>
      <w:rFonts w:eastAsia="Times New Roman" w:cs="Times New Roman"/>
      <w:b/>
    </w:rPr>
  </w:style>
  <w:style w:type="paragraph" w:styleId="ListParagraph">
    <w:name w:val="List Paragraph"/>
    <w:basedOn w:val="Normal"/>
    <w:uiPriority w:val="34"/>
    <w:qFormat/>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00054"/>
    <w:rPr>
      <w:rFonts w:asciiTheme="minorHAnsi" w:hAnsiTheme="minorHAnsi" w:cstheme="minorBidi"/>
      <w:sz w:val="22"/>
      <w:szCs w:val="22"/>
    </w:rPr>
  </w:style>
  <w:style w:type="paragraph" w:styleId="Heading1">
    <w:name w:val="heading 1"/>
    <w:basedOn w:val="Normal"/>
    <w:next w:val="Normal"/>
    <w:link w:val="Heading1Char"/>
    <w:unhideWhenUsed/>
    <w:qFormat/>
    <w:pPr>
      <w:keepNext/>
      <w:tabs>
        <w:tab w:val="left" w:pos="7513"/>
      </w:tabs>
      <w:spacing w:after="280"/>
      <w:jc w:val="both"/>
      <w:outlineLvl w:val="0"/>
    </w:pPr>
    <w:rPr>
      <w:rFonts w:ascii="Calibri" w:eastAsia="Calibri" w:hAnsi="Calibri" w:cs="Times New Roman"/>
      <w:b/>
    </w:rPr>
  </w:style>
  <w:style w:type="paragraph" w:styleId="Heading2">
    <w:name w:val="heading 2"/>
    <w:basedOn w:val="Normal"/>
    <w:next w:val="Normal"/>
    <w:link w:val="Heading2Char"/>
    <w:unhideWhenUsed/>
    <w:qFormat/>
    <w:pPr>
      <w:keepNext/>
      <w:tabs>
        <w:tab w:val="left" w:pos="7513"/>
      </w:tabs>
      <w:jc w:val="both"/>
      <w:outlineLvl w:val="1"/>
    </w:pPr>
    <w:rPr>
      <w:rFonts w:ascii="Calibri" w:eastAsia="Calibri" w:hAnsi="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basedOn w:val="DefaultParagraphFont"/>
    <w:link w:val="Header"/>
    <w:uiPriority w:val="99"/>
    <w:semiHidden/>
    <w:rPr>
      <w:rFonts w:asciiTheme="minorHAnsi" w:hAnsiTheme="minorHAnsi" w:cstheme="minorBidi"/>
      <w:sz w:val="22"/>
      <w:szCs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heme="minorHAnsi" w:hAnsiTheme="minorHAnsi" w:cstheme="minorBidi"/>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unhideWhenUsed/>
    <w:qFormat/>
    <w:pPr>
      <w:spacing w:after="0" w:line="240" w:lineRule="auto"/>
    </w:pPr>
    <w:rPr>
      <w:rFonts w:ascii="Calibri" w:eastAsia="Times New Roman" w:hAnsi="Calibri" w:cs="Times New Roman"/>
      <w:lang w:eastAsia="en-GB"/>
    </w:rPr>
  </w:style>
  <w:style w:type="character" w:customStyle="1" w:styleId="Heading1Char">
    <w:name w:val="Heading 1 Char"/>
    <w:basedOn w:val="DefaultParagraphFont"/>
    <w:link w:val="Heading1"/>
    <w:rPr>
      <w:rFonts w:eastAsia="Times New Roman" w:cs="Times New Roman"/>
      <w:b/>
    </w:rPr>
  </w:style>
  <w:style w:type="character" w:customStyle="1" w:styleId="Heading2Char">
    <w:name w:val="Heading 2 Char"/>
    <w:basedOn w:val="DefaultParagraphFont"/>
    <w:link w:val="Heading2"/>
    <w:rPr>
      <w:rFonts w:eastAsia="Times New Roman" w:cs="Times New Roman"/>
      <w:b/>
    </w:rPr>
  </w:style>
  <w:style w:type="paragraph" w:styleId="ListParagraph">
    <w:name w:val="List Paragraph"/>
    <w:basedOn w:val="Normal"/>
    <w:uiPriority w:val="34"/>
    <w:qFormat/>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9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p bennett colours">
      <a:dk1>
        <a:sysClr val="windowText" lastClr="000000"/>
      </a:dk1>
      <a:lt1>
        <a:sysClr val="window" lastClr="FFFFFF"/>
      </a:lt1>
      <a:dk2>
        <a:srgbClr val="000000"/>
      </a:dk2>
      <a:lt2>
        <a:srgbClr val="FFFFFF"/>
      </a:lt2>
      <a:accent1>
        <a:srgbClr val="DA8D00"/>
      </a:accent1>
      <a:accent2>
        <a:srgbClr val="6686AB"/>
      </a:accent2>
      <a:accent3>
        <a:srgbClr val="A6AB86"/>
      </a:accent3>
      <a:accent4>
        <a:srgbClr val="E1D695"/>
      </a:accent4>
      <a:accent5>
        <a:srgbClr val="BE5A3C"/>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TP Bennett LLP</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Nickolls</dc:creator>
  <cp:lastModifiedBy>CBRE_User</cp:lastModifiedBy>
  <cp:revision>3</cp:revision>
  <cp:lastPrinted>2014-05-29T15:23:00Z</cp:lastPrinted>
  <dcterms:created xsi:type="dcterms:W3CDTF">2014-05-29T15:18:00Z</dcterms:created>
  <dcterms:modified xsi:type="dcterms:W3CDTF">2014-05-30T09:44:00Z</dcterms:modified>
</cp:coreProperties>
</file>