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1C" w:rsidRDefault="00F9271C" w:rsidP="00956B4A">
      <w:pPr>
        <w:framePr w:w="3969" w:h="907" w:hRule="exact" w:hSpace="181" w:wrap="notBeside" w:vAnchor="page" w:hAnchor="page" w:x="6238" w:y="1010" w:anchorLock="1"/>
      </w:pPr>
      <w:r w:rsidRPr="00426C2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5pt;height:45pt;visibility:visible">
            <v:imagedata r:id="rId7" o:title=""/>
          </v:shape>
        </w:pict>
      </w:r>
    </w:p>
    <w:p w:rsidR="00F9271C" w:rsidRPr="00660334" w:rsidRDefault="00F9271C" w:rsidP="0010556F">
      <w:pPr>
        <w:keepNext/>
        <w:spacing w:before="720" w:after="480"/>
        <w:outlineLvl w:val="0"/>
        <w:rPr>
          <w:b/>
          <w:color w:val="003366"/>
          <w:sz w:val="28"/>
        </w:rPr>
      </w:pPr>
      <w:fldSimple w:instr=" DOCPROPERTY  Client  \* MERGEFORMAT ">
        <w:r>
          <w:rPr>
            <w:b/>
            <w:color w:val="003366"/>
            <w:sz w:val="28"/>
          </w:rPr>
          <w:t>London Borough of Camden</w:t>
        </w:r>
      </w:fldSimple>
    </w:p>
    <w:p w:rsidR="00F9271C" w:rsidRPr="00660334" w:rsidRDefault="00F9271C" w:rsidP="0010556F">
      <w:pPr>
        <w:keepNext/>
        <w:spacing w:before="720" w:after="480"/>
        <w:rPr>
          <w:b/>
          <w:color w:val="003366"/>
          <w:kern w:val="32"/>
          <w:sz w:val="32"/>
        </w:rPr>
      </w:pPr>
      <w:fldSimple w:instr=" DOCPROPERTY  ProjectName  \* MERGEFORMAT ">
        <w:r>
          <w:rPr>
            <w:b/>
            <w:color w:val="003366"/>
            <w:kern w:val="32"/>
            <w:sz w:val="32"/>
          </w:rPr>
          <w:t>Parker House</w:t>
        </w:r>
      </w:fldSimple>
    </w:p>
    <w:p w:rsidR="00F9271C" w:rsidRPr="00660334" w:rsidRDefault="00F9271C" w:rsidP="0010556F">
      <w:pPr>
        <w:spacing w:before="280" w:after="40"/>
        <w:rPr>
          <w:b/>
          <w:color w:val="003366"/>
          <w:sz w:val="24"/>
        </w:rPr>
      </w:pPr>
      <w:r>
        <w:rPr>
          <w:noProof/>
          <w:lang w:eastAsia="en-GB"/>
        </w:rPr>
        <w:pict>
          <v:shape id="Picture 27" o:spid="_x0000_s1027" type="#_x0000_t75" style="position:absolute;margin-left:147.55pt;margin-top:544.8pt;width:61.25pt;height:36.8pt;z-index:-251658240;visibility:visible" wrapcoords="-263 0 -263 21159 21600 21159 21600 0 -263 0">
            <v:imagedata r:id="rId8" o:title=""/>
            <w10:wrap type="tight"/>
          </v:shape>
        </w:pict>
      </w:r>
      <w:fldSimple w:instr=" DOCPROPERTY  Title  \* MERGEFORMAT ">
        <w:r>
          <w:rPr>
            <w:b/>
            <w:color w:val="003366"/>
            <w:sz w:val="24"/>
          </w:rPr>
          <w:t>Demolition and Construction Noise Assessment</w:t>
        </w:r>
      </w:fldSimple>
    </w:p>
    <w:p w:rsidR="00F9271C" w:rsidRDefault="00F9271C" w:rsidP="00DF09CF">
      <w:pPr>
        <w:sectPr w:rsidR="00F9271C" w:rsidSect="00347B1A">
          <w:headerReference w:type="default" r:id="rId9"/>
          <w:footerReference w:type="default" r:id="rId10"/>
          <w:pgSz w:w="11907" w:h="16840" w:code="9"/>
          <w:pgMar w:top="724" w:right="1417" w:bottom="1418" w:left="6237" w:header="284" w:footer="690" w:gutter="0"/>
          <w:cols w:space="708"/>
          <w:docGrid w:linePitch="360"/>
        </w:sectPr>
      </w:pPr>
    </w:p>
    <w:p w:rsidR="00F9271C" w:rsidRDefault="00F9271C" w:rsidP="00DA7265">
      <w:pPr>
        <w:pStyle w:val="BodyText"/>
        <w:sectPr w:rsidR="00F9271C" w:rsidSect="00C41FD8">
          <w:headerReference w:type="even" r:id="rId11"/>
          <w:headerReference w:type="default" r:id="rId12"/>
          <w:footerReference w:type="default" r:id="rId13"/>
          <w:headerReference w:type="first" r:id="rId14"/>
          <w:pgSz w:w="11907" w:h="16840" w:code="9"/>
          <w:pgMar w:top="2268" w:right="1417" w:bottom="1418" w:left="1418" w:header="794" w:footer="567" w:gutter="0"/>
          <w:pgNumType w:fmt="lowerRoman"/>
          <w:cols w:space="708"/>
          <w:docGrid w:linePitch="360"/>
        </w:sectPr>
      </w:pPr>
      <w:r>
        <w:rPr>
          <w:noProof/>
          <w:lang w:eastAsia="en-GB"/>
        </w:rPr>
        <w:pict>
          <v:shapetype id="_x0000_t202" coordsize="21600,21600" o:spt="202" path="m,l,21600r21600,l21600,xe">
            <v:stroke joinstyle="miter"/>
            <v:path gradientshapeok="t" o:connecttype="rect"/>
          </v:shapetype>
          <v:shape id="Text Box 21" o:spid="_x0000_s1030" type="#_x0000_t202" style="position:absolute;margin-left:-5pt;margin-top:651.6pt;width:290pt;height:27.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" stroked="f">
            <v:textbox>
              <w:txbxContent>
                <w:p w:rsidR="00F9271C" w:rsidRPr="008C0C1C" w:rsidRDefault="00F9271C">
                  <w:pPr>
                    <w:rPr>
                      <w:color w:val="003366"/>
                      <w:sz w:val="14"/>
                      <w:szCs w:val="14"/>
                    </w:rPr>
                  </w:pPr>
                  <w:r w:rsidRPr="008C0C1C">
                    <w:rPr>
                      <w:color w:val="003366"/>
                      <w:sz w:val="14"/>
                      <w:szCs w:val="14"/>
                    </w:rPr>
                    <w:t>We print on 100% recycled paper from sustainable suppliers accredited to ISO 14001.</w:t>
                  </w:r>
                </w:p>
              </w:txbxContent>
            </v:textbox>
          </v:shape>
        </w:pict>
      </w:r>
    </w:p>
    <w:p w:rsidR="00F9271C" w:rsidRDefault="00F9271C" w:rsidP="006511A5">
      <w:pPr>
        <w:pStyle w:val="NonTOCHeading"/>
        <w:spacing w:before="480"/>
      </w:pPr>
      <w:r>
        <w:t>Document Control Sheet</w:t>
      </w:r>
    </w:p>
    <w:p w:rsidR="00F9271C" w:rsidRPr="00742A70" w:rsidRDefault="00F9271C" w:rsidP="001D7882">
      <w:pPr>
        <w:tabs>
          <w:tab w:val="left" w:pos="1418"/>
        </w:tabs>
        <w:spacing w:after="120"/>
        <w:rPr>
          <w:b/>
        </w:rPr>
      </w:pPr>
      <w:r w:rsidRPr="00742A70">
        <w:rPr>
          <w:b/>
        </w:rPr>
        <w:t xml:space="preserve">Project </w:t>
      </w:r>
      <w:r>
        <w:rPr>
          <w:b/>
        </w:rPr>
        <w:t>Name</w:t>
      </w:r>
      <w:r w:rsidRPr="00742A70">
        <w:rPr>
          <w:b/>
        </w:rPr>
        <w:t>:</w:t>
      </w:r>
      <w:r>
        <w:rPr>
          <w:b/>
        </w:rPr>
        <w:tab/>
        <w:t xml:space="preserve"> </w:t>
      </w:r>
      <w:fldSimple w:instr=" DOCPROPERTY  ProjectName  \* MERGEFORMAT ">
        <w:r>
          <w:rPr>
            <w:b/>
          </w:rPr>
          <w:t>Parker House</w:t>
        </w:r>
      </w:fldSimple>
    </w:p>
    <w:p w:rsidR="00F9271C" w:rsidRPr="00742A70" w:rsidRDefault="00F9271C" w:rsidP="001D7882">
      <w:pPr>
        <w:tabs>
          <w:tab w:val="left" w:pos="1418"/>
        </w:tabs>
        <w:spacing w:after="120"/>
        <w:rPr>
          <w:b/>
        </w:rPr>
      </w:pPr>
      <w:r w:rsidRPr="00742A70">
        <w:rPr>
          <w:b/>
        </w:rPr>
        <w:t>Project Ref:</w:t>
      </w:r>
      <w:r>
        <w:rPr>
          <w:b/>
        </w:rPr>
        <w:tab/>
        <w:t xml:space="preserve"> </w:t>
      </w:r>
      <w:fldSimple w:instr=" DOCPROPERTY  ProjRef  \* MERGEFORMAT ">
        <w:r>
          <w:rPr>
            <w:b/>
          </w:rPr>
          <w:t>27474/004</w:t>
        </w:r>
      </w:fldSimple>
    </w:p>
    <w:p w:rsidR="00F9271C" w:rsidRDefault="00F9271C" w:rsidP="001D7882">
      <w:pPr>
        <w:tabs>
          <w:tab w:val="left" w:pos="1418"/>
        </w:tabs>
        <w:spacing w:after="120"/>
        <w:rPr>
          <w:b/>
        </w:rPr>
      </w:pPr>
      <w:r w:rsidRPr="00742A70">
        <w:rPr>
          <w:b/>
        </w:rPr>
        <w:t>Report Title:</w:t>
      </w:r>
      <w:r>
        <w:rPr>
          <w:b/>
        </w:rPr>
        <w:tab/>
        <w:t xml:space="preserve"> </w:t>
      </w:r>
      <w:fldSimple w:instr=" DOCPROPERTY  Title  \* MERGEFORMAT ">
        <w:r>
          <w:rPr>
            <w:b/>
          </w:rPr>
          <w:t>Demolition and Construction Noise Assessment</w:t>
        </w:r>
      </w:fldSimple>
    </w:p>
    <w:p w:rsidR="00F9271C" w:rsidRPr="00742A70" w:rsidRDefault="00F9271C" w:rsidP="001D7882">
      <w:pPr>
        <w:tabs>
          <w:tab w:val="left" w:pos="1418"/>
        </w:tabs>
        <w:spacing w:after="120"/>
        <w:rPr>
          <w:b/>
        </w:rPr>
      </w:pPr>
      <w:r>
        <w:rPr>
          <w:b/>
        </w:rPr>
        <w:t>Doc Ref:</w:t>
      </w:r>
      <w:r>
        <w:rPr>
          <w:b/>
        </w:rPr>
        <w:tab/>
        <w:t xml:space="preserve"> </w:t>
      </w:r>
      <w:fldSimple w:instr=" DOCPROPERTY  DocRef  \* MERGEFORMAT ">
        <w:r>
          <w:rPr>
            <w:b/>
          </w:rPr>
          <w:t>R001</w:t>
        </w:r>
      </w:fldSimple>
    </w:p>
    <w:p w:rsidR="00F9271C" w:rsidRPr="00742A70" w:rsidRDefault="00F9271C" w:rsidP="001D7882">
      <w:pPr>
        <w:tabs>
          <w:tab w:val="left" w:pos="1418"/>
        </w:tabs>
        <w:spacing w:after="120"/>
        <w:rPr>
          <w:b/>
        </w:rPr>
      </w:pPr>
      <w:r w:rsidRPr="00742A70">
        <w:rPr>
          <w:b/>
        </w:rPr>
        <w:t>Date:</w:t>
      </w:r>
      <w:r>
        <w:rPr>
          <w:b/>
        </w:rPr>
        <w:tab/>
        <w:t xml:space="preserve"> </w:t>
      </w:r>
      <w:fldSimple w:instr=" DocProperty CreationDate \* MERGEFORMAT ">
        <w:r>
          <w:rPr>
            <w:b/>
          </w:rPr>
          <w:t>January 2008</w:t>
        </w:r>
      </w:fldSimple>
    </w:p>
    <w:p w:rsidR="00F9271C" w:rsidRDefault="00F9271C" w:rsidP="001D7882">
      <w:pPr>
        <w:pStyle w:val="NonTOCHeading"/>
        <w:spacing w:after="120"/>
      </w:pPr>
    </w:p>
    <w:tbl>
      <w:tblPr>
        <w:tblW w:w="9072"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tblPr>
      <w:tblGrid>
        <w:gridCol w:w="2048"/>
        <w:gridCol w:w="1756"/>
        <w:gridCol w:w="1756"/>
        <w:gridCol w:w="1756"/>
        <w:gridCol w:w="1756"/>
      </w:tblGrid>
      <w:tr w:rsidR="00F9271C" w:rsidTr="009E53F6">
        <w:trPr>
          <w:trHeight w:val="567"/>
        </w:trPr>
        <w:tc>
          <w:tcPr>
            <w:tcW w:w="2048" w:type="dxa"/>
            <w:tcBorders>
              <w:top w:val="nil"/>
              <w:left w:val="nil"/>
            </w:tcBorders>
            <w:vAlign w:val="center"/>
          </w:tcPr>
          <w:p w:rsidR="00F9271C" w:rsidRDefault="00F9271C" w:rsidP="006E0B0C">
            <w:pPr>
              <w:pStyle w:val="NonTOCHeading"/>
              <w:spacing w:before="0" w:after="0"/>
              <w:jc w:val="center"/>
            </w:pPr>
          </w:p>
        </w:tc>
        <w:tc>
          <w:tcPr>
            <w:tcW w:w="1756" w:type="dxa"/>
            <w:shd w:val="clear" w:color="auto" w:fill="C0C0C0"/>
            <w:vAlign w:val="center"/>
          </w:tcPr>
          <w:p w:rsidR="00F9271C" w:rsidRPr="00D955D4" w:rsidRDefault="00F9271C" w:rsidP="006E0B0C">
            <w:pPr>
              <w:pStyle w:val="NonTOCHeading"/>
              <w:spacing w:before="0" w:after="0"/>
              <w:jc w:val="center"/>
              <w:rPr>
                <w:sz w:val="20"/>
                <w:szCs w:val="20"/>
              </w:rPr>
            </w:pPr>
            <w:r w:rsidRPr="00D955D4">
              <w:rPr>
                <w:sz w:val="20"/>
                <w:szCs w:val="20"/>
              </w:rPr>
              <w:t>Name</w:t>
            </w:r>
          </w:p>
        </w:tc>
        <w:tc>
          <w:tcPr>
            <w:tcW w:w="1756" w:type="dxa"/>
            <w:shd w:val="clear" w:color="auto" w:fill="C0C0C0"/>
            <w:vAlign w:val="center"/>
          </w:tcPr>
          <w:p w:rsidR="00F9271C" w:rsidRPr="00D955D4" w:rsidRDefault="00F9271C" w:rsidP="006E0B0C">
            <w:pPr>
              <w:pStyle w:val="NonTOCHeading"/>
              <w:spacing w:before="0" w:after="0"/>
              <w:jc w:val="center"/>
              <w:rPr>
                <w:sz w:val="20"/>
                <w:szCs w:val="20"/>
              </w:rPr>
            </w:pPr>
            <w:r w:rsidRPr="00D955D4">
              <w:rPr>
                <w:sz w:val="20"/>
                <w:szCs w:val="20"/>
              </w:rPr>
              <w:t>Position</w:t>
            </w:r>
          </w:p>
        </w:tc>
        <w:tc>
          <w:tcPr>
            <w:tcW w:w="1756" w:type="dxa"/>
            <w:shd w:val="clear" w:color="auto" w:fill="C0C0C0"/>
            <w:vAlign w:val="center"/>
          </w:tcPr>
          <w:p w:rsidR="00F9271C" w:rsidRPr="00D955D4" w:rsidRDefault="00F9271C" w:rsidP="006E0B0C">
            <w:pPr>
              <w:pStyle w:val="NonTOCHeading"/>
              <w:spacing w:before="0" w:after="0"/>
              <w:jc w:val="center"/>
              <w:rPr>
                <w:sz w:val="20"/>
                <w:szCs w:val="20"/>
              </w:rPr>
            </w:pPr>
            <w:r w:rsidRPr="00D955D4">
              <w:rPr>
                <w:sz w:val="20"/>
                <w:szCs w:val="20"/>
              </w:rPr>
              <w:t>Signature</w:t>
            </w:r>
          </w:p>
        </w:tc>
        <w:tc>
          <w:tcPr>
            <w:tcW w:w="1756" w:type="dxa"/>
            <w:shd w:val="clear" w:color="auto" w:fill="C0C0C0"/>
            <w:vAlign w:val="center"/>
          </w:tcPr>
          <w:p w:rsidR="00F9271C" w:rsidRPr="00D955D4" w:rsidRDefault="00F9271C" w:rsidP="006E0B0C">
            <w:pPr>
              <w:pStyle w:val="NonTOCHeading"/>
              <w:spacing w:before="0" w:after="0"/>
              <w:jc w:val="center"/>
              <w:rPr>
                <w:sz w:val="20"/>
                <w:szCs w:val="20"/>
              </w:rPr>
            </w:pPr>
            <w:r w:rsidRPr="00D955D4">
              <w:rPr>
                <w:sz w:val="20"/>
                <w:szCs w:val="20"/>
              </w:rPr>
              <w:t>Date</w:t>
            </w:r>
          </w:p>
        </w:tc>
      </w:tr>
      <w:tr w:rsidR="00F9271C" w:rsidTr="009E53F6">
        <w:trPr>
          <w:trHeight w:val="567"/>
        </w:trPr>
        <w:tc>
          <w:tcPr>
            <w:tcW w:w="2048" w:type="dxa"/>
            <w:shd w:val="clear" w:color="auto" w:fill="C0C0C0"/>
            <w:vAlign w:val="center"/>
          </w:tcPr>
          <w:p w:rsidR="00F9271C" w:rsidRPr="00D955D4" w:rsidRDefault="00F9271C" w:rsidP="006E0B0C">
            <w:pPr>
              <w:pStyle w:val="NonTOCHeading"/>
              <w:spacing w:before="0" w:after="0"/>
              <w:jc w:val="center"/>
              <w:rPr>
                <w:sz w:val="20"/>
                <w:szCs w:val="20"/>
              </w:rPr>
            </w:pPr>
            <w:r w:rsidRPr="00D955D4">
              <w:rPr>
                <w:sz w:val="20"/>
                <w:szCs w:val="20"/>
              </w:rPr>
              <w:t>Prepared by</w:t>
            </w:r>
            <w:r>
              <w:rPr>
                <w:sz w:val="20"/>
                <w:szCs w:val="20"/>
              </w:rPr>
              <w:t>:</w:t>
            </w:r>
          </w:p>
        </w:tc>
        <w:tc>
          <w:tcPr>
            <w:tcW w:w="1756" w:type="dxa"/>
            <w:vAlign w:val="center"/>
          </w:tcPr>
          <w:p w:rsidR="00F9271C" w:rsidRPr="009C6A8B" w:rsidRDefault="00F9271C" w:rsidP="00830AD5">
            <w:pPr>
              <w:pStyle w:val="BodyText"/>
            </w:pPr>
            <w:r w:rsidRPr="009C6A8B">
              <w:t>A Lamacraft</w:t>
            </w:r>
          </w:p>
        </w:tc>
        <w:tc>
          <w:tcPr>
            <w:tcW w:w="1756" w:type="dxa"/>
            <w:vAlign w:val="center"/>
          </w:tcPr>
          <w:p w:rsidR="00F9271C" w:rsidRPr="009C6A8B" w:rsidRDefault="00F9271C" w:rsidP="00830AD5">
            <w:pPr>
              <w:pStyle w:val="BodyText"/>
            </w:pPr>
            <w:r w:rsidRPr="009C6A8B">
              <w:t>Acoustic Engineer</w:t>
            </w:r>
          </w:p>
        </w:tc>
        <w:tc>
          <w:tcPr>
            <w:tcW w:w="1756" w:type="dxa"/>
            <w:vAlign w:val="center"/>
          </w:tcPr>
          <w:p w:rsidR="00F9271C" w:rsidRPr="009C6A8B" w:rsidRDefault="00F9271C" w:rsidP="00830AD5">
            <w:pPr>
              <w:pStyle w:val="BodyText"/>
            </w:pPr>
            <w:r w:rsidRPr="009C6A8B">
              <w:t>[AL]</w:t>
            </w:r>
          </w:p>
        </w:tc>
        <w:tc>
          <w:tcPr>
            <w:tcW w:w="1756" w:type="dxa"/>
            <w:vAlign w:val="center"/>
          </w:tcPr>
          <w:p w:rsidR="00F9271C" w:rsidRPr="009C6A8B" w:rsidRDefault="00F9271C" w:rsidP="00830AD5">
            <w:pPr>
              <w:pStyle w:val="BodyText"/>
            </w:pPr>
            <w:r w:rsidRPr="009C6A8B">
              <w:t>31/01/2013</w:t>
            </w:r>
          </w:p>
        </w:tc>
      </w:tr>
      <w:tr w:rsidR="00F9271C" w:rsidTr="009E53F6">
        <w:trPr>
          <w:trHeight w:val="567"/>
        </w:trPr>
        <w:tc>
          <w:tcPr>
            <w:tcW w:w="2048" w:type="dxa"/>
            <w:shd w:val="clear" w:color="auto" w:fill="C0C0C0"/>
            <w:vAlign w:val="center"/>
          </w:tcPr>
          <w:p w:rsidR="00F9271C" w:rsidRPr="00D955D4" w:rsidRDefault="00F9271C" w:rsidP="006E0B0C">
            <w:pPr>
              <w:pStyle w:val="NonTOCHeading"/>
              <w:spacing w:before="0" w:after="0"/>
              <w:jc w:val="center"/>
              <w:rPr>
                <w:sz w:val="20"/>
                <w:szCs w:val="20"/>
              </w:rPr>
            </w:pPr>
            <w:r w:rsidRPr="00D955D4">
              <w:rPr>
                <w:sz w:val="20"/>
                <w:szCs w:val="20"/>
              </w:rPr>
              <w:t>Reviewed by</w:t>
            </w:r>
            <w:r>
              <w:rPr>
                <w:sz w:val="20"/>
                <w:szCs w:val="20"/>
              </w:rPr>
              <w:t>:</w:t>
            </w:r>
          </w:p>
        </w:tc>
        <w:tc>
          <w:tcPr>
            <w:tcW w:w="1756" w:type="dxa"/>
            <w:vAlign w:val="center"/>
          </w:tcPr>
          <w:p w:rsidR="00F9271C" w:rsidRPr="009C6A8B" w:rsidRDefault="00F9271C" w:rsidP="00830AD5">
            <w:pPr>
              <w:pStyle w:val="BodyText"/>
            </w:pPr>
            <w:r w:rsidRPr="009C6A8B">
              <w:t>B Blaine</w:t>
            </w:r>
          </w:p>
        </w:tc>
        <w:tc>
          <w:tcPr>
            <w:tcW w:w="1756" w:type="dxa"/>
            <w:vAlign w:val="center"/>
          </w:tcPr>
          <w:p w:rsidR="00F9271C" w:rsidRPr="009C6A8B" w:rsidRDefault="00F9271C" w:rsidP="00830AD5">
            <w:pPr>
              <w:pStyle w:val="BodyText"/>
            </w:pPr>
            <w:r w:rsidRPr="009C6A8B">
              <w:t>Director</w:t>
            </w:r>
          </w:p>
        </w:tc>
        <w:tc>
          <w:tcPr>
            <w:tcW w:w="1756" w:type="dxa"/>
            <w:vAlign w:val="center"/>
          </w:tcPr>
          <w:p w:rsidR="00F9271C" w:rsidRPr="009C6A8B" w:rsidRDefault="00F9271C" w:rsidP="00830AD5">
            <w:pPr>
              <w:pStyle w:val="BodyText"/>
            </w:pPr>
            <w:r w:rsidRPr="009C6A8B">
              <w:t>[BB]</w:t>
            </w:r>
          </w:p>
        </w:tc>
        <w:tc>
          <w:tcPr>
            <w:tcW w:w="1756" w:type="dxa"/>
            <w:vAlign w:val="center"/>
          </w:tcPr>
          <w:p w:rsidR="00F9271C" w:rsidRPr="009C6A8B" w:rsidRDefault="00F9271C" w:rsidP="00830AD5">
            <w:pPr>
              <w:pStyle w:val="BodyText"/>
            </w:pPr>
            <w:r w:rsidRPr="009C6A8B">
              <w:t>1/02/2013</w:t>
            </w:r>
          </w:p>
        </w:tc>
      </w:tr>
      <w:tr w:rsidR="00F9271C" w:rsidTr="009E53F6">
        <w:trPr>
          <w:trHeight w:val="567"/>
        </w:trPr>
        <w:tc>
          <w:tcPr>
            <w:tcW w:w="2048" w:type="dxa"/>
            <w:shd w:val="clear" w:color="auto" w:fill="C0C0C0"/>
            <w:vAlign w:val="center"/>
          </w:tcPr>
          <w:p w:rsidR="00F9271C" w:rsidRPr="00D955D4" w:rsidRDefault="00F9271C" w:rsidP="006E0B0C">
            <w:pPr>
              <w:pStyle w:val="NonTOCHeading"/>
              <w:spacing w:before="0" w:after="0"/>
              <w:jc w:val="center"/>
              <w:rPr>
                <w:sz w:val="20"/>
                <w:szCs w:val="20"/>
              </w:rPr>
            </w:pPr>
            <w:r>
              <w:rPr>
                <w:sz w:val="20"/>
                <w:szCs w:val="20"/>
              </w:rPr>
              <w:t>Approved by:</w:t>
            </w:r>
          </w:p>
        </w:tc>
        <w:tc>
          <w:tcPr>
            <w:tcW w:w="1756" w:type="dxa"/>
            <w:vAlign w:val="center"/>
          </w:tcPr>
          <w:p w:rsidR="00F9271C" w:rsidRPr="009C6A8B" w:rsidRDefault="00F9271C" w:rsidP="00830AD5">
            <w:pPr>
              <w:pStyle w:val="BodyText"/>
            </w:pPr>
          </w:p>
        </w:tc>
        <w:tc>
          <w:tcPr>
            <w:tcW w:w="1756" w:type="dxa"/>
            <w:vAlign w:val="center"/>
          </w:tcPr>
          <w:p w:rsidR="00F9271C" w:rsidRPr="009C6A8B" w:rsidRDefault="00F9271C" w:rsidP="00830AD5">
            <w:pPr>
              <w:pStyle w:val="BodyText"/>
            </w:pPr>
          </w:p>
        </w:tc>
        <w:tc>
          <w:tcPr>
            <w:tcW w:w="1756" w:type="dxa"/>
            <w:vAlign w:val="center"/>
          </w:tcPr>
          <w:p w:rsidR="00F9271C" w:rsidRPr="009C6A8B" w:rsidRDefault="00F9271C" w:rsidP="00830AD5">
            <w:pPr>
              <w:pStyle w:val="BodyText"/>
            </w:pPr>
          </w:p>
        </w:tc>
        <w:tc>
          <w:tcPr>
            <w:tcW w:w="1756" w:type="dxa"/>
            <w:vAlign w:val="center"/>
          </w:tcPr>
          <w:p w:rsidR="00F9271C" w:rsidRPr="009C6A8B" w:rsidRDefault="00F9271C" w:rsidP="00830AD5">
            <w:pPr>
              <w:pStyle w:val="BodyText"/>
            </w:pPr>
          </w:p>
        </w:tc>
      </w:tr>
      <w:tr w:rsidR="00F9271C" w:rsidTr="009E53F6">
        <w:trPr>
          <w:trHeight w:val="567"/>
        </w:trPr>
        <w:tc>
          <w:tcPr>
            <w:tcW w:w="9072" w:type="dxa"/>
            <w:gridSpan w:val="5"/>
            <w:vAlign w:val="center"/>
          </w:tcPr>
          <w:p w:rsidR="00F9271C" w:rsidRPr="00D955D4" w:rsidRDefault="00F9271C" w:rsidP="006E0B0C">
            <w:pPr>
              <w:pStyle w:val="NonTOCHeading"/>
              <w:spacing w:before="0" w:after="0"/>
              <w:jc w:val="center"/>
              <w:rPr>
                <w:sz w:val="20"/>
                <w:szCs w:val="20"/>
              </w:rPr>
            </w:pPr>
            <w:r w:rsidRPr="00D955D4">
              <w:rPr>
                <w:sz w:val="20"/>
                <w:szCs w:val="20"/>
              </w:rPr>
              <w:t>For and on behalf of Peter Brett Associates</w:t>
            </w:r>
            <w:r>
              <w:rPr>
                <w:sz w:val="20"/>
                <w:szCs w:val="20"/>
              </w:rPr>
              <w:t xml:space="preserve"> LLP</w:t>
            </w:r>
          </w:p>
        </w:tc>
      </w:tr>
    </w:tbl>
    <w:p w:rsidR="00F9271C" w:rsidRDefault="00F9271C" w:rsidP="001D7882">
      <w:pPr>
        <w:pStyle w:val="NonTOCHeading"/>
      </w:pPr>
    </w:p>
    <w:tbl>
      <w:tblPr>
        <w:tblW w:w="9180"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1190"/>
        <w:gridCol w:w="1190"/>
        <w:gridCol w:w="3230"/>
        <w:gridCol w:w="1190"/>
        <w:gridCol w:w="1190"/>
        <w:gridCol w:w="1190"/>
      </w:tblGrid>
      <w:tr w:rsidR="00F9271C" w:rsidTr="003B5273">
        <w:trPr>
          <w:trHeight w:val="567"/>
        </w:trPr>
        <w:tc>
          <w:tcPr>
            <w:tcW w:w="1190" w:type="dxa"/>
            <w:shd w:val="clear" w:color="auto" w:fill="C0C0C0"/>
            <w:vAlign w:val="center"/>
          </w:tcPr>
          <w:p w:rsidR="00F9271C" w:rsidRPr="00D955D4" w:rsidRDefault="00F9271C" w:rsidP="006E0B0C">
            <w:pPr>
              <w:pStyle w:val="NonTOCHeading"/>
              <w:spacing w:before="0" w:after="0"/>
              <w:jc w:val="center"/>
              <w:rPr>
                <w:sz w:val="20"/>
                <w:szCs w:val="20"/>
              </w:rPr>
            </w:pPr>
            <w:r>
              <w:rPr>
                <w:sz w:val="20"/>
                <w:szCs w:val="20"/>
              </w:rPr>
              <w:t>Revision</w:t>
            </w:r>
          </w:p>
        </w:tc>
        <w:tc>
          <w:tcPr>
            <w:tcW w:w="1190" w:type="dxa"/>
            <w:shd w:val="clear" w:color="auto" w:fill="C0C0C0"/>
            <w:vAlign w:val="center"/>
          </w:tcPr>
          <w:p w:rsidR="00F9271C" w:rsidRPr="00D955D4" w:rsidRDefault="00F9271C" w:rsidP="006E0B0C">
            <w:pPr>
              <w:pStyle w:val="NonTOCHeading"/>
              <w:spacing w:before="0" w:after="0"/>
              <w:jc w:val="center"/>
              <w:rPr>
                <w:sz w:val="20"/>
                <w:szCs w:val="20"/>
              </w:rPr>
            </w:pPr>
            <w:r>
              <w:rPr>
                <w:sz w:val="20"/>
                <w:szCs w:val="20"/>
              </w:rPr>
              <w:t>Date</w:t>
            </w:r>
          </w:p>
        </w:tc>
        <w:tc>
          <w:tcPr>
            <w:tcW w:w="3230" w:type="dxa"/>
            <w:shd w:val="clear" w:color="auto" w:fill="C0C0C0"/>
            <w:vAlign w:val="center"/>
          </w:tcPr>
          <w:p w:rsidR="00F9271C" w:rsidRPr="00D955D4" w:rsidRDefault="00F9271C" w:rsidP="006E0B0C">
            <w:pPr>
              <w:pStyle w:val="NonTOCHeading"/>
              <w:spacing w:before="0" w:after="0"/>
              <w:jc w:val="center"/>
              <w:rPr>
                <w:sz w:val="20"/>
                <w:szCs w:val="20"/>
              </w:rPr>
            </w:pPr>
            <w:r>
              <w:rPr>
                <w:sz w:val="20"/>
                <w:szCs w:val="20"/>
              </w:rPr>
              <w:t>Description</w:t>
            </w:r>
          </w:p>
        </w:tc>
        <w:tc>
          <w:tcPr>
            <w:tcW w:w="1190" w:type="dxa"/>
            <w:shd w:val="clear" w:color="auto" w:fill="C0C0C0"/>
            <w:vAlign w:val="center"/>
          </w:tcPr>
          <w:p w:rsidR="00F9271C" w:rsidRPr="00D955D4" w:rsidRDefault="00F9271C" w:rsidP="006E0B0C">
            <w:pPr>
              <w:pStyle w:val="NonTOCHeading"/>
              <w:spacing w:before="0" w:after="0"/>
              <w:jc w:val="center"/>
              <w:rPr>
                <w:sz w:val="20"/>
                <w:szCs w:val="20"/>
              </w:rPr>
            </w:pPr>
            <w:r>
              <w:rPr>
                <w:sz w:val="20"/>
                <w:szCs w:val="20"/>
              </w:rPr>
              <w:t>Prepared</w:t>
            </w:r>
          </w:p>
        </w:tc>
        <w:tc>
          <w:tcPr>
            <w:tcW w:w="1190" w:type="dxa"/>
            <w:shd w:val="clear" w:color="auto" w:fill="C0C0C0"/>
            <w:vAlign w:val="center"/>
          </w:tcPr>
          <w:p w:rsidR="00F9271C" w:rsidRPr="00D955D4" w:rsidRDefault="00F9271C" w:rsidP="006E0B0C">
            <w:pPr>
              <w:pStyle w:val="NonTOCHeading"/>
              <w:spacing w:before="0" w:after="0"/>
              <w:jc w:val="center"/>
              <w:rPr>
                <w:sz w:val="20"/>
                <w:szCs w:val="20"/>
              </w:rPr>
            </w:pPr>
            <w:r>
              <w:rPr>
                <w:sz w:val="20"/>
                <w:szCs w:val="20"/>
              </w:rPr>
              <w:t>Reviewed</w:t>
            </w:r>
          </w:p>
        </w:tc>
        <w:tc>
          <w:tcPr>
            <w:tcW w:w="1190" w:type="dxa"/>
            <w:shd w:val="clear" w:color="auto" w:fill="C0C0C0"/>
            <w:vAlign w:val="center"/>
          </w:tcPr>
          <w:p w:rsidR="00F9271C" w:rsidRDefault="00F9271C" w:rsidP="006E0B0C">
            <w:pPr>
              <w:pStyle w:val="NonTOCHeading"/>
              <w:spacing w:before="0" w:after="0"/>
              <w:jc w:val="center"/>
              <w:rPr>
                <w:sz w:val="20"/>
                <w:szCs w:val="20"/>
              </w:rPr>
            </w:pPr>
            <w:r>
              <w:rPr>
                <w:sz w:val="20"/>
                <w:szCs w:val="20"/>
              </w:rPr>
              <w:t>Approved</w:t>
            </w:r>
          </w:p>
        </w:tc>
      </w:tr>
      <w:tr w:rsidR="00F9271C" w:rsidTr="003B5273">
        <w:trPr>
          <w:trHeight w:val="567"/>
        </w:trPr>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323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r>
      <w:tr w:rsidR="00F9271C" w:rsidTr="003B5273">
        <w:trPr>
          <w:trHeight w:val="567"/>
        </w:trPr>
        <w:tc>
          <w:tcPr>
            <w:tcW w:w="1190" w:type="dxa"/>
            <w:vAlign w:val="center"/>
          </w:tcPr>
          <w:p w:rsidR="00F9271C" w:rsidRPr="009C6A8B" w:rsidRDefault="00F9271C" w:rsidP="00830AD5">
            <w:pPr>
              <w:pStyle w:val="BodyText"/>
            </w:pPr>
            <w:bookmarkStart w:id="0" w:name="_GoBack"/>
            <w:bookmarkEnd w:id="0"/>
          </w:p>
        </w:tc>
        <w:tc>
          <w:tcPr>
            <w:tcW w:w="1190" w:type="dxa"/>
            <w:vAlign w:val="center"/>
          </w:tcPr>
          <w:p w:rsidR="00F9271C" w:rsidRPr="009C6A8B" w:rsidRDefault="00F9271C" w:rsidP="00830AD5">
            <w:pPr>
              <w:pStyle w:val="BodyText"/>
            </w:pPr>
          </w:p>
        </w:tc>
        <w:tc>
          <w:tcPr>
            <w:tcW w:w="323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r>
      <w:tr w:rsidR="00F9271C" w:rsidTr="003B5273">
        <w:trPr>
          <w:trHeight w:val="567"/>
        </w:trPr>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323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c>
          <w:tcPr>
            <w:tcW w:w="1190" w:type="dxa"/>
            <w:vAlign w:val="center"/>
          </w:tcPr>
          <w:p w:rsidR="00F9271C" w:rsidRPr="009C6A8B" w:rsidRDefault="00F9271C" w:rsidP="00830AD5">
            <w:pPr>
              <w:pStyle w:val="BodyText"/>
            </w:pPr>
          </w:p>
        </w:tc>
      </w:tr>
    </w:tbl>
    <w:p w:rsidR="00F9271C" w:rsidRPr="00D955D4" w:rsidRDefault="00F9271C" w:rsidP="00DA7265">
      <w:pPr>
        <w:pStyle w:val="BodyText"/>
      </w:pPr>
    </w:p>
    <w:p w:rsidR="00F9271C" w:rsidRPr="00D955D4" w:rsidRDefault="00F9271C" w:rsidP="00DA7265">
      <w:pPr>
        <w:pStyle w:val="BodyText"/>
      </w:pPr>
      <w:r w:rsidRPr="00D955D4">
        <w:t>Peter Brett Associates</w:t>
      </w:r>
      <w:r>
        <w:t xml:space="preserve"> LLP</w:t>
      </w:r>
      <w:r w:rsidRPr="00D955D4">
        <w:t xml:space="preserve"> disclaims any responsibility to the Client and others in respect of any matters outside the scope of this report.  This report has been prepared with reasonable skill, care and diligence within the terms of the Contract with the Client and generally in accordance with </w:t>
      </w:r>
      <w:r>
        <w:t>the appropriate ACE Agreement</w:t>
      </w:r>
      <w:r w:rsidRPr="00D955D4">
        <w:t xml:space="preserve"> and taking account of the manpower, resources, investigations and testing devoted to it by agreement with the Client.  This report is confidential to the Client and Peter Brett Associates</w:t>
      </w:r>
      <w:r>
        <w:t xml:space="preserve"> LLP</w:t>
      </w:r>
      <w:r w:rsidRPr="00D955D4">
        <w:t xml:space="preserve"> accepts no responsibility of whatsoever nature to third parties to whom this report or any part thereof is made known.  Any such party relies upon the report at their own risk.</w:t>
      </w:r>
    </w:p>
    <w:p w:rsidR="00F9271C" w:rsidRDefault="00F9271C" w:rsidP="00DA7265">
      <w:pPr>
        <w:pStyle w:val="BodyText"/>
      </w:pPr>
      <w:r w:rsidRPr="00393DF8">
        <w:t>© Peter Brett Associates</w:t>
      </w:r>
      <w:r>
        <w:t xml:space="preserve"> LLP</w:t>
      </w:r>
      <w:r w:rsidRPr="00393DF8">
        <w:t xml:space="preserve"> </w:t>
      </w:r>
      <w:r>
        <w:fldChar w:fldCharType="begin"/>
      </w:r>
      <w:r>
        <w:instrText xml:space="preserve"> </w:instrText>
      </w:r>
      <w:r w:rsidRPr="00E30E4C">
        <w:instrText>CREATEDATE  \@ "yyyy"</w:instrText>
      </w:r>
      <w:r>
        <w:instrText xml:space="preserve"> </w:instrText>
      </w:r>
      <w:r>
        <w:fldChar w:fldCharType="separate"/>
      </w:r>
      <w:r>
        <w:rPr>
          <w:noProof/>
        </w:rPr>
        <w:t>2013</w:t>
      </w:r>
      <w:r>
        <w:fldChar w:fldCharType="end"/>
      </w:r>
    </w:p>
    <w:p w:rsidR="00F9271C" w:rsidRDefault="00F9271C" w:rsidP="009F7987">
      <w:pPr>
        <w:rPr>
          <w:sz w:val="18"/>
        </w:rPr>
        <w:sectPr w:rsidR="00F9271C" w:rsidSect="00C41FD8">
          <w:headerReference w:type="default" r:id="rId15"/>
          <w:pgSz w:w="11907" w:h="16840" w:code="9"/>
          <w:pgMar w:top="2268" w:right="1417" w:bottom="1418" w:left="1418" w:header="794" w:footer="567" w:gutter="0"/>
          <w:pgNumType w:fmt="lowerRoman"/>
          <w:cols w:space="708"/>
          <w:docGrid w:linePitch="360"/>
        </w:sectPr>
      </w:pPr>
    </w:p>
    <w:p w:rsidR="00F9271C" w:rsidRDefault="00F9271C" w:rsidP="00DA7265">
      <w:pPr>
        <w:pStyle w:val="BodyText"/>
        <w:sectPr w:rsidR="00F9271C" w:rsidSect="00C41FD8">
          <w:headerReference w:type="default" r:id="rId16"/>
          <w:pgSz w:w="11907" w:h="16840" w:code="9"/>
          <w:pgMar w:top="2268" w:right="1417" w:bottom="1418" w:left="1418" w:header="794" w:footer="567" w:gutter="0"/>
          <w:pgNumType w:fmt="lowerRoman"/>
          <w:cols w:space="708"/>
          <w:docGrid w:linePitch="360"/>
        </w:sectPr>
      </w:pPr>
    </w:p>
    <w:p w:rsidR="00F9271C" w:rsidRDefault="00F9271C" w:rsidP="006511A5">
      <w:pPr>
        <w:pStyle w:val="NonTOCHeading"/>
        <w:spacing w:before="480"/>
      </w:pPr>
      <w:bookmarkStart w:id="1" w:name="TableOfContents"/>
      <w:bookmarkEnd w:id="1"/>
      <w:r>
        <w:t>Contents</w:t>
      </w:r>
    </w:p>
    <w:p w:rsidR="00F9271C" w:rsidRDefault="00F9271C">
      <w:pPr>
        <w:pStyle w:val="TOC1"/>
        <w:tabs>
          <w:tab w:val="right" w:leader="dot" w:pos="9062"/>
        </w:tabs>
        <w:rPr>
          <w:rFonts w:ascii="Calibri" w:hAnsi="Calibri"/>
          <w:b w:val="0"/>
          <w:noProof/>
          <w:sz w:val="22"/>
          <w:szCs w:val="22"/>
          <w:lang w:eastAsia="en-GB"/>
        </w:rPr>
      </w:pPr>
      <w:r>
        <w:fldChar w:fldCharType="begin"/>
      </w:r>
      <w:r>
        <w:instrText xml:space="preserve"> TOC \h \z \t "Heading 1,1,Heading 2,2,Heading 1 no number,1,Heading 2 no number,2" </w:instrText>
      </w:r>
      <w:r>
        <w:fldChar w:fldCharType="separate"/>
      </w:r>
      <w:hyperlink w:anchor="_Toc347496634" w:history="1">
        <w:r w:rsidRPr="00F07CF7">
          <w:rPr>
            <w:rStyle w:val="Hyperlink"/>
            <w:noProof/>
          </w:rPr>
          <w:t>Executive Summary</w:t>
        </w:r>
        <w:r>
          <w:rPr>
            <w:noProof/>
            <w:webHidden/>
          </w:rPr>
          <w:tab/>
        </w:r>
        <w:r>
          <w:rPr>
            <w:noProof/>
            <w:webHidden/>
          </w:rPr>
          <w:fldChar w:fldCharType="begin"/>
        </w:r>
        <w:r>
          <w:rPr>
            <w:noProof/>
            <w:webHidden/>
          </w:rPr>
          <w:instrText xml:space="preserve"> PAGEREF _Toc347496634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1"/>
        <w:tabs>
          <w:tab w:val="left" w:pos="709"/>
          <w:tab w:val="right" w:leader="dot" w:pos="9062"/>
        </w:tabs>
        <w:rPr>
          <w:rFonts w:ascii="Calibri" w:hAnsi="Calibri"/>
          <w:b w:val="0"/>
          <w:noProof/>
          <w:sz w:val="22"/>
          <w:szCs w:val="22"/>
          <w:lang w:eastAsia="en-GB"/>
        </w:rPr>
      </w:pPr>
      <w:hyperlink w:anchor="_Toc347496635" w:history="1">
        <w:r w:rsidRPr="00F07CF7">
          <w:rPr>
            <w:rStyle w:val="Hyperlink"/>
            <w:noProof/>
          </w:rPr>
          <w:t>1</w:t>
        </w:r>
        <w:r>
          <w:rPr>
            <w:rFonts w:ascii="Calibri" w:hAnsi="Calibri"/>
            <w:b w:val="0"/>
            <w:noProof/>
            <w:sz w:val="22"/>
            <w:szCs w:val="22"/>
            <w:lang w:eastAsia="en-GB"/>
          </w:rPr>
          <w:tab/>
        </w:r>
        <w:r w:rsidRPr="00F07CF7">
          <w:rPr>
            <w:rStyle w:val="Hyperlink"/>
            <w:noProof/>
          </w:rPr>
          <w:t>Introduction</w:t>
        </w:r>
        <w:r>
          <w:rPr>
            <w:noProof/>
            <w:webHidden/>
          </w:rPr>
          <w:tab/>
        </w:r>
        <w:r>
          <w:rPr>
            <w:noProof/>
            <w:webHidden/>
          </w:rPr>
          <w:fldChar w:fldCharType="begin"/>
        </w:r>
        <w:r>
          <w:rPr>
            <w:noProof/>
            <w:webHidden/>
          </w:rPr>
          <w:instrText xml:space="preserve"> PAGEREF _Toc347496635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36" w:history="1">
        <w:r w:rsidRPr="00F07CF7">
          <w:rPr>
            <w:rStyle w:val="Hyperlink"/>
            <w:noProof/>
          </w:rPr>
          <w:t>1.1</w:t>
        </w:r>
        <w:r>
          <w:rPr>
            <w:rFonts w:ascii="Calibri" w:hAnsi="Calibri"/>
            <w:noProof/>
            <w:sz w:val="22"/>
            <w:szCs w:val="22"/>
            <w:lang w:eastAsia="en-GB"/>
          </w:rPr>
          <w:tab/>
        </w:r>
        <w:r w:rsidRPr="00F07CF7">
          <w:rPr>
            <w:rStyle w:val="Hyperlink"/>
            <w:noProof/>
          </w:rPr>
          <w:t>Previous Noise Assessment</w:t>
        </w:r>
        <w:r>
          <w:rPr>
            <w:noProof/>
            <w:webHidden/>
          </w:rPr>
          <w:tab/>
        </w:r>
        <w:r>
          <w:rPr>
            <w:noProof/>
            <w:webHidden/>
          </w:rPr>
          <w:fldChar w:fldCharType="begin"/>
        </w:r>
        <w:r>
          <w:rPr>
            <w:noProof/>
            <w:webHidden/>
          </w:rPr>
          <w:instrText xml:space="preserve"> PAGEREF _Toc347496636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37" w:history="1">
        <w:r w:rsidRPr="00F07CF7">
          <w:rPr>
            <w:rStyle w:val="Hyperlink"/>
            <w:noProof/>
          </w:rPr>
          <w:t>1.2</w:t>
        </w:r>
        <w:r>
          <w:rPr>
            <w:rFonts w:ascii="Calibri" w:hAnsi="Calibri"/>
            <w:noProof/>
            <w:sz w:val="22"/>
            <w:szCs w:val="22"/>
            <w:lang w:eastAsia="en-GB"/>
          </w:rPr>
          <w:tab/>
        </w:r>
        <w:r w:rsidRPr="00F07CF7">
          <w:rPr>
            <w:rStyle w:val="Hyperlink"/>
            <w:noProof/>
          </w:rPr>
          <w:t>St Joseph’s Primary School</w:t>
        </w:r>
        <w:r>
          <w:rPr>
            <w:noProof/>
            <w:webHidden/>
          </w:rPr>
          <w:tab/>
        </w:r>
        <w:r>
          <w:rPr>
            <w:noProof/>
            <w:webHidden/>
          </w:rPr>
          <w:fldChar w:fldCharType="begin"/>
        </w:r>
        <w:r>
          <w:rPr>
            <w:noProof/>
            <w:webHidden/>
          </w:rPr>
          <w:instrText xml:space="preserve"> PAGEREF _Toc347496637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38" w:history="1">
        <w:r w:rsidRPr="00F07CF7">
          <w:rPr>
            <w:rStyle w:val="Hyperlink"/>
            <w:noProof/>
          </w:rPr>
          <w:t>1.3</w:t>
        </w:r>
        <w:r>
          <w:rPr>
            <w:rFonts w:ascii="Calibri" w:hAnsi="Calibri"/>
            <w:noProof/>
            <w:sz w:val="22"/>
            <w:szCs w:val="22"/>
            <w:lang w:eastAsia="en-GB"/>
          </w:rPr>
          <w:tab/>
        </w:r>
        <w:r w:rsidRPr="00F07CF7">
          <w:rPr>
            <w:rStyle w:val="Hyperlink"/>
            <w:noProof/>
          </w:rPr>
          <w:t>Detailed Demolition and Construction Noise Assessment</w:t>
        </w:r>
        <w:r>
          <w:rPr>
            <w:noProof/>
            <w:webHidden/>
          </w:rPr>
          <w:tab/>
        </w:r>
        <w:r>
          <w:rPr>
            <w:noProof/>
            <w:webHidden/>
          </w:rPr>
          <w:fldChar w:fldCharType="begin"/>
        </w:r>
        <w:r>
          <w:rPr>
            <w:noProof/>
            <w:webHidden/>
          </w:rPr>
          <w:instrText xml:space="preserve"> PAGEREF _Toc347496638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1"/>
        <w:tabs>
          <w:tab w:val="left" w:pos="709"/>
          <w:tab w:val="right" w:leader="dot" w:pos="9062"/>
        </w:tabs>
        <w:rPr>
          <w:rFonts w:ascii="Calibri" w:hAnsi="Calibri"/>
          <w:b w:val="0"/>
          <w:noProof/>
          <w:sz w:val="22"/>
          <w:szCs w:val="22"/>
          <w:lang w:eastAsia="en-GB"/>
        </w:rPr>
      </w:pPr>
      <w:hyperlink w:anchor="_Toc347496639" w:history="1">
        <w:r w:rsidRPr="00F07CF7">
          <w:rPr>
            <w:rStyle w:val="Hyperlink"/>
            <w:noProof/>
          </w:rPr>
          <w:t>2</w:t>
        </w:r>
        <w:r>
          <w:rPr>
            <w:rFonts w:ascii="Calibri" w:hAnsi="Calibri"/>
            <w:b w:val="0"/>
            <w:noProof/>
            <w:sz w:val="22"/>
            <w:szCs w:val="22"/>
            <w:lang w:eastAsia="en-GB"/>
          </w:rPr>
          <w:tab/>
        </w:r>
        <w:r w:rsidRPr="00F07CF7">
          <w:rPr>
            <w:rStyle w:val="Hyperlink"/>
            <w:noProof/>
          </w:rPr>
          <w:t>Policy and Guidance</w:t>
        </w:r>
        <w:r>
          <w:rPr>
            <w:noProof/>
            <w:webHidden/>
          </w:rPr>
          <w:tab/>
        </w:r>
        <w:r>
          <w:rPr>
            <w:noProof/>
            <w:webHidden/>
          </w:rPr>
          <w:fldChar w:fldCharType="begin"/>
        </w:r>
        <w:r>
          <w:rPr>
            <w:noProof/>
            <w:webHidden/>
          </w:rPr>
          <w:instrText xml:space="preserve"> PAGEREF _Toc347496639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0" w:history="1">
        <w:r w:rsidRPr="00F07CF7">
          <w:rPr>
            <w:rStyle w:val="Hyperlink"/>
            <w:noProof/>
          </w:rPr>
          <w:t>2.1</w:t>
        </w:r>
        <w:r>
          <w:rPr>
            <w:rFonts w:ascii="Calibri" w:hAnsi="Calibri"/>
            <w:noProof/>
            <w:sz w:val="22"/>
            <w:szCs w:val="22"/>
            <w:lang w:eastAsia="en-GB"/>
          </w:rPr>
          <w:tab/>
        </w:r>
        <w:r w:rsidRPr="00F07CF7">
          <w:rPr>
            <w:rStyle w:val="Hyperlink"/>
            <w:noProof/>
          </w:rPr>
          <w:t>Introduction</w:t>
        </w:r>
        <w:r>
          <w:rPr>
            <w:noProof/>
            <w:webHidden/>
          </w:rPr>
          <w:tab/>
        </w:r>
        <w:r>
          <w:rPr>
            <w:noProof/>
            <w:webHidden/>
          </w:rPr>
          <w:fldChar w:fldCharType="begin"/>
        </w:r>
        <w:r>
          <w:rPr>
            <w:noProof/>
            <w:webHidden/>
          </w:rPr>
          <w:instrText xml:space="preserve"> PAGEREF _Toc347496640 \h </w:instrText>
        </w:r>
        <w:r>
          <w:rPr>
            <w:noProof/>
          </w:rPr>
        </w:r>
        <w:r>
          <w:rPr>
            <w:noProof/>
            <w:webHidden/>
          </w:rPr>
          <w:fldChar w:fldCharType="separate"/>
        </w:r>
        <w:r>
          <w:rPr>
            <w:noProof/>
            <w:webHidden/>
          </w:rPr>
          <w:t>3</w:t>
        </w:r>
        <w:r>
          <w:rPr>
            <w:noProof/>
            <w:webHidden/>
          </w:rPr>
          <w:fldChar w:fldCharType="end"/>
        </w:r>
      </w:hyperlink>
    </w:p>
    <w:p w:rsidR="00F9271C" w:rsidRDefault="00F9271C" w:rsidP="00BC6041">
      <w:pPr>
        <w:pStyle w:val="TOC2"/>
        <w:tabs>
          <w:tab w:val="left" w:pos="1418"/>
          <w:tab w:val="right" w:leader="dot" w:pos="9062"/>
        </w:tabs>
        <w:ind w:left="1418" w:hanging="709"/>
        <w:rPr>
          <w:rFonts w:ascii="Calibri" w:hAnsi="Calibri"/>
          <w:noProof/>
          <w:sz w:val="22"/>
          <w:szCs w:val="22"/>
          <w:lang w:eastAsia="en-GB"/>
        </w:rPr>
      </w:pPr>
      <w:hyperlink w:anchor="_Toc347496641" w:history="1">
        <w:r w:rsidRPr="00F07CF7">
          <w:rPr>
            <w:rStyle w:val="Hyperlink"/>
            <w:noProof/>
          </w:rPr>
          <w:t>2.2</w:t>
        </w:r>
        <w:r>
          <w:rPr>
            <w:rFonts w:ascii="Calibri" w:hAnsi="Calibri"/>
            <w:noProof/>
            <w:sz w:val="22"/>
            <w:szCs w:val="22"/>
            <w:lang w:eastAsia="en-GB"/>
          </w:rPr>
          <w:tab/>
        </w:r>
        <w:r w:rsidRPr="00F07CF7">
          <w:rPr>
            <w:rStyle w:val="Hyperlink"/>
            <w:noProof/>
          </w:rPr>
          <w:t>British Standard 5228-1:2009 ‘</w:t>
        </w:r>
        <w:r w:rsidRPr="00F07CF7">
          <w:rPr>
            <w:rStyle w:val="Hyperlink"/>
            <w:noProof/>
            <w:lang w:val="en-US"/>
          </w:rPr>
          <w:t>Code of practice for noise and vibration control on construction and open sites Part 1 Noise</w:t>
        </w:r>
        <w:r w:rsidRPr="00F07CF7">
          <w:rPr>
            <w:rStyle w:val="Hyperlink"/>
            <w:noProof/>
          </w:rPr>
          <w:t>’</w:t>
        </w:r>
        <w:r>
          <w:rPr>
            <w:noProof/>
            <w:webHidden/>
          </w:rPr>
          <w:tab/>
        </w:r>
        <w:r>
          <w:rPr>
            <w:noProof/>
            <w:webHidden/>
          </w:rPr>
          <w:fldChar w:fldCharType="begin"/>
        </w:r>
        <w:r>
          <w:rPr>
            <w:noProof/>
            <w:webHidden/>
          </w:rPr>
          <w:instrText xml:space="preserve"> PAGEREF _Toc347496641 \h </w:instrText>
        </w:r>
        <w:r>
          <w:rPr>
            <w:noProof/>
          </w:rPr>
        </w:r>
        <w:r>
          <w:rPr>
            <w:noProof/>
            <w:webHidden/>
          </w:rPr>
          <w:fldChar w:fldCharType="separate"/>
        </w:r>
        <w:r>
          <w:rPr>
            <w:noProof/>
            <w:webHidden/>
          </w:rPr>
          <w:t>3</w:t>
        </w:r>
        <w:r>
          <w:rPr>
            <w:noProof/>
            <w:webHidden/>
          </w:rPr>
          <w:fldChar w:fldCharType="end"/>
        </w:r>
      </w:hyperlink>
    </w:p>
    <w:p w:rsidR="00F9271C" w:rsidRDefault="00F9271C" w:rsidP="00BC6041">
      <w:pPr>
        <w:pStyle w:val="TOC2"/>
        <w:tabs>
          <w:tab w:val="left" w:pos="1418"/>
          <w:tab w:val="right" w:leader="dot" w:pos="9062"/>
        </w:tabs>
        <w:ind w:left="1418" w:hanging="709"/>
        <w:rPr>
          <w:rFonts w:ascii="Calibri" w:hAnsi="Calibri"/>
          <w:noProof/>
          <w:sz w:val="22"/>
          <w:szCs w:val="22"/>
          <w:lang w:eastAsia="en-GB"/>
        </w:rPr>
      </w:pPr>
      <w:hyperlink w:anchor="_Toc347496642" w:history="1">
        <w:r w:rsidRPr="00F07CF7">
          <w:rPr>
            <w:rStyle w:val="Hyperlink"/>
            <w:noProof/>
          </w:rPr>
          <w:t>2.3</w:t>
        </w:r>
        <w:r>
          <w:rPr>
            <w:rFonts w:ascii="Calibri" w:hAnsi="Calibri"/>
            <w:noProof/>
            <w:sz w:val="22"/>
            <w:szCs w:val="22"/>
            <w:lang w:eastAsia="en-GB"/>
          </w:rPr>
          <w:tab/>
        </w:r>
        <w:r w:rsidRPr="00F07CF7">
          <w:rPr>
            <w:rStyle w:val="Hyperlink"/>
            <w:noProof/>
          </w:rPr>
          <w:t>British Standard 5228-1:2009 ‘</w:t>
        </w:r>
        <w:r w:rsidRPr="00F07CF7">
          <w:rPr>
            <w:rStyle w:val="Hyperlink"/>
            <w:noProof/>
            <w:lang w:val="en-US"/>
          </w:rPr>
          <w:t>Code of practice for noise and vibration control on construction and open sites Part 2 Vibration’</w:t>
        </w:r>
        <w:r>
          <w:rPr>
            <w:noProof/>
            <w:webHidden/>
          </w:rPr>
          <w:tab/>
        </w:r>
        <w:r>
          <w:rPr>
            <w:noProof/>
            <w:webHidden/>
          </w:rPr>
          <w:fldChar w:fldCharType="begin"/>
        </w:r>
        <w:r>
          <w:rPr>
            <w:noProof/>
            <w:webHidden/>
          </w:rPr>
          <w:instrText xml:space="preserve"> PAGEREF _Toc347496642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3" w:history="1">
        <w:r w:rsidRPr="00F07CF7">
          <w:rPr>
            <w:rStyle w:val="Hyperlink"/>
            <w:noProof/>
          </w:rPr>
          <w:t>2.4</w:t>
        </w:r>
        <w:r>
          <w:rPr>
            <w:rFonts w:ascii="Calibri" w:hAnsi="Calibri"/>
            <w:noProof/>
            <w:sz w:val="22"/>
            <w:szCs w:val="22"/>
            <w:lang w:eastAsia="en-GB"/>
          </w:rPr>
          <w:tab/>
        </w:r>
        <w:r w:rsidRPr="00F07CF7">
          <w:rPr>
            <w:rStyle w:val="Hyperlink"/>
            <w:noProof/>
          </w:rPr>
          <w:t>Building Bulletin 93 ‘Acoustic Design of Schools’, 2003</w:t>
        </w:r>
        <w:r>
          <w:rPr>
            <w:noProof/>
            <w:webHidden/>
          </w:rPr>
          <w:tab/>
        </w:r>
        <w:r>
          <w:rPr>
            <w:noProof/>
            <w:webHidden/>
          </w:rPr>
          <w:fldChar w:fldCharType="begin"/>
        </w:r>
        <w:r>
          <w:rPr>
            <w:noProof/>
            <w:webHidden/>
          </w:rPr>
          <w:instrText xml:space="preserve"> PAGEREF _Toc347496643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1"/>
        <w:tabs>
          <w:tab w:val="left" w:pos="709"/>
          <w:tab w:val="right" w:leader="dot" w:pos="9062"/>
        </w:tabs>
        <w:rPr>
          <w:rFonts w:ascii="Calibri" w:hAnsi="Calibri"/>
          <w:b w:val="0"/>
          <w:noProof/>
          <w:sz w:val="22"/>
          <w:szCs w:val="22"/>
          <w:lang w:eastAsia="en-GB"/>
        </w:rPr>
      </w:pPr>
      <w:hyperlink w:anchor="_Toc347496644" w:history="1">
        <w:r w:rsidRPr="00F07CF7">
          <w:rPr>
            <w:rStyle w:val="Hyperlink"/>
            <w:noProof/>
          </w:rPr>
          <w:t>3</w:t>
        </w:r>
        <w:r>
          <w:rPr>
            <w:rFonts w:ascii="Calibri" w:hAnsi="Calibri"/>
            <w:b w:val="0"/>
            <w:noProof/>
            <w:sz w:val="22"/>
            <w:szCs w:val="22"/>
            <w:lang w:eastAsia="en-GB"/>
          </w:rPr>
          <w:tab/>
        </w:r>
        <w:r w:rsidRPr="00F07CF7">
          <w:rPr>
            <w:rStyle w:val="Hyperlink"/>
            <w:noProof/>
          </w:rPr>
          <w:t>Methodology</w:t>
        </w:r>
        <w:r>
          <w:rPr>
            <w:noProof/>
            <w:webHidden/>
          </w:rPr>
          <w:tab/>
        </w:r>
        <w:r>
          <w:rPr>
            <w:noProof/>
            <w:webHidden/>
          </w:rPr>
          <w:fldChar w:fldCharType="begin"/>
        </w:r>
        <w:r>
          <w:rPr>
            <w:noProof/>
            <w:webHidden/>
          </w:rPr>
          <w:instrText xml:space="preserve"> PAGEREF _Toc347496644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5" w:history="1">
        <w:r w:rsidRPr="00F07CF7">
          <w:rPr>
            <w:rStyle w:val="Hyperlink"/>
            <w:noProof/>
          </w:rPr>
          <w:t>3.1</w:t>
        </w:r>
        <w:r>
          <w:rPr>
            <w:rFonts w:ascii="Calibri" w:hAnsi="Calibri"/>
            <w:noProof/>
            <w:sz w:val="22"/>
            <w:szCs w:val="22"/>
            <w:lang w:eastAsia="en-GB"/>
          </w:rPr>
          <w:tab/>
        </w:r>
        <w:r w:rsidRPr="00F07CF7">
          <w:rPr>
            <w:rStyle w:val="Hyperlink"/>
            <w:noProof/>
          </w:rPr>
          <w:t>Previous Noise Survey and Assessment</w:t>
        </w:r>
        <w:r>
          <w:rPr>
            <w:noProof/>
            <w:webHidden/>
          </w:rPr>
          <w:tab/>
        </w:r>
        <w:r>
          <w:rPr>
            <w:noProof/>
            <w:webHidden/>
          </w:rPr>
          <w:fldChar w:fldCharType="begin"/>
        </w:r>
        <w:r>
          <w:rPr>
            <w:noProof/>
            <w:webHidden/>
          </w:rPr>
          <w:instrText xml:space="preserve"> PAGEREF _Toc347496645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6" w:history="1">
        <w:r w:rsidRPr="00F07CF7">
          <w:rPr>
            <w:rStyle w:val="Hyperlink"/>
            <w:noProof/>
          </w:rPr>
          <w:t>3.2</w:t>
        </w:r>
        <w:r>
          <w:rPr>
            <w:rFonts w:ascii="Calibri" w:hAnsi="Calibri"/>
            <w:noProof/>
            <w:sz w:val="22"/>
            <w:szCs w:val="22"/>
            <w:lang w:eastAsia="en-GB"/>
          </w:rPr>
          <w:tab/>
        </w:r>
        <w:r w:rsidRPr="00F07CF7">
          <w:rPr>
            <w:rStyle w:val="Hyperlink"/>
            <w:noProof/>
          </w:rPr>
          <w:t>Additional Noise Survey</w:t>
        </w:r>
        <w:r>
          <w:rPr>
            <w:noProof/>
            <w:webHidden/>
          </w:rPr>
          <w:tab/>
        </w:r>
        <w:r>
          <w:rPr>
            <w:noProof/>
            <w:webHidden/>
          </w:rPr>
          <w:fldChar w:fldCharType="begin"/>
        </w:r>
        <w:r>
          <w:rPr>
            <w:noProof/>
            <w:webHidden/>
          </w:rPr>
          <w:instrText xml:space="preserve"> PAGEREF _Toc347496646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7" w:history="1">
        <w:r w:rsidRPr="00F07CF7">
          <w:rPr>
            <w:rStyle w:val="Hyperlink"/>
            <w:noProof/>
          </w:rPr>
          <w:t>3.3</w:t>
        </w:r>
        <w:r>
          <w:rPr>
            <w:rFonts w:ascii="Calibri" w:hAnsi="Calibri"/>
            <w:noProof/>
            <w:sz w:val="22"/>
            <w:szCs w:val="22"/>
            <w:lang w:eastAsia="en-GB"/>
          </w:rPr>
          <w:tab/>
        </w:r>
        <w:r w:rsidRPr="00F07CF7">
          <w:rPr>
            <w:rStyle w:val="Hyperlink"/>
            <w:noProof/>
          </w:rPr>
          <w:t>Prediction of Demolition and Site Clearance Noise Levels</w:t>
        </w:r>
        <w:r>
          <w:rPr>
            <w:noProof/>
            <w:webHidden/>
          </w:rPr>
          <w:tab/>
        </w:r>
        <w:r>
          <w:rPr>
            <w:noProof/>
            <w:webHidden/>
          </w:rPr>
          <w:fldChar w:fldCharType="begin"/>
        </w:r>
        <w:r>
          <w:rPr>
            <w:noProof/>
            <w:webHidden/>
          </w:rPr>
          <w:instrText xml:space="preserve"> PAGEREF _Toc347496647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8" w:history="1">
        <w:r w:rsidRPr="00F07CF7">
          <w:rPr>
            <w:rStyle w:val="Hyperlink"/>
            <w:noProof/>
          </w:rPr>
          <w:t>3.4</w:t>
        </w:r>
        <w:r>
          <w:rPr>
            <w:rFonts w:ascii="Calibri" w:hAnsi="Calibri"/>
            <w:noProof/>
            <w:sz w:val="22"/>
            <w:szCs w:val="22"/>
            <w:lang w:eastAsia="en-GB"/>
          </w:rPr>
          <w:tab/>
        </w:r>
        <w:r w:rsidRPr="00F07CF7">
          <w:rPr>
            <w:rStyle w:val="Hyperlink"/>
            <w:noProof/>
          </w:rPr>
          <w:t>Demolition and Site Preparation Vibration Levels</w:t>
        </w:r>
        <w:r>
          <w:rPr>
            <w:noProof/>
            <w:webHidden/>
          </w:rPr>
          <w:tab/>
        </w:r>
        <w:r>
          <w:rPr>
            <w:noProof/>
            <w:webHidden/>
          </w:rPr>
          <w:fldChar w:fldCharType="begin"/>
        </w:r>
        <w:r>
          <w:rPr>
            <w:noProof/>
            <w:webHidden/>
          </w:rPr>
          <w:instrText xml:space="preserve"> PAGEREF _Toc347496648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49" w:history="1">
        <w:r w:rsidRPr="00F07CF7">
          <w:rPr>
            <w:rStyle w:val="Hyperlink"/>
            <w:noProof/>
          </w:rPr>
          <w:t>3.5</w:t>
        </w:r>
        <w:r>
          <w:rPr>
            <w:rFonts w:ascii="Calibri" w:hAnsi="Calibri"/>
            <w:noProof/>
            <w:sz w:val="22"/>
            <w:szCs w:val="22"/>
            <w:lang w:eastAsia="en-GB"/>
          </w:rPr>
          <w:tab/>
        </w:r>
        <w:r w:rsidRPr="00F07CF7">
          <w:rPr>
            <w:rStyle w:val="Hyperlink"/>
            <w:noProof/>
          </w:rPr>
          <w:t>Additional Noise Assessment</w:t>
        </w:r>
        <w:r>
          <w:rPr>
            <w:noProof/>
            <w:webHidden/>
          </w:rPr>
          <w:tab/>
        </w:r>
        <w:r>
          <w:rPr>
            <w:noProof/>
            <w:webHidden/>
          </w:rPr>
          <w:fldChar w:fldCharType="begin"/>
        </w:r>
        <w:r>
          <w:rPr>
            <w:noProof/>
            <w:webHidden/>
          </w:rPr>
          <w:instrText xml:space="preserve"> PAGEREF _Toc347496649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50" w:history="1">
        <w:r w:rsidRPr="00F07CF7">
          <w:rPr>
            <w:rStyle w:val="Hyperlink"/>
            <w:noProof/>
          </w:rPr>
          <w:t>3.6</w:t>
        </w:r>
        <w:r>
          <w:rPr>
            <w:rFonts w:ascii="Calibri" w:hAnsi="Calibri"/>
            <w:noProof/>
            <w:sz w:val="22"/>
            <w:szCs w:val="22"/>
            <w:lang w:eastAsia="en-GB"/>
          </w:rPr>
          <w:tab/>
        </w:r>
        <w:r w:rsidRPr="00F07CF7">
          <w:rPr>
            <w:rStyle w:val="Hyperlink"/>
            <w:noProof/>
          </w:rPr>
          <w:t>Limitations</w:t>
        </w:r>
        <w:r>
          <w:rPr>
            <w:noProof/>
            <w:webHidden/>
          </w:rPr>
          <w:tab/>
        </w:r>
        <w:r>
          <w:rPr>
            <w:noProof/>
            <w:webHidden/>
          </w:rPr>
          <w:fldChar w:fldCharType="begin"/>
        </w:r>
        <w:r>
          <w:rPr>
            <w:noProof/>
            <w:webHidden/>
          </w:rPr>
          <w:instrText xml:space="preserve"> PAGEREF _Toc347496650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1"/>
        <w:tabs>
          <w:tab w:val="left" w:pos="709"/>
          <w:tab w:val="right" w:leader="dot" w:pos="9062"/>
        </w:tabs>
        <w:rPr>
          <w:rFonts w:ascii="Calibri" w:hAnsi="Calibri"/>
          <w:b w:val="0"/>
          <w:noProof/>
          <w:sz w:val="22"/>
          <w:szCs w:val="22"/>
          <w:lang w:eastAsia="en-GB"/>
        </w:rPr>
      </w:pPr>
      <w:hyperlink w:anchor="_Toc347496651" w:history="1">
        <w:r w:rsidRPr="00F07CF7">
          <w:rPr>
            <w:rStyle w:val="Hyperlink"/>
            <w:noProof/>
          </w:rPr>
          <w:t>4</w:t>
        </w:r>
        <w:r>
          <w:rPr>
            <w:rFonts w:ascii="Calibri" w:hAnsi="Calibri"/>
            <w:b w:val="0"/>
            <w:noProof/>
            <w:sz w:val="22"/>
            <w:szCs w:val="22"/>
            <w:lang w:eastAsia="en-GB"/>
          </w:rPr>
          <w:tab/>
        </w:r>
        <w:r w:rsidRPr="00F07CF7">
          <w:rPr>
            <w:rStyle w:val="Hyperlink"/>
            <w:noProof/>
          </w:rPr>
          <w:t>Results</w:t>
        </w:r>
        <w:r>
          <w:rPr>
            <w:noProof/>
            <w:webHidden/>
          </w:rPr>
          <w:tab/>
        </w:r>
        <w:r>
          <w:rPr>
            <w:noProof/>
            <w:webHidden/>
          </w:rPr>
          <w:fldChar w:fldCharType="begin"/>
        </w:r>
        <w:r>
          <w:rPr>
            <w:noProof/>
            <w:webHidden/>
          </w:rPr>
          <w:instrText xml:space="preserve"> PAGEREF _Toc347496651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52" w:history="1">
        <w:r w:rsidRPr="00F07CF7">
          <w:rPr>
            <w:rStyle w:val="Hyperlink"/>
            <w:noProof/>
          </w:rPr>
          <w:t>4.1</w:t>
        </w:r>
        <w:r>
          <w:rPr>
            <w:rFonts w:ascii="Calibri" w:hAnsi="Calibri"/>
            <w:noProof/>
            <w:sz w:val="22"/>
            <w:szCs w:val="22"/>
            <w:lang w:eastAsia="en-GB"/>
          </w:rPr>
          <w:tab/>
        </w:r>
        <w:r w:rsidRPr="00F07CF7">
          <w:rPr>
            <w:rStyle w:val="Hyperlink"/>
            <w:noProof/>
          </w:rPr>
          <w:t>Previous Noise Survey and Assessment</w:t>
        </w:r>
        <w:r>
          <w:rPr>
            <w:noProof/>
            <w:webHidden/>
          </w:rPr>
          <w:tab/>
        </w:r>
        <w:r>
          <w:rPr>
            <w:noProof/>
            <w:webHidden/>
          </w:rPr>
          <w:fldChar w:fldCharType="begin"/>
        </w:r>
        <w:r>
          <w:rPr>
            <w:noProof/>
            <w:webHidden/>
          </w:rPr>
          <w:instrText xml:space="preserve"> PAGEREF _Toc347496652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53" w:history="1">
        <w:r w:rsidRPr="00F07CF7">
          <w:rPr>
            <w:rStyle w:val="Hyperlink"/>
            <w:noProof/>
          </w:rPr>
          <w:t>4.2</w:t>
        </w:r>
        <w:r>
          <w:rPr>
            <w:rFonts w:ascii="Calibri" w:hAnsi="Calibri"/>
            <w:noProof/>
            <w:sz w:val="22"/>
            <w:szCs w:val="22"/>
            <w:lang w:eastAsia="en-GB"/>
          </w:rPr>
          <w:tab/>
        </w:r>
        <w:r w:rsidRPr="00F07CF7">
          <w:rPr>
            <w:rStyle w:val="Hyperlink"/>
            <w:noProof/>
          </w:rPr>
          <w:t>January 2013 Noise Survey</w:t>
        </w:r>
        <w:r>
          <w:rPr>
            <w:noProof/>
            <w:webHidden/>
          </w:rPr>
          <w:tab/>
        </w:r>
        <w:r>
          <w:rPr>
            <w:noProof/>
            <w:webHidden/>
          </w:rPr>
          <w:fldChar w:fldCharType="begin"/>
        </w:r>
        <w:r>
          <w:rPr>
            <w:noProof/>
            <w:webHidden/>
          </w:rPr>
          <w:instrText xml:space="preserve"> PAGEREF _Toc347496653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54" w:history="1">
        <w:r w:rsidRPr="00F07CF7">
          <w:rPr>
            <w:rStyle w:val="Hyperlink"/>
            <w:noProof/>
          </w:rPr>
          <w:t>4.3</w:t>
        </w:r>
        <w:r>
          <w:rPr>
            <w:rFonts w:ascii="Calibri" w:hAnsi="Calibri"/>
            <w:noProof/>
            <w:sz w:val="22"/>
            <w:szCs w:val="22"/>
            <w:lang w:eastAsia="en-GB"/>
          </w:rPr>
          <w:tab/>
        </w:r>
        <w:r w:rsidRPr="00F07CF7">
          <w:rPr>
            <w:rStyle w:val="Hyperlink"/>
            <w:noProof/>
          </w:rPr>
          <w:t>Predicted Demolition and Site Preparation Noise Levels</w:t>
        </w:r>
        <w:r>
          <w:rPr>
            <w:noProof/>
            <w:webHidden/>
          </w:rPr>
          <w:tab/>
        </w:r>
        <w:r>
          <w:rPr>
            <w:noProof/>
            <w:webHidden/>
          </w:rPr>
          <w:fldChar w:fldCharType="begin"/>
        </w:r>
        <w:r>
          <w:rPr>
            <w:noProof/>
            <w:webHidden/>
          </w:rPr>
          <w:instrText xml:space="preserve"> PAGEREF _Toc347496654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1"/>
        <w:tabs>
          <w:tab w:val="left" w:pos="709"/>
          <w:tab w:val="right" w:leader="dot" w:pos="9062"/>
        </w:tabs>
        <w:rPr>
          <w:rFonts w:ascii="Calibri" w:hAnsi="Calibri"/>
          <w:b w:val="0"/>
          <w:noProof/>
          <w:sz w:val="22"/>
          <w:szCs w:val="22"/>
          <w:lang w:eastAsia="en-GB"/>
        </w:rPr>
      </w:pPr>
      <w:hyperlink w:anchor="_Toc347496655" w:history="1">
        <w:r w:rsidRPr="00F07CF7">
          <w:rPr>
            <w:rStyle w:val="Hyperlink"/>
            <w:noProof/>
          </w:rPr>
          <w:t>5</w:t>
        </w:r>
        <w:r>
          <w:rPr>
            <w:rFonts w:ascii="Calibri" w:hAnsi="Calibri"/>
            <w:b w:val="0"/>
            <w:noProof/>
            <w:sz w:val="22"/>
            <w:szCs w:val="22"/>
            <w:lang w:eastAsia="en-GB"/>
          </w:rPr>
          <w:tab/>
        </w:r>
        <w:r w:rsidRPr="00F07CF7">
          <w:rPr>
            <w:rStyle w:val="Hyperlink"/>
            <w:noProof/>
          </w:rPr>
          <w:t>Mitigation Measures</w:t>
        </w:r>
        <w:r>
          <w:rPr>
            <w:noProof/>
            <w:webHidden/>
          </w:rPr>
          <w:tab/>
        </w:r>
        <w:r>
          <w:rPr>
            <w:noProof/>
            <w:webHidden/>
          </w:rPr>
          <w:fldChar w:fldCharType="begin"/>
        </w:r>
        <w:r>
          <w:rPr>
            <w:noProof/>
            <w:webHidden/>
          </w:rPr>
          <w:instrText xml:space="preserve"> PAGEREF _Toc347496655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2"/>
        <w:tabs>
          <w:tab w:val="left" w:pos="1418"/>
          <w:tab w:val="right" w:leader="dot" w:pos="9062"/>
        </w:tabs>
        <w:rPr>
          <w:rFonts w:ascii="Calibri" w:hAnsi="Calibri"/>
          <w:noProof/>
          <w:sz w:val="22"/>
          <w:szCs w:val="22"/>
          <w:lang w:eastAsia="en-GB"/>
        </w:rPr>
      </w:pPr>
      <w:hyperlink w:anchor="_Toc347496656" w:history="1">
        <w:r w:rsidRPr="00F07CF7">
          <w:rPr>
            <w:rStyle w:val="Hyperlink"/>
            <w:noProof/>
          </w:rPr>
          <w:t>5.1</w:t>
        </w:r>
        <w:r>
          <w:rPr>
            <w:rFonts w:ascii="Calibri" w:hAnsi="Calibri"/>
            <w:noProof/>
            <w:sz w:val="22"/>
            <w:szCs w:val="22"/>
            <w:lang w:eastAsia="en-GB"/>
          </w:rPr>
          <w:tab/>
        </w:r>
        <w:r w:rsidRPr="00F07CF7">
          <w:rPr>
            <w:rStyle w:val="Hyperlink"/>
            <w:noProof/>
          </w:rPr>
          <w:t>Demolition and Construction Noise and Vibration</w:t>
        </w:r>
        <w:r>
          <w:rPr>
            <w:noProof/>
            <w:webHidden/>
          </w:rPr>
          <w:tab/>
        </w:r>
        <w:r>
          <w:rPr>
            <w:noProof/>
            <w:webHidden/>
          </w:rPr>
          <w:fldChar w:fldCharType="begin"/>
        </w:r>
        <w:r>
          <w:rPr>
            <w:noProof/>
            <w:webHidden/>
          </w:rPr>
          <w:instrText xml:space="preserve"> PAGEREF _Toc347496656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OC1"/>
        <w:tabs>
          <w:tab w:val="left" w:pos="709"/>
          <w:tab w:val="right" w:leader="dot" w:pos="9062"/>
        </w:tabs>
        <w:rPr>
          <w:rFonts w:ascii="Calibri" w:hAnsi="Calibri"/>
          <w:b w:val="0"/>
          <w:noProof/>
          <w:sz w:val="22"/>
          <w:szCs w:val="22"/>
          <w:lang w:eastAsia="en-GB"/>
        </w:rPr>
      </w:pPr>
      <w:hyperlink w:anchor="_Toc347496657" w:history="1">
        <w:r w:rsidRPr="00F07CF7">
          <w:rPr>
            <w:rStyle w:val="Hyperlink"/>
            <w:noProof/>
          </w:rPr>
          <w:t>6</w:t>
        </w:r>
        <w:r>
          <w:rPr>
            <w:rFonts w:ascii="Calibri" w:hAnsi="Calibri"/>
            <w:b w:val="0"/>
            <w:noProof/>
            <w:sz w:val="22"/>
            <w:szCs w:val="22"/>
            <w:lang w:eastAsia="en-GB"/>
          </w:rPr>
          <w:tab/>
        </w:r>
        <w:r w:rsidRPr="00F07CF7">
          <w:rPr>
            <w:rStyle w:val="Hyperlink"/>
            <w:noProof/>
          </w:rPr>
          <w:t>Conclusion</w:t>
        </w:r>
        <w:r>
          <w:rPr>
            <w:noProof/>
            <w:webHidden/>
          </w:rPr>
          <w:tab/>
        </w:r>
        <w:r>
          <w:rPr>
            <w:noProof/>
            <w:webHidden/>
          </w:rPr>
          <w:fldChar w:fldCharType="begin"/>
        </w:r>
        <w:r>
          <w:rPr>
            <w:noProof/>
            <w:webHidden/>
          </w:rPr>
          <w:instrText xml:space="preserve"> PAGEREF _Toc347496657 \h </w:instrText>
        </w:r>
        <w:r>
          <w:rPr>
            <w:noProof/>
          </w:rPr>
        </w:r>
        <w:r>
          <w:rPr>
            <w:noProof/>
            <w:webHidden/>
          </w:rPr>
          <w:fldChar w:fldCharType="separate"/>
        </w:r>
        <w:r>
          <w:rPr>
            <w:noProof/>
            <w:webHidden/>
          </w:rPr>
          <w:t>3</w:t>
        </w:r>
        <w:r>
          <w:rPr>
            <w:noProof/>
            <w:webHidden/>
          </w:rPr>
          <w:fldChar w:fldCharType="end"/>
        </w:r>
      </w:hyperlink>
    </w:p>
    <w:p w:rsidR="00F9271C" w:rsidRDefault="00F9271C" w:rsidP="00BC6041">
      <w:pPr>
        <w:pStyle w:val="BodyText"/>
        <w:spacing w:after="120"/>
      </w:pPr>
      <w:r>
        <w:fldChar w:fldCharType="end"/>
      </w:r>
    </w:p>
    <w:p w:rsidR="00F9271C" w:rsidRDefault="00F9271C" w:rsidP="00BC6041">
      <w:pPr>
        <w:pStyle w:val="NonTOCHeading"/>
        <w:spacing w:before="120" w:after="120"/>
      </w:pPr>
      <w:r>
        <w:t>Tables</w:t>
      </w:r>
    </w:p>
    <w:p w:rsidR="00F9271C" w:rsidRDefault="00F9271C">
      <w:pPr>
        <w:pStyle w:val="TableofFigures"/>
        <w:tabs>
          <w:tab w:val="right" w:leader="dot" w:pos="9062"/>
        </w:tabs>
        <w:rPr>
          <w:rFonts w:ascii="Calibri" w:hAnsi="Calibri"/>
          <w:noProof/>
          <w:sz w:val="22"/>
          <w:szCs w:val="22"/>
          <w:lang w:eastAsia="en-GB"/>
        </w:rPr>
      </w:pPr>
      <w:r w:rsidRPr="00D85B8C">
        <w:fldChar w:fldCharType="begin"/>
      </w:r>
      <w:r w:rsidRPr="00D85B8C">
        <w:instrText xml:space="preserve"> TOC \h \z \t "TableCaption" \c </w:instrText>
      </w:r>
      <w:r w:rsidRPr="00D85B8C">
        <w:fldChar w:fldCharType="separate"/>
      </w:r>
      <w:hyperlink w:anchor="_Toc347408720" w:history="1">
        <w:r w:rsidRPr="0063657D">
          <w:rPr>
            <w:rStyle w:val="Hyperlink"/>
            <w:noProof/>
          </w:rPr>
          <w:t>Table 2.1: Table of Human Response to Vibration Magnitude</w:t>
        </w:r>
        <w:r>
          <w:rPr>
            <w:noProof/>
            <w:webHidden/>
          </w:rPr>
          <w:tab/>
        </w:r>
        <w:r>
          <w:rPr>
            <w:noProof/>
            <w:webHidden/>
          </w:rPr>
          <w:fldChar w:fldCharType="begin"/>
        </w:r>
        <w:r>
          <w:rPr>
            <w:noProof/>
            <w:webHidden/>
          </w:rPr>
          <w:instrText xml:space="preserve"> PAGEREF _Toc347408720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ableofFigures"/>
        <w:tabs>
          <w:tab w:val="right" w:leader="dot" w:pos="9062"/>
        </w:tabs>
        <w:rPr>
          <w:rFonts w:ascii="Calibri" w:hAnsi="Calibri"/>
          <w:noProof/>
          <w:sz w:val="22"/>
          <w:szCs w:val="22"/>
          <w:lang w:eastAsia="en-GB"/>
        </w:rPr>
      </w:pPr>
      <w:hyperlink w:anchor="_Toc347408721" w:history="1">
        <w:r w:rsidRPr="0063657D">
          <w:rPr>
            <w:rStyle w:val="Hyperlink"/>
            <w:noProof/>
          </w:rPr>
          <w:t>Table 4.1: Results of the St Joseph’s Primary School Noise Survey</w:t>
        </w:r>
        <w:r>
          <w:rPr>
            <w:noProof/>
            <w:webHidden/>
          </w:rPr>
          <w:tab/>
        </w:r>
        <w:r>
          <w:rPr>
            <w:noProof/>
            <w:webHidden/>
          </w:rPr>
          <w:fldChar w:fldCharType="begin"/>
        </w:r>
        <w:r>
          <w:rPr>
            <w:noProof/>
            <w:webHidden/>
          </w:rPr>
          <w:instrText xml:space="preserve"> PAGEREF _Toc347408721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ableofFigures"/>
        <w:tabs>
          <w:tab w:val="right" w:leader="dot" w:pos="9062"/>
        </w:tabs>
        <w:rPr>
          <w:rFonts w:ascii="Calibri" w:hAnsi="Calibri"/>
          <w:noProof/>
          <w:sz w:val="22"/>
          <w:szCs w:val="22"/>
          <w:lang w:eastAsia="en-GB"/>
        </w:rPr>
      </w:pPr>
      <w:hyperlink w:anchor="_Toc347408722" w:history="1">
        <w:r w:rsidRPr="0063657D">
          <w:rPr>
            <w:rStyle w:val="Hyperlink"/>
            <w:noProof/>
          </w:rPr>
          <w:t>Table B.1: Internal Noise Levels and Spectra</w:t>
        </w:r>
        <w:r>
          <w:rPr>
            <w:noProof/>
            <w:webHidden/>
          </w:rPr>
          <w:tab/>
        </w:r>
        <w:r>
          <w:rPr>
            <w:noProof/>
            <w:webHidden/>
          </w:rPr>
          <w:fldChar w:fldCharType="begin"/>
        </w:r>
        <w:r>
          <w:rPr>
            <w:noProof/>
            <w:webHidden/>
          </w:rPr>
          <w:instrText xml:space="preserve"> PAGEREF _Toc347408722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ableofFigures"/>
        <w:tabs>
          <w:tab w:val="right" w:leader="dot" w:pos="9062"/>
        </w:tabs>
        <w:rPr>
          <w:rFonts w:ascii="Calibri" w:hAnsi="Calibri"/>
          <w:noProof/>
          <w:sz w:val="22"/>
          <w:szCs w:val="22"/>
          <w:lang w:eastAsia="en-GB"/>
        </w:rPr>
      </w:pPr>
      <w:hyperlink w:anchor="_Toc347408723" w:history="1">
        <w:r w:rsidRPr="0063657D">
          <w:rPr>
            <w:rStyle w:val="Hyperlink"/>
            <w:noProof/>
          </w:rPr>
          <w:t>Table B.2: Playground Noise Levels and Spectra in the Internal Measurement Periods</w:t>
        </w:r>
        <w:r>
          <w:rPr>
            <w:noProof/>
            <w:webHidden/>
          </w:rPr>
          <w:tab/>
        </w:r>
        <w:r>
          <w:rPr>
            <w:noProof/>
            <w:webHidden/>
          </w:rPr>
          <w:fldChar w:fldCharType="begin"/>
        </w:r>
        <w:r>
          <w:rPr>
            <w:noProof/>
            <w:webHidden/>
          </w:rPr>
          <w:instrText xml:space="preserve"> PAGEREF _Toc347408723 \h </w:instrText>
        </w:r>
        <w:r>
          <w:rPr>
            <w:noProof/>
          </w:rPr>
        </w:r>
        <w:r>
          <w:rPr>
            <w:noProof/>
            <w:webHidden/>
          </w:rPr>
          <w:fldChar w:fldCharType="separate"/>
        </w:r>
        <w:r>
          <w:rPr>
            <w:noProof/>
            <w:webHidden/>
          </w:rPr>
          <w:t>3</w:t>
        </w:r>
        <w:r>
          <w:rPr>
            <w:noProof/>
            <w:webHidden/>
          </w:rPr>
          <w:fldChar w:fldCharType="end"/>
        </w:r>
      </w:hyperlink>
    </w:p>
    <w:p w:rsidR="00F9271C" w:rsidRDefault="00F9271C">
      <w:pPr>
        <w:pStyle w:val="TableofFigures"/>
        <w:tabs>
          <w:tab w:val="right" w:leader="dot" w:pos="9062"/>
        </w:tabs>
        <w:rPr>
          <w:rFonts w:ascii="Calibri" w:hAnsi="Calibri"/>
          <w:noProof/>
          <w:sz w:val="22"/>
          <w:szCs w:val="22"/>
          <w:lang w:eastAsia="en-GB"/>
        </w:rPr>
      </w:pPr>
      <w:hyperlink w:anchor="_Toc347408724" w:history="1">
        <w:r w:rsidRPr="0063657D">
          <w:rPr>
            <w:rStyle w:val="Hyperlink"/>
            <w:noProof/>
          </w:rPr>
          <w:t>Table B.3: Difference between the Internal and External Noise Levels and Spectra</w:t>
        </w:r>
        <w:r>
          <w:rPr>
            <w:noProof/>
            <w:webHidden/>
          </w:rPr>
          <w:tab/>
        </w:r>
        <w:r>
          <w:rPr>
            <w:noProof/>
            <w:webHidden/>
          </w:rPr>
          <w:fldChar w:fldCharType="begin"/>
        </w:r>
        <w:r>
          <w:rPr>
            <w:noProof/>
            <w:webHidden/>
          </w:rPr>
          <w:instrText xml:space="preserve"> PAGEREF _Toc347408724 \h </w:instrText>
        </w:r>
        <w:r>
          <w:rPr>
            <w:noProof/>
          </w:rPr>
        </w:r>
        <w:r>
          <w:rPr>
            <w:noProof/>
            <w:webHidden/>
          </w:rPr>
          <w:fldChar w:fldCharType="separate"/>
        </w:r>
        <w:r>
          <w:rPr>
            <w:noProof/>
            <w:webHidden/>
          </w:rPr>
          <w:t>3</w:t>
        </w:r>
        <w:r>
          <w:rPr>
            <w:noProof/>
            <w:webHidden/>
          </w:rPr>
          <w:fldChar w:fldCharType="end"/>
        </w:r>
      </w:hyperlink>
    </w:p>
    <w:p w:rsidR="00F9271C" w:rsidRPr="00D85B8C" w:rsidRDefault="00F9271C" w:rsidP="00BC6041">
      <w:pPr>
        <w:pStyle w:val="BodyText"/>
        <w:spacing w:after="0"/>
      </w:pPr>
      <w:r w:rsidRPr="00D85B8C">
        <w:fldChar w:fldCharType="end"/>
      </w:r>
    </w:p>
    <w:p w:rsidR="00F9271C" w:rsidRDefault="00F9271C" w:rsidP="00BC6041">
      <w:pPr>
        <w:pStyle w:val="NonTOCHeading"/>
        <w:spacing w:before="0" w:after="120"/>
      </w:pPr>
      <w:r>
        <w:t>Figures</w:t>
      </w:r>
    </w:p>
    <w:p w:rsidR="00F9271C" w:rsidRDefault="00F9271C" w:rsidP="00BC6041">
      <w:pPr>
        <w:pStyle w:val="BodyText"/>
        <w:spacing w:after="0"/>
        <w:rPr>
          <w:rFonts w:cs="Arial"/>
        </w:rPr>
      </w:pPr>
      <w:r>
        <w:rPr>
          <w:rFonts w:cs="Arial"/>
        </w:rPr>
        <w:t>Fig 1</w:t>
      </w:r>
      <w:r>
        <w:rPr>
          <w:rFonts w:cs="Arial"/>
        </w:rPr>
        <w:tab/>
        <w:t>Sources on the upper floors</w:t>
      </w:r>
    </w:p>
    <w:p w:rsidR="00F9271C" w:rsidRDefault="00F9271C" w:rsidP="00BC6041">
      <w:pPr>
        <w:pStyle w:val="BodyText"/>
        <w:spacing w:after="0"/>
        <w:rPr>
          <w:rFonts w:cs="Arial"/>
        </w:rPr>
      </w:pPr>
      <w:r>
        <w:rPr>
          <w:rFonts w:cs="Arial"/>
        </w:rPr>
        <w:t>Fig 2</w:t>
      </w:r>
      <w:r>
        <w:rPr>
          <w:rFonts w:cs="Arial"/>
        </w:rPr>
        <w:tab/>
        <w:t>Sources on 1</w:t>
      </w:r>
      <w:r w:rsidRPr="00FA09E5">
        <w:rPr>
          <w:rFonts w:cs="Arial"/>
          <w:vertAlign w:val="superscript"/>
        </w:rPr>
        <w:t>st</w:t>
      </w:r>
      <w:r>
        <w:rPr>
          <w:rFonts w:cs="Arial"/>
        </w:rPr>
        <w:t xml:space="preserve"> floor</w:t>
      </w:r>
    </w:p>
    <w:p w:rsidR="00F9271C" w:rsidRDefault="00F9271C" w:rsidP="00BC6041">
      <w:pPr>
        <w:pStyle w:val="BodyText"/>
        <w:spacing w:after="0"/>
        <w:rPr>
          <w:rFonts w:cs="Arial"/>
        </w:rPr>
      </w:pPr>
      <w:r>
        <w:rPr>
          <w:rFonts w:cs="Arial"/>
        </w:rPr>
        <w:t>Fig 3</w:t>
      </w:r>
      <w:r>
        <w:rPr>
          <w:rFonts w:cs="Arial"/>
        </w:rPr>
        <w:tab/>
        <w:t>Sources on Ground floor</w:t>
      </w:r>
    </w:p>
    <w:p w:rsidR="00F9271C" w:rsidRDefault="00F9271C" w:rsidP="00BC6041">
      <w:pPr>
        <w:pStyle w:val="BodyText"/>
        <w:spacing w:after="0"/>
        <w:rPr>
          <w:rFonts w:cs="Arial"/>
        </w:rPr>
      </w:pPr>
      <w:r>
        <w:rPr>
          <w:rFonts w:cs="Arial"/>
        </w:rPr>
        <w:t>Fig 4</w:t>
      </w:r>
      <w:r>
        <w:rPr>
          <w:rFonts w:cs="Arial"/>
        </w:rPr>
        <w:tab/>
        <w:t>Sources during Site Clearance</w:t>
      </w:r>
    </w:p>
    <w:p w:rsidR="00F9271C" w:rsidRPr="00D85B8C" w:rsidRDefault="00F9271C" w:rsidP="00BC6041">
      <w:pPr>
        <w:pStyle w:val="BodyText"/>
        <w:spacing w:after="0"/>
        <w:rPr>
          <w:rFonts w:cs="Arial"/>
        </w:rPr>
      </w:pPr>
      <w:r>
        <w:rPr>
          <w:rFonts w:cs="Arial"/>
        </w:rPr>
        <w:t>Fig 5</w:t>
      </w:r>
      <w:r>
        <w:rPr>
          <w:rFonts w:cs="Arial"/>
        </w:rPr>
        <w:tab/>
        <w:t>Site Plan</w:t>
      </w:r>
    </w:p>
    <w:p w:rsidR="00F9271C" w:rsidRDefault="00F9271C" w:rsidP="006511A5">
      <w:pPr>
        <w:pStyle w:val="NonTOCHeading"/>
        <w:spacing w:after="120"/>
      </w:pPr>
      <w:r>
        <w:t>Appendices</w:t>
      </w:r>
    </w:p>
    <w:p w:rsidR="00F9271C" w:rsidRDefault="00F9271C" w:rsidP="00BC6041">
      <w:pPr>
        <w:pStyle w:val="TableofFigures"/>
        <w:rPr>
          <w:rFonts w:ascii="Calibri" w:hAnsi="Calibri"/>
          <w:noProof/>
          <w:sz w:val="22"/>
          <w:szCs w:val="22"/>
          <w:lang w:eastAsia="en-GB"/>
        </w:rPr>
      </w:pPr>
      <w:r>
        <w:fldChar w:fldCharType="begin"/>
      </w:r>
      <w:r>
        <w:instrText xml:space="preserve"> TOC \n \h \z \t "Appendix" \c </w:instrText>
      </w:r>
      <w:r>
        <w:fldChar w:fldCharType="separate"/>
      </w:r>
      <w:hyperlink w:anchor="_Toc347496984" w:history="1">
        <w:r w:rsidRPr="00CC1869">
          <w:rPr>
            <w:rStyle w:val="Hyperlink"/>
            <w:noProof/>
          </w:rPr>
          <w:t>Appendix A: Glossary of Acoustics Terms</w:t>
        </w:r>
      </w:hyperlink>
    </w:p>
    <w:p w:rsidR="00F9271C" w:rsidRDefault="00F9271C" w:rsidP="00BC6041">
      <w:pPr>
        <w:pStyle w:val="TableofFigures"/>
        <w:rPr>
          <w:rFonts w:ascii="Calibri" w:hAnsi="Calibri"/>
          <w:noProof/>
          <w:sz w:val="22"/>
          <w:szCs w:val="22"/>
          <w:lang w:eastAsia="en-GB"/>
        </w:rPr>
      </w:pPr>
      <w:hyperlink w:anchor="_Toc347496985" w:history="1">
        <w:r w:rsidRPr="00CC1869">
          <w:rPr>
            <w:rStyle w:val="Hyperlink"/>
            <w:noProof/>
          </w:rPr>
          <w:t>Appendix B: Plant and Envirowrap Data</w:t>
        </w:r>
      </w:hyperlink>
    </w:p>
    <w:p w:rsidR="00F9271C" w:rsidRDefault="00F9271C" w:rsidP="00BC6041">
      <w:pPr>
        <w:pStyle w:val="TableofFigures"/>
        <w:rPr>
          <w:rFonts w:ascii="Calibri" w:hAnsi="Calibri"/>
          <w:noProof/>
          <w:sz w:val="22"/>
          <w:szCs w:val="22"/>
          <w:lang w:eastAsia="en-GB"/>
        </w:rPr>
      </w:pPr>
      <w:hyperlink w:anchor="_Toc347496986" w:history="1">
        <w:r w:rsidRPr="00CC1869">
          <w:rPr>
            <w:rStyle w:val="Hyperlink"/>
            <w:noProof/>
          </w:rPr>
          <w:t>Appendix C: Full Noise Survey Results</w:t>
        </w:r>
      </w:hyperlink>
    </w:p>
    <w:p w:rsidR="00F9271C" w:rsidRPr="00805830" w:rsidRDefault="00F9271C" w:rsidP="00BC6041">
      <w:pPr>
        <w:pStyle w:val="TableofFigures"/>
      </w:pPr>
      <w:hyperlink w:anchor="_Toc347496987" w:history="1">
        <w:r w:rsidRPr="00CC1869">
          <w:rPr>
            <w:rStyle w:val="Hyperlink"/>
            <w:noProof/>
          </w:rPr>
          <w:t>Appendix D: Comparison of predicted Demolition and Site Clearance Noise Levels with existing noise at school</w:t>
        </w:r>
      </w:hyperlink>
      <w:r>
        <w:fldChar w:fldCharType="end"/>
      </w:r>
    </w:p>
    <w:p w:rsidR="00F9271C" w:rsidRDefault="00F9271C" w:rsidP="00EB5F55"/>
    <w:p w:rsidR="00F9271C" w:rsidRDefault="00F9271C" w:rsidP="00EB5F55"/>
    <w:p w:rsidR="00F9271C" w:rsidRDefault="00F9271C" w:rsidP="00EB5F55"/>
    <w:p w:rsidR="00F9271C" w:rsidRDefault="00F9271C" w:rsidP="00EB5F55">
      <w:pPr>
        <w:sectPr w:rsidR="00F9271C" w:rsidSect="00497D13">
          <w:headerReference w:type="default" r:id="rId17"/>
          <w:pgSz w:w="11907" w:h="16840" w:code="9"/>
          <w:pgMar w:top="2268" w:right="1417" w:bottom="1418" w:left="1418" w:header="794" w:footer="567" w:gutter="0"/>
          <w:pgNumType w:fmt="lowerRoman"/>
          <w:cols w:space="708"/>
          <w:docGrid w:linePitch="360"/>
        </w:sectPr>
      </w:pPr>
    </w:p>
    <w:p w:rsidR="00F9271C" w:rsidRDefault="00F9271C" w:rsidP="00667C61">
      <w:pPr>
        <w:pStyle w:val="Heading1nonumber"/>
      </w:pPr>
      <w:bookmarkStart w:id="2" w:name="_Toc347496634"/>
      <w:r>
        <w:t>Executive Summary</w:t>
      </w:r>
      <w:bookmarkEnd w:id="2"/>
    </w:p>
    <w:p w:rsidR="00F9271C" w:rsidRDefault="00F9271C" w:rsidP="00667C61">
      <w:pPr>
        <w:pStyle w:val="BodyText"/>
        <w:spacing w:after="120"/>
      </w:pPr>
      <w:r>
        <w:t xml:space="preserve">The London Borough of Camden previously instructed Peter Brett Associates LLP (PBA) </w:t>
      </w:r>
      <w:r w:rsidRPr="00E52C03">
        <w:t xml:space="preserve">to undertake a noise assessment </w:t>
      </w:r>
      <w:r>
        <w:t>of</w:t>
      </w:r>
      <w:r w:rsidRPr="00E52C03">
        <w:t xml:space="preserve"> </w:t>
      </w:r>
      <w:r>
        <w:t>redevelop of Parker House, Covent Garden. The previous assessment considered</w:t>
      </w:r>
      <w:r w:rsidRPr="00E52C03">
        <w:t xml:space="preserve"> the existing noise climate at </w:t>
      </w:r>
      <w:r>
        <w:t xml:space="preserve">the site, the suitability of the building for the proposed use, </w:t>
      </w:r>
      <w:r w:rsidRPr="00E52C03">
        <w:t xml:space="preserve">and the </w:t>
      </w:r>
      <w:r>
        <w:t>sound reduction performance requirements of the external building.</w:t>
      </w:r>
    </w:p>
    <w:p w:rsidR="00F9271C" w:rsidRDefault="00F9271C" w:rsidP="00667C61">
      <w:pPr>
        <w:pStyle w:val="BodyText"/>
        <w:spacing w:after="120"/>
      </w:pPr>
      <w:r>
        <w:t>This report presents the findings of a more detailed assessment of the demolition and site clearance noise. Refined noise limits are described based on the more detailed analysis of noise climate affecting St Joseph’s School,</w:t>
      </w:r>
      <w:r w:rsidRPr="00BC6041">
        <w:t xml:space="preserve"> </w:t>
      </w:r>
      <w:r>
        <w:t>situated adjacent to the Parker House site with adjoining boundaries. The school is laid out such that all classrooms overlook the playground and the noise of children using the playground is detrimental to the internal teaching environment.</w:t>
      </w:r>
    </w:p>
    <w:p w:rsidR="00F9271C" w:rsidRDefault="00F9271C" w:rsidP="00667C61">
      <w:pPr>
        <w:pStyle w:val="BodyText"/>
        <w:spacing w:after="120"/>
      </w:pPr>
      <w:r>
        <w:t>A programme of works and plant details are now available for the proposed demolition and construction at Parker House. The purpose of this assessment is to assess the noise from these activities and plant, specifically in the classrooms at St Joseph’s Primary School. The report also describes the mitigation measures which are proposed to reduce the effects of the work.</w:t>
      </w:r>
    </w:p>
    <w:p w:rsidR="00F9271C" w:rsidRDefault="00F9271C" w:rsidP="00667C61">
      <w:pPr>
        <w:pStyle w:val="BodyText"/>
        <w:spacing w:after="120"/>
      </w:pPr>
      <w:r w:rsidRPr="005E4399">
        <w:t xml:space="preserve">Part 1 of British Standard 5228:2009 </w:t>
      </w:r>
      <w:r>
        <w:t>(BS 5228)</w:t>
      </w:r>
      <w:r w:rsidRPr="007C1D81">
        <w:t xml:space="preserve"> </w:t>
      </w:r>
      <w:r w:rsidRPr="005E4399">
        <w:t>sets out a methodology for predicting, assessing and controlling noise levels arising from a wide variety of construction and related activities</w:t>
      </w:r>
      <w:r>
        <w:t>.</w:t>
      </w:r>
      <w:r w:rsidRPr="00BC6041">
        <w:t xml:space="preserve"> </w:t>
      </w:r>
      <w:r>
        <w:t>Building Bulletin 93 (BB93) details the performance standards as upper limits for internal and external ambient noise levels.</w:t>
      </w:r>
      <w:r w:rsidRPr="00BC6041">
        <w:t xml:space="preserve"> </w:t>
      </w:r>
      <w:r>
        <w:t>For primary school classrooms the upper limit is considered to be 35 dB. However, existing noise levels at St Joseph’s Primary School already exceed 35 dB when the windows are partially open.</w:t>
      </w:r>
    </w:p>
    <w:p w:rsidR="00F9271C" w:rsidRDefault="00F9271C" w:rsidP="00667C61">
      <w:pPr>
        <w:pStyle w:val="BodyText"/>
        <w:spacing w:after="120"/>
      </w:pPr>
      <w:r>
        <w:t>An additional noise survey was undertaken on 11</w:t>
      </w:r>
      <w:r w:rsidRPr="00213CC1">
        <w:rPr>
          <w:vertAlign w:val="superscript"/>
        </w:rPr>
        <w:t>th</w:t>
      </w:r>
      <w:r>
        <w:t xml:space="preserve"> January 2013 to measure noise in the playground at St Joseph’s School and internal noise levels in classrooms when the playground was in use. </w:t>
      </w:r>
    </w:p>
    <w:p w:rsidR="00F9271C" w:rsidRDefault="00F9271C" w:rsidP="00667C61">
      <w:pPr>
        <w:pStyle w:val="BodyText"/>
        <w:spacing w:after="120"/>
      </w:pPr>
      <w:r>
        <w:t>The demolition and site clearance noise levels have been predicted to the four classrooms representative of classrooms on the first, second and third floors of the school. The noise levels have been predicted for four scenarios with all mobile demolition equipment (except lorries) on the fifth floor, all on the first floor, all on the ground floor and during site clearance. The results of the internal noise measurements have been used to establish the typical level inside the classrooms whilst the playground is in use so that the predicted demolition and construction noise levels can be added.</w:t>
      </w:r>
      <w:r w:rsidRPr="00831F5A">
        <w:t xml:space="preserve"> </w:t>
      </w:r>
      <w:r>
        <w:t xml:space="preserve">The predictions use the proposed programme of works, proposed plant and the sound power levels </w:t>
      </w:r>
      <w:r w:rsidRPr="00DF3810">
        <w:t>as advised by the demolition contractor</w:t>
      </w:r>
      <w:r>
        <w:t xml:space="preserve"> and prediction </w:t>
      </w:r>
      <w:r w:rsidRPr="00DF3810">
        <w:t>methods provided in BS 5228-1:2009.</w:t>
      </w:r>
    </w:p>
    <w:p w:rsidR="00F9271C" w:rsidRDefault="00F9271C" w:rsidP="00667C61">
      <w:pPr>
        <w:pStyle w:val="BodyText"/>
        <w:spacing w:after="120"/>
      </w:pPr>
      <w:r>
        <w:t>An increase in noise levels of less than 3 dB is considered not significant as it is n</w:t>
      </w:r>
      <w:r w:rsidRPr="00DB4592">
        <w:t xml:space="preserve">ot perceptible to </w:t>
      </w:r>
      <w:r>
        <w:t xml:space="preserve">the average person. This criterion is more stringent than that suggested by BS 5228-1:2009. A </w:t>
      </w:r>
      <w:r w:rsidRPr="00CD6CDE">
        <w:t xml:space="preserve">summary of the predicted demolition and site </w:t>
      </w:r>
      <w:r>
        <w:t>clearance</w:t>
      </w:r>
      <w:r w:rsidRPr="00CD6CDE">
        <w:t xml:space="preserve"> noise levels to four of the classrooms at St Joseph’s Primary School</w:t>
      </w:r>
      <w:r>
        <w:t xml:space="preserve"> is provided</w:t>
      </w:r>
      <w:r w:rsidRPr="00CD6CDE">
        <w:t>.</w:t>
      </w:r>
      <w:r>
        <w:t xml:space="preserve"> This </w:t>
      </w:r>
      <w:r w:rsidRPr="00BC6041">
        <w:t>show</w:t>
      </w:r>
      <w:r>
        <w:t>s</w:t>
      </w:r>
      <w:r w:rsidRPr="00BC6041">
        <w:t xml:space="preserve"> that without mitigation the increase in the existing internal noise levels during demolition works is unacceptable in all the classrooms</w:t>
      </w:r>
      <w:r>
        <w:t xml:space="preserve">. </w:t>
      </w:r>
    </w:p>
    <w:p w:rsidR="00F9271C" w:rsidRDefault="00F9271C" w:rsidP="00667C61">
      <w:pPr>
        <w:pStyle w:val="BodyText"/>
        <w:spacing w:after="120"/>
      </w:pPr>
      <w:r>
        <w:t xml:space="preserve">In addition to the mitigation measures advised in the original PBA report, </w:t>
      </w:r>
      <w:r w:rsidRPr="00DF3810">
        <w:t>polyethylene sheeting</w:t>
      </w:r>
      <w:r>
        <w:t xml:space="preserve"> (Envirowrap)</w:t>
      </w:r>
      <w:r w:rsidRPr="00DF3810">
        <w:t xml:space="preserve"> will</w:t>
      </w:r>
      <w:r>
        <w:t xml:space="preserve"> be wrapped around the scaffolding to mitigate dust and noise from the demolition works. If the proposed Envirowrap is used around the scaffolding, the noise levels when children are in the playground will not be exceeded, However, when children are not using the playground a significant increase in the internal noise levels (up to 6 dB) is predicted at all floors</w:t>
      </w:r>
      <w:r w:rsidRPr="00425AD3">
        <w:t xml:space="preserve"> </w:t>
      </w:r>
      <w:r>
        <w:t>of the school when the demolition works have reached the first floor. There are other less significant effects.  If temporary barriers around individual activities or equipment are used the increase in noise level when the playground is not in use becomes insignificant.</w:t>
      </w:r>
    </w:p>
    <w:p w:rsidR="00F9271C" w:rsidRDefault="00F9271C" w:rsidP="00667C61">
      <w:pPr>
        <w:pStyle w:val="BodyText"/>
        <w:spacing w:after="120"/>
      </w:pPr>
      <w:r>
        <w:t>The principles set out in this report with respect to noise limits at the school façade should also be applied when establishing construction methods and management procedures.</w:t>
      </w:r>
    </w:p>
    <w:p w:rsidR="00F9271C" w:rsidRDefault="00F9271C" w:rsidP="00667C61">
      <w:pPr>
        <w:pStyle w:val="Highlightedtext"/>
      </w:pPr>
      <w:r w:rsidRPr="004F176D">
        <w:t>This Executive Summary contains an overview of the key findings and conclusions. However, no reliance should be placed on any part of the executive summary until the whole of the report has been read.</w:t>
      </w:r>
    </w:p>
    <w:p w:rsidR="00F9271C" w:rsidRDefault="00F9271C" w:rsidP="00667C61">
      <w:pPr>
        <w:pStyle w:val="BodyText"/>
      </w:pPr>
    </w:p>
    <w:p w:rsidR="00F9271C" w:rsidRDefault="00F9271C">
      <w:pPr>
        <w:rPr>
          <w:b/>
          <w:color w:val="003366"/>
        </w:rPr>
      </w:pPr>
      <w:r>
        <w:br w:type="page"/>
      </w:r>
    </w:p>
    <w:p w:rsidR="00F9271C" w:rsidRDefault="00F9271C" w:rsidP="00F36144">
      <w:pPr>
        <w:pStyle w:val="Heading1"/>
      </w:pPr>
      <w:bookmarkStart w:id="3" w:name="_Toc347496635"/>
      <w:r>
        <w:t>Introduction</w:t>
      </w:r>
      <w:bookmarkEnd w:id="3"/>
    </w:p>
    <w:p w:rsidR="00F9271C" w:rsidRDefault="00F9271C" w:rsidP="00F36144">
      <w:pPr>
        <w:pStyle w:val="Heading2"/>
      </w:pPr>
      <w:bookmarkStart w:id="4" w:name="_Toc347496636"/>
      <w:r>
        <w:t>Previous Noise Assessment</w:t>
      </w:r>
      <w:bookmarkEnd w:id="4"/>
    </w:p>
    <w:p w:rsidR="00F9271C" w:rsidRDefault="00F9271C" w:rsidP="007471E7">
      <w:pPr>
        <w:pStyle w:val="BodyText"/>
        <w:numPr>
          <w:ilvl w:val="2"/>
          <w:numId w:val="8"/>
        </w:numPr>
        <w:ind w:left="851" w:hanging="851"/>
      </w:pPr>
      <w:r>
        <w:t xml:space="preserve">The London Borough of Camden previously instructed Peter Brett Associates LLP (PBA) </w:t>
      </w:r>
      <w:r w:rsidRPr="00E52C03">
        <w:t xml:space="preserve">to undertake a noise assessment </w:t>
      </w:r>
      <w:r>
        <w:t>of</w:t>
      </w:r>
      <w:r w:rsidRPr="00E52C03">
        <w:t xml:space="preserve"> </w:t>
      </w:r>
      <w:r>
        <w:t>redevelop of Parker House, Covent Garden to provide 43 residential units, three of which will be social rented.</w:t>
      </w:r>
    </w:p>
    <w:p w:rsidR="00F9271C" w:rsidRDefault="00F9271C" w:rsidP="007471E7">
      <w:pPr>
        <w:pStyle w:val="BodyText"/>
        <w:numPr>
          <w:ilvl w:val="2"/>
          <w:numId w:val="8"/>
        </w:numPr>
        <w:ind w:left="851" w:hanging="851"/>
      </w:pPr>
      <w:r>
        <w:t>The previous assessment (‘Parker House, Camden, Noise Assessment’ job reference  27474/003, report reference R001/rev00 dated November 2012) (PBA Nov 12) considered</w:t>
      </w:r>
      <w:r w:rsidRPr="00E52C03">
        <w:t xml:space="preserve"> the existing noise climate at </w:t>
      </w:r>
      <w:r>
        <w:t xml:space="preserve">the site, the suitability of the building for the proposed use, </w:t>
      </w:r>
      <w:r w:rsidRPr="00E52C03">
        <w:t xml:space="preserve">and the </w:t>
      </w:r>
      <w:r>
        <w:t>sound reduction performance requirements of the external building. In addition, a qualitative assessment of construction works was undertaken and noise limits suggested as no programme of works or plant details were available for the noise assessment at the time.</w:t>
      </w:r>
    </w:p>
    <w:p w:rsidR="00F9271C" w:rsidRDefault="00F9271C" w:rsidP="00C66777">
      <w:pPr>
        <w:pStyle w:val="BodyText"/>
        <w:numPr>
          <w:ilvl w:val="2"/>
          <w:numId w:val="8"/>
        </w:numPr>
        <w:ind w:left="851" w:hanging="851"/>
      </w:pPr>
      <w:r>
        <w:t>The noise survey undertaken for the previous assessment comprised of:</w:t>
      </w:r>
    </w:p>
    <w:p w:rsidR="00F9271C" w:rsidRDefault="00F9271C" w:rsidP="00730302">
      <w:pPr>
        <w:pStyle w:val="Bullets"/>
        <w:numPr>
          <w:ilvl w:val="0"/>
          <w:numId w:val="4"/>
        </w:numPr>
        <w:tabs>
          <w:tab w:val="clear" w:pos="357"/>
          <w:tab w:val="num" w:pos="1134"/>
        </w:tabs>
        <w:ind w:left="1134"/>
      </w:pPr>
      <w:r w:rsidRPr="00232D70">
        <w:t>Position 1</w:t>
      </w:r>
      <w:bookmarkStart w:id="5" w:name="OLE_LINK2"/>
      <w:r w:rsidRPr="00232D70">
        <w:t>:</w:t>
      </w:r>
      <w:bookmarkEnd w:id="5"/>
      <w:r>
        <w:t xml:space="preserve"> Three daytime and four night-time measurements at a façade position on </w:t>
      </w:r>
      <w:r w:rsidRPr="004931F7">
        <w:t>Parker Street, approximately 1.5 metres from the edge of the road</w:t>
      </w:r>
      <w:r>
        <w:t>,</w:t>
      </w:r>
    </w:p>
    <w:p w:rsidR="00F9271C" w:rsidRDefault="00F9271C" w:rsidP="00730302">
      <w:pPr>
        <w:pStyle w:val="Bullets"/>
        <w:numPr>
          <w:ilvl w:val="0"/>
          <w:numId w:val="4"/>
        </w:numPr>
        <w:tabs>
          <w:tab w:val="clear" w:pos="357"/>
          <w:tab w:val="num" w:pos="1134"/>
        </w:tabs>
        <w:ind w:left="1134"/>
      </w:pPr>
      <w:r>
        <w:t xml:space="preserve">Position 2: One daytime and one night-time measurement at a façade position </w:t>
      </w:r>
      <w:r w:rsidRPr="004931F7">
        <w:t>on Macklin Street opposite the school entrance</w:t>
      </w:r>
      <w:r>
        <w:t>, 1m from the road,</w:t>
      </w:r>
    </w:p>
    <w:p w:rsidR="00F9271C" w:rsidRDefault="00F9271C" w:rsidP="00730302">
      <w:pPr>
        <w:pStyle w:val="Bullets"/>
        <w:numPr>
          <w:ilvl w:val="0"/>
          <w:numId w:val="4"/>
        </w:numPr>
        <w:tabs>
          <w:tab w:val="clear" w:pos="357"/>
          <w:tab w:val="num" w:pos="1134"/>
        </w:tabs>
        <w:ind w:left="1134"/>
      </w:pPr>
      <w:r>
        <w:t xml:space="preserve">Position 3: </w:t>
      </w:r>
      <w:r>
        <w:tab/>
        <w:t>One daytime measurement in a façade position o</w:t>
      </w:r>
      <w:r w:rsidRPr="004931F7">
        <w:t xml:space="preserve">n a first floor external gangway </w:t>
      </w:r>
      <w:r>
        <w:t>of the existing Parker House, overlooking the school playground to the rear of the building, and</w:t>
      </w:r>
    </w:p>
    <w:p w:rsidR="00F9271C" w:rsidRDefault="00F9271C" w:rsidP="00730302">
      <w:pPr>
        <w:pStyle w:val="Bullets"/>
        <w:numPr>
          <w:ilvl w:val="0"/>
          <w:numId w:val="4"/>
        </w:numPr>
        <w:tabs>
          <w:tab w:val="clear" w:pos="357"/>
          <w:tab w:val="num" w:pos="1134"/>
        </w:tabs>
        <w:ind w:left="1134"/>
      </w:pPr>
      <w:r>
        <w:t>Position 4:</w:t>
      </w:r>
      <w:r>
        <w:tab/>
        <w:t>A 24-hour, free-field measurement on the roof of Parker House.</w:t>
      </w:r>
    </w:p>
    <w:p w:rsidR="00F9271C" w:rsidRDefault="00F9271C" w:rsidP="00C66777">
      <w:pPr>
        <w:pStyle w:val="BodyText"/>
        <w:numPr>
          <w:ilvl w:val="2"/>
          <w:numId w:val="8"/>
        </w:numPr>
        <w:ind w:left="851" w:hanging="851"/>
      </w:pPr>
      <w:r>
        <w:t>The 24-hour noise levels at Positions 1 to 3 were approximated using a method similar to the ‘comparative measurement procedure’  set out in paragraph 45 of the</w:t>
      </w:r>
      <w:r w:rsidRPr="00B27224">
        <w:t xml:space="preserve"> </w:t>
      </w:r>
      <w:r>
        <w:t>‘</w:t>
      </w:r>
      <w:r w:rsidRPr="00B27224">
        <w:t>Calculation of Road Traffic Noise</w:t>
      </w:r>
      <w:r>
        <w:t>’, although using L</w:t>
      </w:r>
      <w:r>
        <w:rPr>
          <w:vertAlign w:val="subscript"/>
        </w:rPr>
        <w:t>Aeq,16h</w:t>
      </w:r>
      <w:r>
        <w:t xml:space="preserve"> and L</w:t>
      </w:r>
      <w:r>
        <w:rPr>
          <w:vertAlign w:val="subscript"/>
        </w:rPr>
        <w:t>Aeq,8h</w:t>
      </w:r>
      <w:r>
        <w:t xml:space="preserve"> instead of L</w:t>
      </w:r>
      <w:r>
        <w:rPr>
          <w:vertAlign w:val="subscript"/>
        </w:rPr>
        <w:t>A10,18h</w:t>
      </w:r>
      <w:r>
        <w:t>.</w:t>
      </w:r>
    </w:p>
    <w:p w:rsidR="00F9271C" w:rsidRDefault="00F9271C" w:rsidP="00C66777">
      <w:pPr>
        <w:pStyle w:val="BodyText"/>
        <w:numPr>
          <w:ilvl w:val="2"/>
          <w:numId w:val="8"/>
        </w:numPr>
        <w:ind w:left="851" w:hanging="851"/>
      </w:pPr>
      <w:r>
        <w:t>Following concern from staff at St Joseph’s Primary School about demolition and construction noise exacerbating an already</w:t>
      </w:r>
      <w:r w:rsidRPr="00010CD5">
        <w:t xml:space="preserve"> </w:t>
      </w:r>
      <w:r>
        <w:t xml:space="preserve">unfavourable noise climate, </w:t>
      </w:r>
      <w:r w:rsidRPr="00C66777">
        <w:t xml:space="preserve">Arup Acoustics reviewed the PBA report. </w:t>
      </w:r>
      <w:r>
        <w:t>T</w:t>
      </w:r>
      <w:r w:rsidRPr="00C66777">
        <w:t xml:space="preserve">he </w:t>
      </w:r>
      <w:r>
        <w:t xml:space="preserve">conclusion of the </w:t>
      </w:r>
      <w:r w:rsidRPr="00C66777">
        <w:t xml:space="preserve">review </w:t>
      </w:r>
      <w:r>
        <w:t xml:space="preserve">was that a more detailed assessment of construction and demolition noise was required. </w:t>
      </w:r>
    </w:p>
    <w:p w:rsidR="00F9271C" w:rsidRDefault="00F9271C" w:rsidP="00C66777">
      <w:pPr>
        <w:pStyle w:val="BodyText"/>
        <w:numPr>
          <w:ilvl w:val="2"/>
          <w:numId w:val="8"/>
        </w:numPr>
        <w:ind w:left="851" w:hanging="851"/>
      </w:pPr>
      <w:r>
        <w:t xml:space="preserve">This report presents the findings of a more detailed assessment of the demolition and site clearance noise. Refined noise limits are described, based on the more detailed analysis of noise climate affecting St Joseph’s School. </w:t>
      </w:r>
    </w:p>
    <w:p w:rsidR="00F9271C" w:rsidRPr="007471E7" w:rsidRDefault="00F9271C" w:rsidP="00010CD5">
      <w:pPr>
        <w:pStyle w:val="Heading2"/>
      </w:pPr>
      <w:bookmarkStart w:id="6" w:name="_Toc347496637"/>
      <w:r>
        <w:t>St Joseph’s Primary School</w:t>
      </w:r>
      <w:bookmarkEnd w:id="6"/>
      <w:r>
        <w:t xml:space="preserve"> </w:t>
      </w:r>
    </w:p>
    <w:p w:rsidR="00F9271C" w:rsidRPr="00010CD5" w:rsidRDefault="00F9271C" w:rsidP="00010CD5">
      <w:pPr>
        <w:pStyle w:val="ListParagraph"/>
        <w:numPr>
          <w:ilvl w:val="1"/>
          <w:numId w:val="8"/>
        </w:numPr>
        <w:tabs>
          <w:tab w:val="left" w:pos="851"/>
        </w:tabs>
        <w:spacing w:after="240"/>
        <w:contextualSpacing w:val="0"/>
        <w:rPr>
          <w:vanish/>
        </w:rPr>
      </w:pPr>
    </w:p>
    <w:p w:rsidR="00F9271C" w:rsidRDefault="00F9271C" w:rsidP="00010CD5">
      <w:pPr>
        <w:pStyle w:val="BodyText"/>
        <w:numPr>
          <w:ilvl w:val="2"/>
          <w:numId w:val="8"/>
        </w:numPr>
        <w:ind w:left="851" w:hanging="851"/>
      </w:pPr>
      <w:r>
        <w:t>St Joseph’s Primary School is situated adjacent to the Parker House site with the southern boundary of the playground forming the northern boundary of the Parker House site. The buildings are shown in Figure 1 Site Plan.</w:t>
      </w:r>
    </w:p>
    <w:p w:rsidR="00F9271C" w:rsidRDefault="00F9271C" w:rsidP="00010CD5">
      <w:pPr>
        <w:pStyle w:val="BodyText"/>
        <w:numPr>
          <w:ilvl w:val="2"/>
          <w:numId w:val="8"/>
        </w:numPr>
        <w:ind w:left="851" w:hanging="851"/>
      </w:pPr>
      <w:r>
        <w:t xml:space="preserve">The playground at St Joseph’s Primary School is not large enough to allow all the classes to use it at the same time. Therefore the infant classes use the playground whilst the juniors are being taught in class and vice versa. When the infants and juniors are in class, the playground is used by the nursery class. </w:t>
      </w:r>
    </w:p>
    <w:p w:rsidR="00F9271C" w:rsidRDefault="00F9271C" w:rsidP="00010CD5">
      <w:pPr>
        <w:pStyle w:val="BodyText"/>
        <w:numPr>
          <w:ilvl w:val="2"/>
          <w:numId w:val="8"/>
        </w:numPr>
        <w:ind w:left="851" w:hanging="851"/>
      </w:pPr>
      <w:r>
        <w:t>The school is laid out such that all classrooms overlook the playground and the noise of children using the playground is detrimental to the internal teaching environment. It is understood that staff are concerned about demolition and construction noise adding to the noise of children using the playground.</w:t>
      </w:r>
    </w:p>
    <w:p w:rsidR="00F9271C" w:rsidRPr="007471E7" w:rsidRDefault="00F9271C" w:rsidP="00010CD5">
      <w:pPr>
        <w:pStyle w:val="Heading2"/>
      </w:pPr>
      <w:bookmarkStart w:id="7" w:name="_Toc347496638"/>
      <w:r>
        <w:t>Detailed Demolition and Construction Noise Assessment</w:t>
      </w:r>
      <w:bookmarkEnd w:id="7"/>
    </w:p>
    <w:p w:rsidR="00F9271C" w:rsidRPr="00097CA2" w:rsidRDefault="00F9271C" w:rsidP="00097CA2">
      <w:pPr>
        <w:pStyle w:val="ListParagraph"/>
        <w:numPr>
          <w:ilvl w:val="1"/>
          <w:numId w:val="8"/>
        </w:numPr>
        <w:tabs>
          <w:tab w:val="left" w:pos="851"/>
        </w:tabs>
        <w:spacing w:after="240"/>
        <w:contextualSpacing w:val="0"/>
        <w:rPr>
          <w:vanish/>
        </w:rPr>
      </w:pPr>
    </w:p>
    <w:p w:rsidR="00F9271C" w:rsidRDefault="00F9271C" w:rsidP="00097CA2">
      <w:pPr>
        <w:pStyle w:val="BodyText"/>
        <w:numPr>
          <w:ilvl w:val="2"/>
          <w:numId w:val="8"/>
        </w:numPr>
        <w:ind w:left="851" w:hanging="851"/>
      </w:pPr>
      <w:r>
        <w:t>A programme of works and plant details are now available for the proposed demolition and construction at Parker House. The purpose of this assessment is to assess the noise from these activities and plant, specifically in the classrooms at St Joseph’s Primary School.</w:t>
      </w:r>
    </w:p>
    <w:p w:rsidR="00F9271C" w:rsidRDefault="00F9271C" w:rsidP="00097CA2">
      <w:pPr>
        <w:pStyle w:val="BodyText"/>
        <w:numPr>
          <w:ilvl w:val="2"/>
          <w:numId w:val="8"/>
        </w:numPr>
        <w:ind w:left="851" w:hanging="851"/>
      </w:pPr>
      <w:r>
        <w:t>The report also describes the mitigation measures which are proposed to reduce the effects of the work and further mitigation which should be adopted to assist in minimising the effects of the general and some specific activities.</w:t>
      </w:r>
    </w:p>
    <w:p w:rsidR="00F9271C" w:rsidRDefault="00F9271C">
      <w:r>
        <w:br w:type="page"/>
      </w:r>
    </w:p>
    <w:p w:rsidR="00F9271C" w:rsidRDefault="00F9271C" w:rsidP="00EF2BCE">
      <w:pPr>
        <w:pStyle w:val="Heading1"/>
      </w:pPr>
      <w:bookmarkStart w:id="8" w:name="_Toc339619558"/>
      <w:bookmarkStart w:id="9" w:name="_Toc347496639"/>
      <w:r>
        <w:t>Policy and Guidance</w:t>
      </w:r>
      <w:bookmarkEnd w:id="8"/>
      <w:bookmarkEnd w:id="9"/>
    </w:p>
    <w:p w:rsidR="00F9271C" w:rsidRDefault="00F9271C" w:rsidP="00AE0945">
      <w:pPr>
        <w:pStyle w:val="Heading2"/>
      </w:pPr>
      <w:bookmarkStart w:id="10" w:name="_Toc342548623"/>
      <w:bookmarkStart w:id="11" w:name="_Toc347496640"/>
      <w:r>
        <w:t>Introduction</w:t>
      </w:r>
      <w:bookmarkEnd w:id="10"/>
      <w:bookmarkEnd w:id="11"/>
    </w:p>
    <w:p w:rsidR="00F9271C" w:rsidRPr="00CA0287" w:rsidRDefault="00F9271C" w:rsidP="00CA0287">
      <w:pPr>
        <w:pStyle w:val="ListParagraph"/>
        <w:numPr>
          <w:ilvl w:val="0"/>
          <w:numId w:val="8"/>
        </w:numPr>
        <w:tabs>
          <w:tab w:val="left" w:pos="851"/>
        </w:tabs>
        <w:spacing w:after="240"/>
        <w:contextualSpacing w:val="0"/>
        <w:rPr>
          <w:vanish/>
        </w:rPr>
      </w:pPr>
    </w:p>
    <w:p w:rsidR="00F9271C" w:rsidRPr="00CA0287" w:rsidRDefault="00F9271C" w:rsidP="00CA0287">
      <w:pPr>
        <w:pStyle w:val="ListParagraph"/>
        <w:numPr>
          <w:ilvl w:val="1"/>
          <w:numId w:val="8"/>
        </w:numPr>
        <w:tabs>
          <w:tab w:val="left" w:pos="851"/>
        </w:tabs>
        <w:spacing w:after="240"/>
        <w:contextualSpacing w:val="0"/>
        <w:rPr>
          <w:vanish/>
        </w:rPr>
      </w:pPr>
    </w:p>
    <w:p w:rsidR="00F9271C" w:rsidRDefault="00F9271C" w:rsidP="00CA0287">
      <w:pPr>
        <w:pStyle w:val="BodyText"/>
        <w:numPr>
          <w:ilvl w:val="2"/>
          <w:numId w:val="8"/>
        </w:numPr>
        <w:ind w:left="851" w:hanging="851"/>
      </w:pPr>
      <w:r w:rsidRPr="003D6908">
        <w:t xml:space="preserve">A Glossary of Acoustics Terms is provided in </w:t>
      </w:r>
      <w:r w:rsidRPr="00CA0287">
        <w:rPr>
          <w:rStyle w:val="HighlightedtextChar"/>
        </w:rPr>
        <w:t>Appendix A</w:t>
      </w:r>
      <w:r w:rsidRPr="003D6908">
        <w:t>.</w:t>
      </w:r>
    </w:p>
    <w:p w:rsidR="00F9271C" w:rsidRDefault="00F9271C" w:rsidP="00CA0287">
      <w:pPr>
        <w:pStyle w:val="BodyText"/>
        <w:numPr>
          <w:ilvl w:val="2"/>
          <w:numId w:val="8"/>
        </w:numPr>
        <w:ind w:left="851" w:hanging="851"/>
      </w:pPr>
      <w:r>
        <w:t>The PBA Nov 12 report summarises the Policy and Guidance required for the noise assessment of the proposed development. This section summarises the policy and guidance for the assessment of demolition and construction noise.</w:t>
      </w:r>
    </w:p>
    <w:p w:rsidR="00F9271C" w:rsidRDefault="00F9271C" w:rsidP="006E7C07">
      <w:pPr>
        <w:pStyle w:val="Heading2"/>
      </w:pPr>
      <w:bookmarkStart w:id="12" w:name="_Toc329598140"/>
      <w:bookmarkStart w:id="13" w:name="_Toc347496641"/>
      <w:r w:rsidRPr="00DB4592">
        <w:t>British Standard 5228-1:2009 ‘</w:t>
      </w:r>
      <w:r w:rsidRPr="00620C85">
        <w:rPr>
          <w:lang w:val="en-US"/>
        </w:rPr>
        <w:t>Code of practice for noise and vibration control on construction and open sites Part 1 Noise</w:t>
      </w:r>
      <w:r w:rsidRPr="00620C85">
        <w:t>’</w:t>
      </w:r>
      <w:bookmarkEnd w:id="12"/>
      <w:bookmarkEnd w:id="13"/>
    </w:p>
    <w:p w:rsidR="00F9271C" w:rsidRPr="00CA0287" w:rsidRDefault="00F9271C" w:rsidP="00CA0287">
      <w:pPr>
        <w:pStyle w:val="ListParagraph"/>
        <w:numPr>
          <w:ilvl w:val="1"/>
          <w:numId w:val="8"/>
        </w:numPr>
        <w:tabs>
          <w:tab w:val="left" w:pos="851"/>
        </w:tabs>
        <w:spacing w:after="240"/>
        <w:contextualSpacing w:val="0"/>
        <w:rPr>
          <w:vanish/>
        </w:rPr>
      </w:pPr>
    </w:p>
    <w:p w:rsidR="00F9271C" w:rsidRPr="005E4399" w:rsidRDefault="00F9271C" w:rsidP="00CA0287">
      <w:pPr>
        <w:pStyle w:val="BodyText"/>
        <w:numPr>
          <w:ilvl w:val="2"/>
          <w:numId w:val="8"/>
        </w:numPr>
        <w:ind w:left="851" w:hanging="851"/>
      </w:pPr>
      <w:r w:rsidRPr="005E4399">
        <w:t xml:space="preserve">Part 1 of British Standard 5228:2009 </w:t>
      </w:r>
      <w:r>
        <w:t>(BS 5228)</w:t>
      </w:r>
      <w:r w:rsidRPr="007C1D81">
        <w:t xml:space="preserve"> </w:t>
      </w:r>
      <w:r w:rsidRPr="005E4399">
        <w:t>sets out a methodology for predicting, assessing and controlling noise levels arising from a wide variety of construction and related activities, and it provides tables of sound power levels generated by a wide variety of construction plant to facilitate such predictions.</w:t>
      </w:r>
    </w:p>
    <w:p w:rsidR="00F9271C" w:rsidRPr="005E4399" w:rsidRDefault="00F9271C" w:rsidP="00CA0287">
      <w:pPr>
        <w:pStyle w:val="BodyText"/>
        <w:numPr>
          <w:ilvl w:val="2"/>
          <w:numId w:val="8"/>
        </w:numPr>
        <w:ind w:left="851" w:hanging="851"/>
      </w:pPr>
      <w:r w:rsidRPr="005E4399">
        <w:t xml:space="preserve">Noise generated by a </w:t>
      </w:r>
      <w:r>
        <w:t xml:space="preserve">demolition and </w:t>
      </w:r>
      <w:r w:rsidRPr="005E4399">
        <w:t>construction site will depend upon a number of variables, the most significant of which are:</w:t>
      </w:r>
    </w:p>
    <w:p w:rsidR="00F9271C" w:rsidRPr="00CA0287" w:rsidRDefault="00F9271C" w:rsidP="00CA0287">
      <w:pPr>
        <w:pStyle w:val="Bullets"/>
        <w:numPr>
          <w:ilvl w:val="0"/>
          <w:numId w:val="4"/>
        </w:numPr>
        <w:tabs>
          <w:tab w:val="clear" w:pos="357"/>
          <w:tab w:val="num" w:pos="1134"/>
        </w:tabs>
        <w:ind w:left="1134"/>
      </w:pPr>
      <w:r w:rsidRPr="00CA0287">
        <w:t xml:space="preserve">The amount of noise generated by </w:t>
      </w:r>
      <w:r>
        <w:t xml:space="preserve">items of </w:t>
      </w:r>
      <w:r w:rsidRPr="00CA0287">
        <w:t>plant and equipment being used at the development site, generally e</w:t>
      </w:r>
      <w:r>
        <w:t>xpressed as a sound power level,</w:t>
      </w:r>
    </w:p>
    <w:p w:rsidR="00F9271C" w:rsidRPr="00CA0287" w:rsidRDefault="00F9271C" w:rsidP="00CA0287">
      <w:pPr>
        <w:pStyle w:val="Bullets"/>
        <w:numPr>
          <w:ilvl w:val="0"/>
          <w:numId w:val="4"/>
        </w:numPr>
        <w:tabs>
          <w:tab w:val="clear" w:pos="357"/>
          <w:tab w:val="num" w:pos="1134"/>
        </w:tabs>
        <w:ind w:left="1134"/>
      </w:pPr>
      <w:r w:rsidRPr="00CA0287">
        <w:t>The periods of operation of the plant at the developme</w:t>
      </w:r>
      <w:r>
        <w:t>nt site, known as the ‘on-time’,</w:t>
      </w:r>
    </w:p>
    <w:p w:rsidR="00F9271C" w:rsidRPr="00CA0287" w:rsidRDefault="00F9271C" w:rsidP="00CA0287">
      <w:pPr>
        <w:pStyle w:val="Bullets"/>
        <w:numPr>
          <w:ilvl w:val="0"/>
          <w:numId w:val="4"/>
        </w:numPr>
        <w:tabs>
          <w:tab w:val="clear" w:pos="357"/>
          <w:tab w:val="num" w:pos="1134"/>
        </w:tabs>
        <w:ind w:left="1134"/>
      </w:pPr>
      <w:r w:rsidRPr="00CA0287">
        <w:t>The distance between the noise source and the rec</w:t>
      </w:r>
      <w:r>
        <w:t>eptor, known as the ‘stand-off’,</w:t>
      </w:r>
    </w:p>
    <w:p w:rsidR="00F9271C" w:rsidRPr="00CA0287" w:rsidRDefault="00F9271C" w:rsidP="00CA0287">
      <w:pPr>
        <w:pStyle w:val="Bullets"/>
        <w:numPr>
          <w:ilvl w:val="0"/>
          <w:numId w:val="4"/>
        </w:numPr>
        <w:tabs>
          <w:tab w:val="clear" w:pos="357"/>
          <w:tab w:val="num" w:pos="1134"/>
        </w:tabs>
        <w:ind w:left="1134"/>
      </w:pPr>
      <w:r w:rsidRPr="00CA0287">
        <w:t>The attenuation due to ground absorpti</w:t>
      </w:r>
      <w:r>
        <w:t>on or barrier screening effects,</w:t>
      </w:r>
      <w:r w:rsidRPr="00CA0287">
        <w:t xml:space="preserve"> and</w:t>
      </w:r>
    </w:p>
    <w:p w:rsidR="00F9271C" w:rsidRPr="00CA0287" w:rsidRDefault="00F9271C" w:rsidP="00CA0287">
      <w:pPr>
        <w:pStyle w:val="Bullets"/>
        <w:numPr>
          <w:ilvl w:val="0"/>
          <w:numId w:val="4"/>
        </w:numPr>
        <w:tabs>
          <w:tab w:val="clear" w:pos="357"/>
          <w:tab w:val="num" w:pos="1134"/>
        </w:tabs>
        <w:ind w:left="1134"/>
      </w:pPr>
      <w:r w:rsidRPr="00CA0287">
        <w:t>The reflection of noise due to the presence of hard vertical faces such as walls.</w:t>
      </w:r>
    </w:p>
    <w:p w:rsidR="00F9271C" w:rsidRDefault="00F9271C" w:rsidP="00CA0287">
      <w:pPr>
        <w:pStyle w:val="BodyText"/>
        <w:numPr>
          <w:ilvl w:val="2"/>
          <w:numId w:val="8"/>
        </w:numPr>
        <w:ind w:left="851" w:hanging="851"/>
      </w:pPr>
      <w:r>
        <w:t>Section 8 of BS 5228 provides methods for controlling noise from construction and demolition sites, Annex C provides sound power levels of typical plant and equipment used for demolition and construction and Annex F provides methods of estimating noise from construction and demolition sites.</w:t>
      </w:r>
    </w:p>
    <w:p w:rsidR="00F9271C" w:rsidRDefault="00F9271C" w:rsidP="00CA0287">
      <w:pPr>
        <w:pStyle w:val="BodyText"/>
        <w:numPr>
          <w:ilvl w:val="2"/>
          <w:numId w:val="8"/>
        </w:numPr>
        <w:ind w:left="851" w:hanging="851"/>
      </w:pPr>
      <w:r>
        <w:t>In the absence of adequate information at the time, the previous noise assessment used BS 5228-1:2009 to set construction and demolition noise limits.</w:t>
      </w:r>
    </w:p>
    <w:p w:rsidR="00F9271C" w:rsidRDefault="00F9271C" w:rsidP="006B1CDF">
      <w:pPr>
        <w:pStyle w:val="Heading2"/>
      </w:pPr>
      <w:bookmarkStart w:id="14" w:name="_Toc347496642"/>
      <w:r w:rsidRPr="00DB4592">
        <w:t>British Standard 5228-1:2009 ‘</w:t>
      </w:r>
      <w:r w:rsidRPr="00620C85">
        <w:rPr>
          <w:lang w:val="en-US"/>
        </w:rPr>
        <w:t xml:space="preserve">Code of practice for noise and vibration control on construction and open sites Part </w:t>
      </w:r>
      <w:r>
        <w:rPr>
          <w:lang w:val="en-US"/>
        </w:rPr>
        <w:t>2</w:t>
      </w:r>
      <w:r w:rsidRPr="00620C85">
        <w:rPr>
          <w:lang w:val="en-US"/>
        </w:rPr>
        <w:t xml:space="preserve"> </w:t>
      </w:r>
      <w:r>
        <w:rPr>
          <w:lang w:val="en-US"/>
        </w:rPr>
        <w:t>Vibration’</w:t>
      </w:r>
      <w:bookmarkEnd w:id="14"/>
    </w:p>
    <w:p w:rsidR="00F9271C" w:rsidRPr="006B1CDF" w:rsidRDefault="00F9271C" w:rsidP="006B1CDF">
      <w:pPr>
        <w:pStyle w:val="ListParagraph"/>
        <w:numPr>
          <w:ilvl w:val="1"/>
          <w:numId w:val="8"/>
        </w:numPr>
        <w:tabs>
          <w:tab w:val="left" w:pos="851"/>
        </w:tabs>
        <w:spacing w:after="240"/>
        <w:contextualSpacing w:val="0"/>
        <w:rPr>
          <w:vanish/>
        </w:rPr>
      </w:pPr>
    </w:p>
    <w:p w:rsidR="00F9271C" w:rsidRDefault="00F9271C" w:rsidP="006B1CDF">
      <w:pPr>
        <w:pStyle w:val="BodyText"/>
        <w:numPr>
          <w:ilvl w:val="2"/>
          <w:numId w:val="8"/>
        </w:numPr>
        <w:ind w:left="851" w:hanging="851"/>
      </w:pPr>
      <w:r w:rsidRPr="005E4399">
        <w:t>Part 2 of BS</w:t>
      </w:r>
      <w:r>
        <w:t xml:space="preserve"> </w:t>
      </w:r>
      <w:r w:rsidRPr="005E4399">
        <w:t xml:space="preserve">5228 relates to vibration, which may be impulsive, such as that due to hammer-driven piling; transient, such as that due to vehicle movements along a railway; or continuous, such as that due to vibratory driven piling. </w:t>
      </w:r>
    </w:p>
    <w:p w:rsidR="00F9271C" w:rsidRDefault="00F9271C" w:rsidP="006B1CDF">
      <w:pPr>
        <w:pStyle w:val="BodyText"/>
        <w:numPr>
          <w:ilvl w:val="2"/>
          <w:numId w:val="8"/>
        </w:numPr>
        <w:ind w:left="851" w:hanging="851"/>
      </w:pPr>
      <w:r w:rsidRPr="00DB4592">
        <w:t>Human beings are known to be very sensitive to vibration, the threshold of perception typically being in the peak particle velocity (PPV) range of 0.14mm/s to 0.3mm/s.  Vibration above these levels can disturb, startle, cause annoyance or interfere with work activities.</w:t>
      </w:r>
    </w:p>
    <w:p w:rsidR="00F9271C" w:rsidRDefault="00F9271C" w:rsidP="006B1CDF">
      <w:pPr>
        <w:pStyle w:val="BodyText"/>
        <w:numPr>
          <w:ilvl w:val="2"/>
          <w:numId w:val="8"/>
        </w:numPr>
        <w:ind w:left="851" w:hanging="851"/>
      </w:pPr>
      <w:r w:rsidRPr="00DB4592">
        <w:t>Vibration nuisance is often associated with the assumption that if vibrations can be felt then damage is inevitable. However, considerably greater levels of vibration are required to cause damage to buildings and structures</w:t>
      </w:r>
      <w:r>
        <w:t xml:space="preserve"> than the threshold of perception in humans</w:t>
      </w:r>
      <w:r w:rsidRPr="00DB4592">
        <w:t>.</w:t>
      </w:r>
    </w:p>
    <w:p w:rsidR="00F9271C" w:rsidRDefault="00F9271C" w:rsidP="00CA0287">
      <w:pPr>
        <w:pStyle w:val="BodyText"/>
        <w:numPr>
          <w:ilvl w:val="2"/>
          <w:numId w:val="8"/>
        </w:numPr>
        <w:ind w:left="851" w:hanging="851"/>
      </w:pPr>
      <w:r>
        <w:t xml:space="preserve">Annex B of </w:t>
      </w:r>
      <w:r w:rsidRPr="00DB4592">
        <w:t xml:space="preserve">BS 5228-2 provides advice on the human response to construction vibration.  For the assessment of construction effects the magnitude descriptors in </w:t>
      </w:r>
      <w:r w:rsidRPr="00575235">
        <w:rPr>
          <w:rStyle w:val="HighlightedtextChar"/>
        </w:rPr>
        <w:t>Table 2.</w:t>
      </w:r>
      <w:r>
        <w:rPr>
          <w:rStyle w:val="HighlightedtextChar"/>
        </w:rPr>
        <w:t>1</w:t>
      </w:r>
      <w:r w:rsidRPr="00DB4592">
        <w:t xml:space="preserve"> </w:t>
      </w:r>
      <w:r>
        <w:t xml:space="preserve">(using information from B.1 of BS 5228-2:2009) </w:t>
      </w:r>
      <w:r w:rsidRPr="00DB4592">
        <w:t>refers to this advice.</w:t>
      </w:r>
    </w:p>
    <w:p w:rsidR="00F9271C" w:rsidRPr="00DB4592" w:rsidRDefault="00F9271C" w:rsidP="001E15C4">
      <w:pPr>
        <w:pStyle w:val="TableCaption"/>
      </w:pPr>
      <w:bookmarkStart w:id="15" w:name="_Toc345340367"/>
      <w:bookmarkStart w:id="16" w:name="_Toc347408720"/>
      <w:r w:rsidRPr="00DB4592">
        <w:t xml:space="preserve">Table </w:t>
      </w:r>
      <w:r>
        <w:t>2.1</w:t>
      </w:r>
      <w:r w:rsidRPr="00DB4592">
        <w:t>: Table of Human Response to Vibration Magnitude</w:t>
      </w:r>
      <w:bookmarkEnd w:id="15"/>
      <w:bookmarkEnd w:id="16"/>
      <w:r w:rsidRPr="00DB4592">
        <w:t xml:space="preserve"> </w:t>
      </w:r>
    </w:p>
    <w:tbl>
      <w:tblPr>
        <w:tblW w:w="450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5"/>
        <w:gridCol w:w="3165"/>
        <w:gridCol w:w="3629"/>
      </w:tblGrid>
      <w:tr w:rsidR="00F9271C" w:rsidRPr="00DB4592" w:rsidTr="00B8188B">
        <w:trPr>
          <w:trHeight w:val="356"/>
        </w:trPr>
        <w:tc>
          <w:tcPr>
            <w:tcW w:w="1430" w:type="dxa"/>
            <w:shd w:val="clear" w:color="auto" w:fill="C0C0C0"/>
            <w:vAlign w:val="center"/>
          </w:tcPr>
          <w:p w:rsidR="00F9271C" w:rsidRPr="009C6A8B" w:rsidRDefault="00F9271C" w:rsidP="00B8188B">
            <w:pPr>
              <w:pStyle w:val="Tableheaders"/>
            </w:pPr>
            <w:r w:rsidRPr="009C6A8B">
              <w:t>Magnitude</w:t>
            </w:r>
          </w:p>
        </w:tc>
        <w:tc>
          <w:tcPr>
            <w:tcW w:w="2891" w:type="dxa"/>
            <w:shd w:val="clear" w:color="auto" w:fill="C0C0C0"/>
            <w:vAlign w:val="center"/>
          </w:tcPr>
          <w:p w:rsidR="00F9271C" w:rsidRPr="009C6A8B" w:rsidRDefault="00F9271C" w:rsidP="00B8188B">
            <w:pPr>
              <w:pStyle w:val="Tableheaders"/>
            </w:pPr>
            <w:r w:rsidRPr="009C6A8B">
              <w:t>Vibration Level</w:t>
            </w:r>
          </w:p>
        </w:tc>
        <w:tc>
          <w:tcPr>
            <w:tcW w:w="3315" w:type="dxa"/>
            <w:shd w:val="clear" w:color="auto" w:fill="C0C0C0"/>
            <w:vAlign w:val="center"/>
          </w:tcPr>
          <w:p w:rsidR="00F9271C" w:rsidRPr="009C6A8B" w:rsidRDefault="00F9271C" w:rsidP="00B8188B">
            <w:pPr>
              <w:pStyle w:val="Tableheaders"/>
            </w:pPr>
            <w:r w:rsidRPr="009C6A8B">
              <w:t>Description</w:t>
            </w:r>
          </w:p>
        </w:tc>
      </w:tr>
      <w:tr w:rsidR="00F9271C" w:rsidRPr="00DB4592" w:rsidTr="00B8188B">
        <w:trPr>
          <w:trHeight w:val="356"/>
        </w:trPr>
        <w:tc>
          <w:tcPr>
            <w:tcW w:w="1430" w:type="dxa"/>
            <w:vAlign w:val="center"/>
          </w:tcPr>
          <w:p w:rsidR="00F9271C" w:rsidRPr="009C6A8B" w:rsidRDefault="00F9271C" w:rsidP="00B8188B">
            <w:pPr>
              <w:pStyle w:val="Tabletext"/>
            </w:pPr>
            <w:r w:rsidRPr="009C6A8B">
              <w:t>Negligible</w:t>
            </w:r>
          </w:p>
        </w:tc>
        <w:tc>
          <w:tcPr>
            <w:tcW w:w="2891" w:type="dxa"/>
            <w:vAlign w:val="center"/>
          </w:tcPr>
          <w:p w:rsidR="00F9271C" w:rsidRPr="009C6A8B" w:rsidRDefault="00F9271C" w:rsidP="00B8188B">
            <w:pPr>
              <w:pStyle w:val="Tabletext"/>
              <w:rPr>
                <w:vertAlign w:val="superscript"/>
              </w:rPr>
            </w:pPr>
            <w:r w:rsidRPr="009C6A8B">
              <w:t>0.14 mms</w:t>
            </w:r>
            <w:r w:rsidRPr="009C6A8B">
              <w:rPr>
                <w:vertAlign w:val="superscript"/>
              </w:rPr>
              <w:t>-1</w:t>
            </w:r>
          </w:p>
        </w:tc>
        <w:tc>
          <w:tcPr>
            <w:tcW w:w="3315" w:type="dxa"/>
          </w:tcPr>
          <w:p w:rsidR="00F9271C" w:rsidRPr="009C6A8B" w:rsidRDefault="00F9271C" w:rsidP="00B8188B">
            <w:pPr>
              <w:pStyle w:val="Tabletext"/>
            </w:pPr>
            <w:r w:rsidRPr="009C6A8B">
              <w:t>Vibration might be just perceptible in the most sensitive situations for most vibration frequencies associated with construction.  At lower frequencies, people are less sensitive to vibration.</w:t>
            </w:r>
          </w:p>
        </w:tc>
      </w:tr>
      <w:tr w:rsidR="00F9271C" w:rsidRPr="00DB4592" w:rsidTr="00B8188B">
        <w:trPr>
          <w:trHeight w:val="356"/>
        </w:trPr>
        <w:tc>
          <w:tcPr>
            <w:tcW w:w="1430" w:type="dxa"/>
            <w:vAlign w:val="center"/>
          </w:tcPr>
          <w:p w:rsidR="00F9271C" w:rsidRPr="009C6A8B" w:rsidRDefault="00F9271C" w:rsidP="00B8188B">
            <w:pPr>
              <w:pStyle w:val="Tabletext"/>
            </w:pPr>
            <w:r w:rsidRPr="009C6A8B">
              <w:t>Small</w:t>
            </w:r>
          </w:p>
        </w:tc>
        <w:tc>
          <w:tcPr>
            <w:tcW w:w="2891" w:type="dxa"/>
            <w:vAlign w:val="center"/>
          </w:tcPr>
          <w:p w:rsidR="00F9271C" w:rsidRPr="009C6A8B" w:rsidRDefault="00F9271C" w:rsidP="00B8188B">
            <w:pPr>
              <w:pStyle w:val="Tabletext"/>
            </w:pPr>
            <w:r w:rsidRPr="009C6A8B">
              <w:t>0.3 mms</w:t>
            </w:r>
            <w:r w:rsidRPr="009C6A8B">
              <w:rPr>
                <w:vertAlign w:val="superscript"/>
              </w:rPr>
              <w:t>-1</w:t>
            </w:r>
          </w:p>
        </w:tc>
        <w:tc>
          <w:tcPr>
            <w:tcW w:w="3315" w:type="dxa"/>
          </w:tcPr>
          <w:p w:rsidR="00F9271C" w:rsidRPr="009C6A8B" w:rsidRDefault="00F9271C" w:rsidP="00B8188B">
            <w:pPr>
              <w:pStyle w:val="Tabletext"/>
            </w:pPr>
            <w:r w:rsidRPr="009C6A8B">
              <w:t>Vibration might just be perceptible in residential environments</w:t>
            </w:r>
          </w:p>
        </w:tc>
      </w:tr>
      <w:tr w:rsidR="00F9271C" w:rsidRPr="00DB4592" w:rsidTr="00B8188B">
        <w:trPr>
          <w:trHeight w:val="356"/>
        </w:trPr>
        <w:tc>
          <w:tcPr>
            <w:tcW w:w="1430" w:type="dxa"/>
            <w:vAlign w:val="center"/>
          </w:tcPr>
          <w:p w:rsidR="00F9271C" w:rsidRPr="009C6A8B" w:rsidRDefault="00F9271C" w:rsidP="00B8188B">
            <w:pPr>
              <w:pStyle w:val="Tabletext"/>
            </w:pPr>
            <w:r w:rsidRPr="009C6A8B">
              <w:t>Medium</w:t>
            </w:r>
          </w:p>
        </w:tc>
        <w:tc>
          <w:tcPr>
            <w:tcW w:w="2891" w:type="dxa"/>
            <w:vAlign w:val="center"/>
          </w:tcPr>
          <w:p w:rsidR="00F9271C" w:rsidRPr="009C6A8B" w:rsidRDefault="00F9271C" w:rsidP="00B8188B">
            <w:pPr>
              <w:pStyle w:val="Tabletext"/>
            </w:pPr>
            <w:r w:rsidRPr="009C6A8B">
              <w:t>1.0 mms</w:t>
            </w:r>
            <w:r w:rsidRPr="009C6A8B">
              <w:rPr>
                <w:vertAlign w:val="superscript"/>
              </w:rPr>
              <w:t>-1</w:t>
            </w:r>
          </w:p>
        </w:tc>
        <w:tc>
          <w:tcPr>
            <w:tcW w:w="3315" w:type="dxa"/>
          </w:tcPr>
          <w:p w:rsidR="00F9271C" w:rsidRPr="009C6A8B" w:rsidRDefault="00F9271C" w:rsidP="00B8188B">
            <w:pPr>
              <w:pStyle w:val="Tabletext"/>
            </w:pPr>
            <w:r w:rsidRPr="009C6A8B">
              <w:t>It is likely that vibration at this level in residential environments will cause complaint, but can be tolerated if prior warning and explanation has been given to residents</w:t>
            </w:r>
          </w:p>
        </w:tc>
      </w:tr>
      <w:tr w:rsidR="00F9271C" w:rsidRPr="00DB4592" w:rsidTr="00B8188B">
        <w:trPr>
          <w:trHeight w:val="356"/>
        </w:trPr>
        <w:tc>
          <w:tcPr>
            <w:tcW w:w="1430" w:type="dxa"/>
            <w:vAlign w:val="center"/>
          </w:tcPr>
          <w:p w:rsidR="00F9271C" w:rsidRPr="009C6A8B" w:rsidRDefault="00F9271C" w:rsidP="00B8188B">
            <w:pPr>
              <w:pStyle w:val="Tabletext"/>
            </w:pPr>
            <w:r w:rsidRPr="009C6A8B">
              <w:t>Large</w:t>
            </w:r>
          </w:p>
        </w:tc>
        <w:tc>
          <w:tcPr>
            <w:tcW w:w="2891" w:type="dxa"/>
            <w:vAlign w:val="center"/>
          </w:tcPr>
          <w:p w:rsidR="00F9271C" w:rsidRPr="009C6A8B" w:rsidRDefault="00F9271C" w:rsidP="00B8188B">
            <w:pPr>
              <w:pStyle w:val="Tabletext"/>
            </w:pPr>
            <w:r w:rsidRPr="009C6A8B">
              <w:t>10 mms</w:t>
            </w:r>
            <w:r w:rsidRPr="009C6A8B">
              <w:rPr>
                <w:vertAlign w:val="superscript"/>
              </w:rPr>
              <w:t>-1</w:t>
            </w:r>
          </w:p>
        </w:tc>
        <w:tc>
          <w:tcPr>
            <w:tcW w:w="3315" w:type="dxa"/>
          </w:tcPr>
          <w:p w:rsidR="00F9271C" w:rsidRPr="009C6A8B" w:rsidRDefault="00F9271C" w:rsidP="00B8188B">
            <w:pPr>
              <w:pStyle w:val="Tabletext"/>
            </w:pPr>
            <w:r w:rsidRPr="009C6A8B">
              <w:t>Vibration is likely to be intolerable for any more than a very brief exposure to this level</w:t>
            </w:r>
          </w:p>
        </w:tc>
      </w:tr>
    </w:tbl>
    <w:p w:rsidR="00F9271C" w:rsidRDefault="00F9271C" w:rsidP="00DA2C75">
      <w:pPr>
        <w:pStyle w:val="BodyText"/>
        <w:ind w:left="851"/>
      </w:pPr>
    </w:p>
    <w:p w:rsidR="00F9271C" w:rsidRPr="005E4399" w:rsidRDefault="00F9271C" w:rsidP="00CA0287">
      <w:pPr>
        <w:pStyle w:val="BodyText"/>
        <w:numPr>
          <w:ilvl w:val="2"/>
          <w:numId w:val="8"/>
        </w:numPr>
        <w:ind w:left="851" w:hanging="851"/>
      </w:pPr>
      <w:r>
        <w:t xml:space="preserve">Section 8 of </w:t>
      </w:r>
      <w:r w:rsidRPr="00DB4592">
        <w:t>BS 5228-2</w:t>
      </w:r>
      <w:r>
        <w:t xml:space="preserve"> provides methods of control of vibration, Annex C provides measured vibration levels for typical plant used for construction and demolition processes, and Annex E provides ‘</w:t>
      </w:r>
      <w:r w:rsidRPr="00953877">
        <w:t>Empirical predictors for groundborne vibration arising from mechanized construction works</w:t>
      </w:r>
      <w:r>
        <w:t>’.</w:t>
      </w:r>
    </w:p>
    <w:p w:rsidR="00F9271C" w:rsidRDefault="00F9271C" w:rsidP="00B37445">
      <w:pPr>
        <w:pStyle w:val="Heading2"/>
      </w:pPr>
      <w:bookmarkStart w:id="17" w:name="_Toc347496643"/>
      <w:r>
        <w:t>Building Bulletin 93 ‘Acoustic Design of Schools’, 2003</w:t>
      </w:r>
      <w:bookmarkEnd w:id="17"/>
    </w:p>
    <w:p w:rsidR="00F9271C" w:rsidRPr="00B37445" w:rsidRDefault="00F9271C" w:rsidP="00B37445">
      <w:pPr>
        <w:pStyle w:val="ListParagraph"/>
        <w:numPr>
          <w:ilvl w:val="1"/>
          <w:numId w:val="8"/>
        </w:numPr>
        <w:tabs>
          <w:tab w:val="left" w:pos="851"/>
        </w:tabs>
        <w:spacing w:after="240"/>
        <w:contextualSpacing w:val="0"/>
        <w:rPr>
          <w:vanish/>
        </w:rPr>
      </w:pPr>
    </w:p>
    <w:p w:rsidR="00F9271C" w:rsidRDefault="00F9271C" w:rsidP="00B37445">
      <w:pPr>
        <w:pStyle w:val="BodyText"/>
        <w:numPr>
          <w:ilvl w:val="2"/>
          <w:numId w:val="8"/>
        </w:numPr>
        <w:ind w:left="851" w:hanging="851"/>
      </w:pPr>
      <w:r>
        <w:t>Building Bulletin 93 (BB93) was published by the Department of Education and Skills in 2003 and details the performance standards as upper limits for internal and external ambient noise levels.</w:t>
      </w:r>
    </w:p>
    <w:p w:rsidR="00F9271C" w:rsidRDefault="00F9271C" w:rsidP="000F17AC">
      <w:pPr>
        <w:pStyle w:val="BodyText"/>
        <w:numPr>
          <w:ilvl w:val="2"/>
          <w:numId w:val="8"/>
        </w:numPr>
        <w:ind w:left="851" w:hanging="851"/>
      </w:pPr>
      <w:bookmarkStart w:id="18" w:name="_Ref346877433"/>
      <w:r>
        <w:t xml:space="preserve">Table 1.1 of BB93 provides </w:t>
      </w:r>
      <w:r w:rsidRPr="000F17AC">
        <w:t>upper</w:t>
      </w:r>
      <w:r>
        <w:t xml:space="preserve"> </w:t>
      </w:r>
      <w:r w:rsidRPr="000F17AC">
        <w:t>limits for the indoor ambient noise</w:t>
      </w:r>
      <w:r>
        <w:t xml:space="preserve"> </w:t>
      </w:r>
      <w:r w:rsidRPr="000F17AC">
        <w:t>level</w:t>
      </w:r>
      <w:r>
        <w:t xml:space="preserve"> as</w:t>
      </w:r>
      <w:r w:rsidRPr="000F17AC">
        <w:t xml:space="preserve"> L</w:t>
      </w:r>
      <w:r w:rsidRPr="000F17AC">
        <w:rPr>
          <w:vertAlign w:val="subscript"/>
        </w:rPr>
        <w:t>Aeq,30min</w:t>
      </w:r>
      <w:r w:rsidRPr="00B64F77">
        <w:t xml:space="preserve"> </w:t>
      </w:r>
      <w:r>
        <w:t>for unoccupied and unfurnished classrooms. For primary school classrooms the upper limit is considered to be 35 dB.</w:t>
      </w:r>
      <w:bookmarkEnd w:id="18"/>
      <w:r>
        <w:t xml:space="preserve"> </w:t>
      </w:r>
    </w:p>
    <w:p w:rsidR="00F9271C" w:rsidRPr="005E4399" w:rsidRDefault="00F9271C" w:rsidP="000F17AC">
      <w:pPr>
        <w:pStyle w:val="BodyText"/>
        <w:numPr>
          <w:ilvl w:val="2"/>
          <w:numId w:val="8"/>
        </w:numPr>
        <w:ind w:left="851" w:hanging="851"/>
      </w:pPr>
      <w:r>
        <w:t>However, existing noise levels at St Joseph’s Primary School already exceed 35 dB when the windows are partially open, therefore this level cannot be achieved with or without demolition noise and is not a suitable assessment level.</w:t>
      </w:r>
    </w:p>
    <w:p w:rsidR="00F9271C" w:rsidRPr="00B37445" w:rsidRDefault="00F9271C" w:rsidP="00B37445">
      <w:pPr>
        <w:pStyle w:val="BodyText"/>
      </w:pPr>
    </w:p>
    <w:p w:rsidR="00F9271C" w:rsidRDefault="00F9271C">
      <w:r>
        <w:br w:type="page"/>
      </w:r>
    </w:p>
    <w:p w:rsidR="00F9271C" w:rsidRDefault="00F9271C" w:rsidP="004E062D">
      <w:pPr>
        <w:pStyle w:val="Heading1"/>
      </w:pPr>
      <w:bookmarkStart w:id="19" w:name="_Toc347496644"/>
      <w:r>
        <w:t>Methodology</w:t>
      </w:r>
      <w:bookmarkEnd w:id="19"/>
    </w:p>
    <w:p w:rsidR="00F9271C" w:rsidRDefault="00F9271C" w:rsidP="004E062D">
      <w:pPr>
        <w:pStyle w:val="Heading2"/>
        <w:rPr>
          <w:b w:val="0"/>
        </w:rPr>
      </w:pPr>
      <w:bookmarkStart w:id="20" w:name="_Toc347496645"/>
      <w:r>
        <w:t>Previous Noise Survey and Assessment</w:t>
      </w:r>
      <w:bookmarkEnd w:id="20"/>
    </w:p>
    <w:p w:rsidR="00F9271C" w:rsidRPr="004E062D" w:rsidRDefault="00F9271C" w:rsidP="004E062D">
      <w:pPr>
        <w:pStyle w:val="ListParagraph"/>
        <w:numPr>
          <w:ilvl w:val="0"/>
          <w:numId w:val="8"/>
        </w:numPr>
        <w:tabs>
          <w:tab w:val="left" w:pos="851"/>
        </w:tabs>
        <w:spacing w:after="240"/>
        <w:contextualSpacing w:val="0"/>
        <w:rPr>
          <w:vanish/>
        </w:rPr>
      </w:pPr>
    </w:p>
    <w:p w:rsidR="00F9271C" w:rsidRPr="004E062D" w:rsidRDefault="00F9271C" w:rsidP="004E062D">
      <w:pPr>
        <w:pStyle w:val="ListParagraph"/>
        <w:numPr>
          <w:ilvl w:val="1"/>
          <w:numId w:val="8"/>
        </w:numPr>
        <w:tabs>
          <w:tab w:val="left" w:pos="851"/>
        </w:tabs>
        <w:spacing w:after="240"/>
        <w:contextualSpacing w:val="0"/>
        <w:rPr>
          <w:vanish/>
        </w:rPr>
      </w:pPr>
    </w:p>
    <w:p w:rsidR="00F9271C" w:rsidRDefault="00F9271C" w:rsidP="004E062D">
      <w:pPr>
        <w:pStyle w:val="BodyText"/>
        <w:numPr>
          <w:ilvl w:val="2"/>
          <w:numId w:val="8"/>
        </w:numPr>
        <w:ind w:left="851" w:hanging="851"/>
      </w:pPr>
      <w:r>
        <w:t>The previous noise survey was undertaken between on 27</w:t>
      </w:r>
      <w:r w:rsidRPr="004931F7">
        <w:rPr>
          <w:vertAlign w:val="superscript"/>
        </w:rPr>
        <w:t>th</w:t>
      </w:r>
      <w:r>
        <w:t xml:space="preserve"> and 28</w:t>
      </w:r>
      <w:r w:rsidRPr="004931F7">
        <w:rPr>
          <w:vertAlign w:val="superscript"/>
        </w:rPr>
        <w:t>th</w:t>
      </w:r>
      <w:r>
        <w:t xml:space="preserve"> September 2012 and was comprised of the following measurements:</w:t>
      </w:r>
    </w:p>
    <w:p w:rsidR="00F9271C" w:rsidRDefault="00F9271C" w:rsidP="004E062D">
      <w:pPr>
        <w:pStyle w:val="Bullets"/>
        <w:numPr>
          <w:ilvl w:val="0"/>
          <w:numId w:val="4"/>
        </w:numPr>
        <w:tabs>
          <w:tab w:val="clear" w:pos="357"/>
          <w:tab w:val="num" w:pos="1276"/>
        </w:tabs>
        <w:ind w:left="1276"/>
      </w:pPr>
      <w:r w:rsidRPr="00232D70">
        <w:t>Position 1:</w:t>
      </w:r>
      <w:r>
        <w:t xml:space="preserve"> Three daytime and four night-time measurements at a façade position on </w:t>
      </w:r>
      <w:r w:rsidRPr="004931F7">
        <w:t>Parker Street, approximately 1.5 metres from the edge of the road</w:t>
      </w:r>
      <w:r>
        <w:t>,</w:t>
      </w:r>
    </w:p>
    <w:p w:rsidR="00F9271C" w:rsidRDefault="00F9271C" w:rsidP="004E062D">
      <w:pPr>
        <w:pStyle w:val="Bullets"/>
        <w:numPr>
          <w:ilvl w:val="0"/>
          <w:numId w:val="4"/>
        </w:numPr>
        <w:tabs>
          <w:tab w:val="clear" w:pos="357"/>
          <w:tab w:val="num" w:pos="1276"/>
        </w:tabs>
        <w:ind w:left="1276"/>
      </w:pPr>
      <w:r>
        <w:t xml:space="preserve">Position 2: One daytime and one night-time measurement at a façade position </w:t>
      </w:r>
      <w:r w:rsidRPr="004931F7">
        <w:t>on Macklin Street opposite the school entrance</w:t>
      </w:r>
      <w:r>
        <w:t>, 1m from the road,</w:t>
      </w:r>
    </w:p>
    <w:p w:rsidR="00F9271C" w:rsidRDefault="00F9271C" w:rsidP="004E062D">
      <w:pPr>
        <w:pStyle w:val="Bullets"/>
        <w:numPr>
          <w:ilvl w:val="0"/>
          <w:numId w:val="4"/>
        </w:numPr>
        <w:tabs>
          <w:tab w:val="clear" w:pos="357"/>
          <w:tab w:val="num" w:pos="1276"/>
        </w:tabs>
        <w:ind w:left="1276"/>
      </w:pPr>
      <w:r>
        <w:t>Position 3: One daytime measurement in a façade position o</w:t>
      </w:r>
      <w:r w:rsidRPr="004931F7">
        <w:t xml:space="preserve">n a first floor external gangway </w:t>
      </w:r>
      <w:r>
        <w:t>of the existing Parker Street House, overlooking the school playground to the rear of the building, and</w:t>
      </w:r>
    </w:p>
    <w:p w:rsidR="00F9271C" w:rsidRDefault="00F9271C" w:rsidP="004E062D">
      <w:pPr>
        <w:pStyle w:val="Bullets"/>
        <w:numPr>
          <w:ilvl w:val="0"/>
          <w:numId w:val="4"/>
        </w:numPr>
        <w:tabs>
          <w:tab w:val="clear" w:pos="357"/>
          <w:tab w:val="num" w:pos="1276"/>
        </w:tabs>
        <w:ind w:left="1276"/>
      </w:pPr>
      <w:r>
        <w:t>Position 4:A 24-hour, free-field measurement on the roof of Parker House.</w:t>
      </w:r>
    </w:p>
    <w:p w:rsidR="00F9271C" w:rsidRDefault="00F9271C" w:rsidP="004E062D">
      <w:pPr>
        <w:pStyle w:val="BodyText"/>
        <w:numPr>
          <w:ilvl w:val="2"/>
          <w:numId w:val="8"/>
        </w:numPr>
        <w:ind w:left="851" w:hanging="851"/>
      </w:pPr>
      <w:r>
        <w:t>The 24-hour noise levels at Positions 1 to 3 were approximated using a method similar to the ‘comparative measurement procedure’ out in the paragraph 45 of the</w:t>
      </w:r>
      <w:r w:rsidRPr="00B27224">
        <w:t xml:space="preserve"> </w:t>
      </w:r>
      <w:r>
        <w:t>‘</w:t>
      </w:r>
      <w:r w:rsidRPr="00B27224">
        <w:t>Calculation of Road Traffic Noise</w:t>
      </w:r>
      <w:r>
        <w:t>’, although using L</w:t>
      </w:r>
      <w:r>
        <w:rPr>
          <w:vertAlign w:val="subscript"/>
        </w:rPr>
        <w:t>Aeq,16h</w:t>
      </w:r>
      <w:r>
        <w:t xml:space="preserve"> and L</w:t>
      </w:r>
      <w:r>
        <w:rPr>
          <w:vertAlign w:val="subscript"/>
        </w:rPr>
        <w:t>Aeq,8h</w:t>
      </w:r>
      <w:r>
        <w:t xml:space="preserve"> instead of L</w:t>
      </w:r>
      <w:r>
        <w:rPr>
          <w:vertAlign w:val="subscript"/>
        </w:rPr>
        <w:t>A10,18h</w:t>
      </w:r>
      <w:r>
        <w:t>.</w:t>
      </w:r>
    </w:p>
    <w:p w:rsidR="00F9271C" w:rsidRDefault="00F9271C" w:rsidP="004E062D">
      <w:pPr>
        <w:pStyle w:val="BodyText"/>
        <w:numPr>
          <w:ilvl w:val="2"/>
          <w:numId w:val="8"/>
        </w:numPr>
        <w:ind w:left="851" w:hanging="851"/>
      </w:pPr>
      <w:r>
        <w:t>These measurements were used with BS 5228-1 to set construction and demolition noise limits to nearby noise sensitive receptors.</w:t>
      </w:r>
    </w:p>
    <w:p w:rsidR="00F9271C" w:rsidRDefault="00F9271C" w:rsidP="00213CC1">
      <w:pPr>
        <w:pStyle w:val="Heading2"/>
      </w:pPr>
      <w:bookmarkStart w:id="21" w:name="_Toc347496646"/>
      <w:r>
        <w:t>Additional Noise Survey</w:t>
      </w:r>
      <w:bookmarkEnd w:id="21"/>
    </w:p>
    <w:p w:rsidR="00F9271C" w:rsidRPr="00D5746A" w:rsidRDefault="00F9271C" w:rsidP="00D5746A">
      <w:pPr>
        <w:pStyle w:val="ListParagraph"/>
        <w:numPr>
          <w:ilvl w:val="1"/>
          <w:numId w:val="8"/>
        </w:numPr>
        <w:tabs>
          <w:tab w:val="left" w:pos="851"/>
        </w:tabs>
        <w:spacing w:after="240"/>
        <w:contextualSpacing w:val="0"/>
        <w:rPr>
          <w:vanish/>
        </w:rPr>
      </w:pPr>
    </w:p>
    <w:p w:rsidR="00F9271C" w:rsidRDefault="00F9271C" w:rsidP="00D57F64">
      <w:pPr>
        <w:pStyle w:val="BodyText"/>
        <w:numPr>
          <w:ilvl w:val="2"/>
          <w:numId w:val="8"/>
        </w:numPr>
        <w:ind w:left="851" w:hanging="851"/>
      </w:pPr>
      <w:r>
        <w:t>An additional noise survey was undertaken on 11</w:t>
      </w:r>
      <w:r w:rsidRPr="00213CC1">
        <w:rPr>
          <w:vertAlign w:val="superscript"/>
        </w:rPr>
        <w:t>th</w:t>
      </w:r>
      <w:r>
        <w:t xml:space="preserve"> January 2013 to measure noise in the playground at St Joseph’s School and internal noise levels in classrooms when the playground was in use.</w:t>
      </w:r>
    </w:p>
    <w:p w:rsidR="00F9271C" w:rsidRDefault="00F9271C" w:rsidP="004E062D">
      <w:pPr>
        <w:pStyle w:val="BodyText"/>
        <w:numPr>
          <w:ilvl w:val="2"/>
          <w:numId w:val="8"/>
        </w:numPr>
        <w:ind w:left="851" w:hanging="851"/>
      </w:pPr>
      <w:r>
        <w:t>The survey consisted of an unattended measurement in a façade position in the playground and five to ten minute measurements inside the following classrooms:</w:t>
      </w:r>
    </w:p>
    <w:p w:rsidR="00F9271C" w:rsidRDefault="00F9271C" w:rsidP="00AA3888">
      <w:pPr>
        <w:pStyle w:val="Bullets"/>
        <w:numPr>
          <w:ilvl w:val="0"/>
          <w:numId w:val="4"/>
        </w:numPr>
        <w:tabs>
          <w:tab w:val="clear" w:pos="357"/>
          <w:tab w:val="num" w:pos="1276"/>
        </w:tabs>
        <w:ind w:left="1276"/>
      </w:pPr>
      <w:r>
        <w:t>Year 1, infant class, first floor</w:t>
      </w:r>
    </w:p>
    <w:p w:rsidR="00F9271C" w:rsidRDefault="00F9271C" w:rsidP="00AA3888">
      <w:pPr>
        <w:pStyle w:val="Bullets"/>
        <w:numPr>
          <w:ilvl w:val="0"/>
          <w:numId w:val="4"/>
        </w:numPr>
        <w:tabs>
          <w:tab w:val="clear" w:pos="357"/>
          <w:tab w:val="num" w:pos="1276"/>
        </w:tabs>
        <w:ind w:left="1276"/>
      </w:pPr>
      <w:r>
        <w:t>Year 2,</w:t>
      </w:r>
      <w:r w:rsidRPr="0066746B">
        <w:t xml:space="preserve"> </w:t>
      </w:r>
      <w:r>
        <w:t>infant class, first floor</w:t>
      </w:r>
    </w:p>
    <w:p w:rsidR="00F9271C" w:rsidRDefault="00F9271C" w:rsidP="00AA3888">
      <w:pPr>
        <w:pStyle w:val="Bullets"/>
        <w:numPr>
          <w:ilvl w:val="0"/>
          <w:numId w:val="4"/>
        </w:numPr>
        <w:tabs>
          <w:tab w:val="clear" w:pos="357"/>
          <w:tab w:val="num" w:pos="1276"/>
        </w:tabs>
        <w:ind w:left="1276"/>
      </w:pPr>
      <w:r>
        <w:t>Year 3, junior class, second floor, and</w:t>
      </w:r>
    </w:p>
    <w:p w:rsidR="00F9271C" w:rsidRDefault="00F9271C" w:rsidP="00AA3888">
      <w:pPr>
        <w:pStyle w:val="Bullets"/>
        <w:numPr>
          <w:ilvl w:val="0"/>
          <w:numId w:val="4"/>
        </w:numPr>
        <w:tabs>
          <w:tab w:val="clear" w:pos="357"/>
          <w:tab w:val="num" w:pos="1276"/>
        </w:tabs>
        <w:ind w:left="1276"/>
      </w:pPr>
      <w:r>
        <w:t>Year 4, junior class, third floor.</w:t>
      </w:r>
    </w:p>
    <w:p w:rsidR="00F9271C" w:rsidRDefault="00F9271C" w:rsidP="004E062D">
      <w:pPr>
        <w:pStyle w:val="BodyText"/>
        <w:numPr>
          <w:ilvl w:val="2"/>
          <w:numId w:val="8"/>
        </w:numPr>
        <w:ind w:left="851" w:hanging="851"/>
      </w:pPr>
      <w:r>
        <w:t>The classrooms for Years 1 to 3 were chosen as they were the smallest classroom, therefore are likely to experience the highest internal noise level. The classroom for Year 4 was chosen as it is the only classroom on the top level of the school.</w:t>
      </w:r>
    </w:p>
    <w:p w:rsidR="00F9271C" w:rsidRDefault="00F9271C" w:rsidP="004E062D">
      <w:pPr>
        <w:pStyle w:val="BodyText"/>
        <w:numPr>
          <w:ilvl w:val="2"/>
          <w:numId w:val="8"/>
        </w:numPr>
        <w:ind w:left="851" w:hanging="851"/>
      </w:pPr>
      <w:r>
        <w:t xml:space="preserve">The measurements were undertaken with the lower section of the classroom windows open as far as they would go, as shown inset in </w:t>
      </w:r>
      <w:r w:rsidRPr="00AA3888">
        <w:rPr>
          <w:rStyle w:val="HighlightedtextChar"/>
        </w:rPr>
        <w:t>Figure 1</w:t>
      </w:r>
      <w:r>
        <w:t xml:space="preserve">.  </w:t>
      </w:r>
    </w:p>
    <w:p w:rsidR="00F9271C" w:rsidRDefault="00F9271C" w:rsidP="004E062D">
      <w:pPr>
        <w:pStyle w:val="BodyText"/>
        <w:numPr>
          <w:ilvl w:val="2"/>
          <w:numId w:val="8"/>
        </w:numPr>
        <w:ind w:left="851" w:hanging="851"/>
      </w:pPr>
      <w:r>
        <w:t xml:space="preserve">PBA were advised by one of the members of staff that the noise levels when junior years use the playground seemed higher than when infant years use. Therefore measurements were taken in occupied rooms so that typical infant and junior break times could be measured in affected classrooms. </w:t>
      </w:r>
    </w:p>
    <w:p w:rsidR="00F9271C" w:rsidRDefault="00F9271C" w:rsidP="004E062D">
      <w:pPr>
        <w:pStyle w:val="BodyText"/>
        <w:numPr>
          <w:ilvl w:val="2"/>
          <w:numId w:val="8"/>
        </w:numPr>
        <w:ind w:left="851" w:hanging="851"/>
      </w:pPr>
      <w:r>
        <w:t>The exceptions to this were the second measurements in the Year 3 and Year 4 classrooms which were unoccupied apart from two PBA noise equipment operators (and a teaching assistant in the Year 4 classroom).</w:t>
      </w:r>
    </w:p>
    <w:p w:rsidR="00F9271C" w:rsidRDefault="00F9271C" w:rsidP="004E062D">
      <w:pPr>
        <w:pStyle w:val="BodyText"/>
        <w:numPr>
          <w:ilvl w:val="2"/>
          <w:numId w:val="8"/>
        </w:numPr>
        <w:ind w:left="851" w:hanging="851"/>
      </w:pPr>
      <w:r>
        <w:t xml:space="preserve">The break times did not last long enough to measure in all affected classrooms. Originally a 10-minute measurement period was decided, however, during the morning break time it was noticed that the noise levels were quite static, therefore the measurement period was reduced to 5-minutes to allow measurement in more classrooms. </w:t>
      </w:r>
    </w:p>
    <w:p w:rsidR="00F9271C" w:rsidRDefault="00F9271C" w:rsidP="004E062D">
      <w:pPr>
        <w:pStyle w:val="BodyText"/>
        <w:numPr>
          <w:ilvl w:val="2"/>
          <w:numId w:val="8"/>
        </w:numPr>
        <w:ind w:left="851" w:hanging="851"/>
      </w:pPr>
      <w:bookmarkStart w:id="22" w:name="_Ref346546662"/>
      <w:r>
        <w:t>Unfortunately half of the 10-minute measurement in the Year 2 classroom during the first break time and the entire measurement in the same room during the second break time could not be used as the teaching assistant talked during these measurements.</w:t>
      </w:r>
      <w:bookmarkEnd w:id="22"/>
      <w:r>
        <w:t xml:space="preserve">   </w:t>
      </w:r>
    </w:p>
    <w:p w:rsidR="00F9271C" w:rsidRDefault="00F9271C" w:rsidP="00D57F64">
      <w:pPr>
        <w:pStyle w:val="Heading2"/>
      </w:pPr>
      <w:bookmarkStart w:id="23" w:name="_Toc347496647"/>
      <w:r>
        <w:t>Prediction of Demolition and Site Clearance Noise Levels</w:t>
      </w:r>
      <w:bookmarkEnd w:id="23"/>
    </w:p>
    <w:p w:rsidR="00F9271C" w:rsidRPr="00D57F64" w:rsidRDefault="00F9271C" w:rsidP="00D57F64">
      <w:pPr>
        <w:pStyle w:val="ListParagraph"/>
        <w:numPr>
          <w:ilvl w:val="1"/>
          <w:numId w:val="8"/>
        </w:numPr>
        <w:tabs>
          <w:tab w:val="left" w:pos="851"/>
        </w:tabs>
        <w:spacing w:after="240"/>
        <w:contextualSpacing w:val="0"/>
        <w:rPr>
          <w:vanish/>
        </w:rPr>
      </w:pPr>
    </w:p>
    <w:p w:rsidR="00F9271C" w:rsidRDefault="00F9271C" w:rsidP="00FA69F2">
      <w:pPr>
        <w:pStyle w:val="BodyText"/>
        <w:numPr>
          <w:ilvl w:val="2"/>
          <w:numId w:val="8"/>
        </w:numPr>
        <w:ind w:left="851" w:hanging="851"/>
      </w:pPr>
      <w:r>
        <w:t>The demolition and site clearance noise levels have been predicted to the four classrooms at St Joseph’s Primary School in which measurements were taken. These classrooms are representative of classrooms on the first, second and third floors of the school (infant classes, junior classes and Year 4 respectively).</w:t>
      </w:r>
    </w:p>
    <w:p w:rsidR="00F9271C" w:rsidRDefault="00F9271C" w:rsidP="00FA69F2">
      <w:pPr>
        <w:pStyle w:val="BodyText"/>
        <w:numPr>
          <w:ilvl w:val="2"/>
          <w:numId w:val="8"/>
        </w:numPr>
        <w:ind w:left="851" w:hanging="851"/>
      </w:pPr>
      <w:r>
        <w:t xml:space="preserve">A SoundPLAN v7.2 noise model of the proposed demolition and site clearance works has been prepared. </w:t>
      </w:r>
      <w:r w:rsidRPr="00433218">
        <w:rPr>
          <w:rStyle w:val="HighlightedtextChar"/>
        </w:rPr>
        <w:t>Appendix B</w:t>
      </w:r>
      <w:r>
        <w:t xml:space="preserve"> provides a summary of the data used in the noise model, the majority of which was advised by Keltbray, the demolition contractor for the site.</w:t>
      </w:r>
    </w:p>
    <w:p w:rsidR="00F9271C" w:rsidRDefault="00F9271C" w:rsidP="00FA69F2">
      <w:pPr>
        <w:pStyle w:val="BodyText"/>
        <w:numPr>
          <w:ilvl w:val="2"/>
          <w:numId w:val="8"/>
        </w:numPr>
        <w:ind w:left="851" w:hanging="851"/>
      </w:pPr>
      <w:r>
        <w:t>The noise levels have been predicted for four scenarios: all mobile demolition equipment (except lorries) on the fifth floor, all on the first floor, all on the ground floor and during site clearance.</w:t>
      </w:r>
    </w:p>
    <w:p w:rsidR="00F9271C" w:rsidRDefault="00F9271C" w:rsidP="00FA69F2">
      <w:pPr>
        <w:pStyle w:val="BodyText"/>
        <w:numPr>
          <w:ilvl w:val="2"/>
          <w:numId w:val="8"/>
        </w:numPr>
        <w:ind w:left="851" w:hanging="851"/>
      </w:pPr>
      <w:r>
        <w:t>As the front façade of the building (on Parker Street) is being retained, it has been included in the noise model for all scenarios to ensure any reflected noise from the façade to the school is included in the calculations. It has been assumed that the internal surface of the façade is composed of painted brick.</w:t>
      </w:r>
    </w:p>
    <w:p w:rsidR="00F9271C" w:rsidRDefault="00F9271C" w:rsidP="00FA69F2">
      <w:pPr>
        <w:pStyle w:val="BodyText"/>
        <w:numPr>
          <w:ilvl w:val="2"/>
          <w:numId w:val="8"/>
        </w:numPr>
        <w:ind w:left="851" w:hanging="851"/>
      </w:pPr>
      <w:r>
        <w:t>It has been assumed that there will be a maximum of two lorries per hour moving around the site.</w:t>
      </w:r>
    </w:p>
    <w:p w:rsidR="00F9271C" w:rsidRDefault="00F9271C" w:rsidP="00FA69F2">
      <w:pPr>
        <w:pStyle w:val="BodyText"/>
        <w:numPr>
          <w:ilvl w:val="2"/>
          <w:numId w:val="8"/>
        </w:numPr>
        <w:ind w:left="851" w:hanging="851"/>
      </w:pPr>
      <w:r>
        <w:t>Noise from the erection of the façade retention scheme has been assumed to be insignificant to St Joseph’s Primary School as the building envelope will still be intact and will act as a barrier and partial enclosure to the noise.</w:t>
      </w:r>
    </w:p>
    <w:p w:rsidR="00F9271C" w:rsidRDefault="00F9271C" w:rsidP="00FA69F2">
      <w:pPr>
        <w:pStyle w:val="BodyText"/>
        <w:numPr>
          <w:ilvl w:val="2"/>
          <w:numId w:val="8"/>
        </w:numPr>
        <w:ind w:left="851" w:hanging="851"/>
      </w:pPr>
      <w:r>
        <w:t xml:space="preserve">Construction noise has not been assessed in detail at this stage as there is no construction method statement available. However, noise limits are proposed based on the analysis of the noise levels which are considered reasonable at St Joseph’s School.  </w:t>
      </w:r>
    </w:p>
    <w:p w:rsidR="00F9271C" w:rsidRPr="00D57F64" w:rsidRDefault="00F9271C" w:rsidP="00D57F64">
      <w:pPr>
        <w:pStyle w:val="Heading2"/>
      </w:pPr>
      <w:bookmarkStart w:id="24" w:name="_Toc347496648"/>
      <w:r>
        <w:t>Demolition and Site Preparation Vibration Levels</w:t>
      </w:r>
      <w:bookmarkEnd w:id="24"/>
    </w:p>
    <w:p w:rsidR="00F9271C" w:rsidRPr="00D57F64" w:rsidRDefault="00F9271C" w:rsidP="00D57F64">
      <w:pPr>
        <w:pStyle w:val="ListParagraph"/>
        <w:numPr>
          <w:ilvl w:val="1"/>
          <w:numId w:val="8"/>
        </w:numPr>
        <w:tabs>
          <w:tab w:val="left" w:pos="851"/>
        </w:tabs>
        <w:spacing w:after="240"/>
        <w:contextualSpacing w:val="0"/>
        <w:rPr>
          <w:vanish/>
        </w:rPr>
      </w:pPr>
    </w:p>
    <w:p w:rsidR="00F9271C" w:rsidRDefault="00F9271C" w:rsidP="00672779">
      <w:pPr>
        <w:pStyle w:val="BodyText"/>
        <w:numPr>
          <w:ilvl w:val="2"/>
          <w:numId w:val="8"/>
        </w:numPr>
        <w:ind w:left="851" w:hanging="851"/>
      </w:pPr>
      <w:r>
        <w:t>The method of piling for the construction of the proposed development has not been finalised. However, percussive or driven piles may cause vibration noticeable to staff or students at St Joseph’s Primary School.</w:t>
      </w:r>
    </w:p>
    <w:p w:rsidR="00F9271C" w:rsidRDefault="00F9271C" w:rsidP="00672779">
      <w:pPr>
        <w:pStyle w:val="BodyText"/>
        <w:numPr>
          <w:ilvl w:val="2"/>
          <w:numId w:val="8"/>
        </w:numPr>
        <w:ind w:left="851" w:hanging="851"/>
      </w:pPr>
      <w:r>
        <w:t>Unless driven or percussive piling is required, it is unlikely that any of the other proposed methods will cause noticeable vibration to staff or students at St Joseph’s Primary School, therefore a detailed vibration assessment is not considered to be necessary.</w:t>
      </w:r>
    </w:p>
    <w:p w:rsidR="00F9271C" w:rsidRPr="00D57F64" w:rsidRDefault="00F9271C" w:rsidP="00D57F64">
      <w:pPr>
        <w:pStyle w:val="Heading2"/>
      </w:pPr>
      <w:bookmarkStart w:id="25" w:name="_Toc347496649"/>
      <w:r>
        <w:t>Additional Noise Assessment</w:t>
      </w:r>
      <w:bookmarkEnd w:id="25"/>
    </w:p>
    <w:p w:rsidR="00F9271C" w:rsidRPr="00DF3810" w:rsidRDefault="00F9271C" w:rsidP="00DF3810">
      <w:pPr>
        <w:pStyle w:val="ListParagraph"/>
        <w:numPr>
          <w:ilvl w:val="1"/>
          <w:numId w:val="8"/>
        </w:numPr>
        <w:tabs>
          <w:tab w:val="left" w:pos="851"/>
        </w:tabs>
        <w:spacing w:after="240"/>
        <w:contextualSpacing w:val="0"/>
        <w:rPr>
          <w:vanish/>
        </w:rPr>
      </w:pPr>
    </w:p>
    <w:p w:rsidR="00F9271C" w:rsidRDefault="00F9271C" w:rsidP="001E15C4">
      <w:pPr>
        <w:pStyle w:val="BodyText"/>
        <w:numPr>
          <w:ilvl w:val="2"/>
          <w:numId w:val="8"/>
        </w:numPr>
        <w:ind w:left="851" w:hanging="851"/>
      </w:pPr>
      <w:r>
        <w:t xml:space="preserve">The results of the internal noise measurements have been used to establish the typical level inside the classrooms whilst the playground is in use so that the predicted demolition and construction noise levels can be added. </w:t>
      </w:r>
    </w:p>
    <w:p w:rsidR="00F9271C" w:rsidRDefault="00F9271C" w:rsidP="005E741C">
      <w:pPr>
        <w:pStyle w:val="BodyText"/>
        <w:numPr>
          <w:ilvl w:val="2"/>
          <w:numId w:val="8"/>
        </w:numPr>
        <w:ind w:left="851" w:hanging="851"/>
      </w:pPr>
      <w:r>
        <w:t xml:space="preserve">The difference between the internal and external noise levels has been used to provide the typical reduction in noise levels with the windows partially open. </w:t>
      </w:r>
    </w:p>
    <w:p w:rsidR="00F9271C" w:rsidRDefault="00F9271C" w:rsidP="005E741C">
      <w:pPr>
        <w:pStyle w:val="BodyText"/>
        <w:numPr>
          <w:ilvl w:val="2"/>
          <w:numId w:val="8"/>
        </w:numPr>
        <w:ind w:left="851" w:hanging="851"/>
      </w:pPr>
      <w:r>
        <w:t>It is not intended that the short noise measurements should be used to provide a thorough assessment of the suitability of the internal acoustic environment in the classrooms during playground use or assess the efficacy of the new glazing; they are intended to be used to provide approximate internal noise levels to evaluate whether demolition and construction noise is likely to exacerbate already high noise levels within the classrooms during playground use.</w:t>
      </w:r>
    </w:p>
    <w:p w:rsidR="00F9271C" w:rsidRDefault="00F9271C" w:rsidP="004E062D">
      <w:pPr>
        <w:pStyle w:val="BodyText"/>
        <w:numPr>
          <w:ilvl w:val="2"/>
          <w:numId w:val="8"/>
        </w:numPr>
        <w:ind w:left="851" w:hanging="851"/>
      </w:pPr>
      <w:r>
        <w:t>The difference between the internal and external L</w:t>
      </w:r>
      <w:r>
        <w:rPr>
          <w:vertAlign w:val="subscript"/>
        </w:rPr>
        <w:t>Aeq,T</w:t>
      </w:r>
      <w:r>
        <w:t xml:space="preserve"> will be influenced by the distance between the children and the measurement locations. However, the distance of the individual children to the internal and external measurement locations varies greatly throughout the measurement period so distance corrections cannot be accurately applied. The external measurement location is in an equivalent location to measuring at the façade of the school, but was selected for safety reasons. The attenuation effect of the windows is therefore taken as the difference between internal and external noise levels. </w:t>
      </w:r>
    </w:p>
    <w:p w:rsidR="00F9271C" w:rsidRPr="00DF3810" w:rsidRDefault="00F9271C" w:rsidP="004E062D">
      <w:pPr>
        <w:pStyle w:val="BodyText"/>
        <w:numPr>
          <w:ilvl w:val="2"/>
          <w:numId w:val="8"/>
        </w:numPr>
        <w:ind w:left="851" w:hanging="851"/>
      </w:pPr>
      <w:r>
        <w:t xml:space="preserve">The demolition and site clearance noise levels have been predicted using the proposed programme of works, proposed plant and the sound power levels </w:t>
      </w:r>
      <w:r w:rsidRPr="00DF3810">
        <w:t>as advised by Keltbray, the demolition contractor</w:t>
      </w:r>
      <w:r>
        <w:t xml:space="preserve"> and prediction </w:t>
      </w:r>
      <w:r w:rsidRPr="00DF3810">
        <w:t>methods provided in BS 5228-1:2009.</w:t>
      </w:r>
    </w:p>
    <w:p w:rsidR="00F9271C" w:rsidRPr="00DF3810" w:rsidRDefault="00F9271C" w:rsidP="004E062D">
      <w:pPr>
        <w:pStyle w:val="BodyText"/>
        <w:numPr>
          <w:ilvl w:val="2"/>
          <w:numId w:val="8"/>
        </w:numPr>
        <w:ind w:left="851" w:hanging="851"/>
      </w:pPr>
      <w:r w:rsidRPr="00DF3810">
        <w:t xml:space="preserve">The results have been compared to the </w:t>
      </w:r>
      <w:r>
        <w:t xml:space="preserve">demolition and </w:t>
      </w:r>
      <w:r w:rsidRPr="00DF3810">
        <w:t>construction noise limits provided in the previous PBA noise assessment and the measured internal noise levels within</w:t>
      </w:r>
      <w:r>
        <w:t xml:space="preserve"> the</w:t>
      </w:r>
      <w:r w:rsidRPr="00DF3810">
        <w:t xml:space="preserve"> classrooms. </w:t>
      </w:r>
    </w:p>
    <w:p w:rsidR="00F9271C" w:rsidRDefault="00F9271C" w:rsidP="004E062D">
      <w:pPr>
        <w:pStyle w:val="BodyText"/>
        <w:numPr>
          <w:ilvl w:val="2"/>
          <w:numId w:val="8"/>
        </w:numPr>
        <w:ind w:left="851" w:hanging="851"/>
      </w:pPr>
      <w:r w:rsidRPr="00DF3810">
        <w:t>Keltbray have advised that Envirowrap 500AFR-T-AC-D06-08, a polyethylene sheeting, will</w:t>
      </w:r>
      <w:r>
        <w:t xml:space="preserve"> be wrapped around the scaffolding to mitigate dust and noise from the demolition works. This has been acoustically tested by </w:t>
      </w:r>
      <w:r w:rsidRPr="001127B7">
        <w:t>BAM Nuttall wh</w:t>
      </w:r>
      <w:r>
        <w:t>o</w:t>
      </w:r>
      <w:r w:rsidRPr="001127B7">
        <w:t xml:space="preserve"> report overall attenuation of 10.9 dB.</w:t>
      </w:r>
      <w:r>
        <w:t xml:space="preserve"> The test results are included in Appendix B.</w:t>
      </w:r>
    </w:p>
    <w:p w:rsidR="00F9271C" w:rsidRDefault="00F9271C" w:rsidP="004E062D">
      <w:pPr>
        <w:pStyle w:val="BodyText"/>
        <w:numPr>
          <w:ilvl w:val="2"/>
          <w:numId w:val="8"/>
        </w:numPr>
        <w:ind w:left="851" w:hanging="851"/>
      </w:pPr>
      <w:r>
        <w:t xml:space="preserve">It is acknowledged that the noise measurements will have included noise from children inside the classrooms, however, the children were exceptionally quiet and it is considered that noise from children using the playground is dominant in all measurements except those referenced in </w:t>
      </w:r>
      <w:r w:rsidRPr="00372017">
        <w:rPr>
          <w:rStyle w:val="HighlightedtextChar"/>
        </w:rPr>
        <w:t xml:space="preserve">paragraph </w:t>
      </w:r>
      <w:r w:rsidRPr="00372017">
        <w:rPr>
          <w:rStyle w:val="HighlightedtextChar"/>
        </w:rPr>
        <w:fldChar w:fldCharType="begin"/>
      </w:r>
      <w:r w:rsidRPr="00372017">
        <w:rPr>
          <w:rStyle w:val="HighlightedtextChar"/>
        </w:rPr>
        <w:instrText xml:space="preserve"> REF _Ref346546662 \r \h </w:instrText>
      </w:r>
      <w:r w:rsidRPr="0031762F">
        <w:rPr>
          <w:b/>
          <w:color w:val="003366"/>
        </w:rPr>
      </w:r>
      <w:r w:rsidRPr="00372017">
        <w:rPr>
          <w:rStyle w:val="HighlightedtextChar"/>
        </w:rPr>
        <w:fldChar w:fldCharType="separate"/>
      </w:r>
      <w:r>
        <w:rPr>
          <w:rStyle w:val="HighlightedtextChar"/>
        </w:rPr>
        <w:t>3.2.8</w:t>
      </w:r>
      <w:r w:rsidRPr="00372017">
        <w:rPr>
          <w:rStyle w:val="HighlightedtextChar"/>
        </w:rPr>
        <w:fldChar w:fldCharType="end"/>
      </w:r>
      <w:r w:rsidRPr="009E1E69">
        <w:rPr>
          <w:rStyle w:val="HighlightedtextChar"/>
          <w:b w:val="0"/>
          <w:color w:val="auto"/>
        </w:rPr>
        <w:t>, which have not been used</w:t>
      </w:r>
      <w:r>
        <w:t>.</w:t>
      </w:r>
    </w:p>
    <w:p w:rsidR="00F9271C" w:rsidRDefault="00F9271C" w:rsidP="004E062D">
      <w:pPr>
        <w:pStyle w:val="BodyText"/>
        <w:numPr>
          <w:ilvl w:val="2"/>
          <w:numId w:val="8"/>
        </w:numPr>
        <w:ind w:left="851" w:hanging="851"/>
      </w:pPr>
      <w:r>
        <w:t>The external noise measurement was a façade noise measurement, being placed within 1 m of a brick wall. Therefore 3 dB has been subtracted from the external measurements to calculate the free field noise level.</w:t>
      </w:r>
    </w:p>
    <w:p w:rsidR="00F9271C" w:rsidRDefault="00F9271C" w:rsidP="004E062D">
      <w:pPr>
        <w:pStyle w:val="BodyText"/>
        <w:numPr>
          <w:ilvl w:val="2"/>
          <w:numId w:val="8"/>
        </w:numPr>
        <w:ind w:left="851" w:hanging="851"/>
      </w:pPr>
      <w:bookmarkStart w:id="26" w:name="_Ref346548825"/>
      <w:r>
        <w:t>The internal noise measurements were taken at a distance representative of the nearest pupil to the window or, where this was not possible (for example, because the pupil sat against the wall) the measurement was taken at 1 m from the wall. 3 dB has been subtracted from the measurements to estimate the diffuse internal noise level.</w:t>
      </w:r>
      <w:bookmarkEnd w:id="26"/>
    </w:p>
    <w:p w:rsidR="00F9271C" w:rsidRDefault="00F9271C" w:rsidP="004E062D">
      <w:pPr>
        <w:pStyle w:val="BodyText"/>
        <w:numPr>
          <w:ilvl w:val="2"/>
          <w:numId w:val="8"/>
        </w:numPr>
        <w:ind w:left="851" w:hanging="851"/>
      </w:pPr>
      <w:r>
        <w:t>An increase in noise levels of less than 3 dB is considered not significant as it is n</w:t>
      </w:r>
      <w:r w:rsidRPr="00DB4592">
        <w:t xml:space="preserve">ot perceptible to </w:t>
      </w:r>
      <w:r>
        <w:t xml:space="preserve">the average person. </w:t>
      </w:r>
    </w:p>
    <w:p w:rsidR="00F9271C" w:rsidRDefault="00F9271C" w:rsidP="00033F2D">
      <w:pPr>
        <w:pStyle w:val="Heading2"/>
      </w:pPr>
      <w:bookmarkStart w:id="27" w:name="_Toc345340272"/>
      <w:bookmarkStart w:id="28" w:name="_Toc347496650"/>
      <w:r>
        <w:t>Limitations</w:t>
      </w:r>
      <w:bookmarkEnd w:id="27"/>
      <w:bookmarkEnd w:id="28"/>
    </w:p>
    <w:p w:rsidR="00F9271C" w:rsidRDefault="00F9271C" w:rsidP="00033F2D">
      <w:pPr>
        <w:pStyle w:val="Heading3nonumber"/>
      </w:pPr>
      <w:r>
        <w:t>Site Layout</w:t>
      </w:r>
    </w:p>
    <w:p w:rsidR="00F9271C" w:rsidRPr="00DF3810" w:rsidRDefault="00F9271C" w:rsidP="00DF3810">
      <w:pPr>
        <w:pStyle w:val="ListParagraph"/>
        <w:numPr>
          <w:ilvl w:val="1"/>
          <w:numId w:val="8"/>
        </w:numPr>
        <w:tabs>
          <w:tab w:val="left" w:pos="851"/>
        </w:tabs>
        <w:spacing w:after="240"/>
        <w:contextualSpacing w:val="0"/>
        <w:rPr>
          <w:vanish/>
        </w:rPr>
      </w:pPr>
    </w:p>
    <w:p w:rsidR="00F9271C" w:rsidRDefault="00F9271C" w:rsidP="00BC6041">
      <w:pPr>
        <w:pStyle w:val="BodyText"/>
        <w:numPr>
          <w:ilvl w:val="2"/>
          <w:numId w:val="8"/>
        </w:numPr>
        <w:ind w:left="851" w:hanging="851"/>
      </w:pPr>
      <w:r>
        <w:t>Due to the relatively short distances and observation on site, the area containing Parker House and St Joseph’s Primary School has been assumed to be flat.</w:t>
      </w:r>
    </w:p>
    <w:p w:rsidR="00F9271C" w:rsidRDefault="00F9271C" w:rsidP="00D23E51">
      <w:pPr>
        <w:pStyle w:val="BodyText"/>
        <w:numPr>
          <w:ilvl w:val="2"/>
          <w:numId w:val="8"/>
        </w:numPr>
        <w:ind w:left="851" w:hanging="851"/>
      </w:pPr>
      <w:r>
        <w:t xml:space="preserve">The layout of the existing buildings has been provided by </w:t>
      </w:r>
      <w:r w:rsidRPr="00D23E51">
        <w:t>EC Harris LLP.</w:t>
      </w:r>
    </w:p>
    <w:p w:rsidR="00F9271C" w:rsidRDefault="00F9271C" w:rsidP="00033F2D">
      <w:pPr>
        <w:pStyle w:val="Heading3nonumber"/>
      </w:pPr>
      <w:r>
        <w:t>Noise Survey</w:t>
      </w:r>
    </w:p>
    <w:p w:rsidR="00F9271C" w:rsidRPr="00F8411D" w:rsidRDefault="00F9271C" w:rsidP="00033F2D">
      <w:pPr>
        <w:pStyle w:val="ListParagraph"/>
        <w:numPr>
          <w:ilvl w:val="1"/>
          <w:numId w:val="14"/>
        </w:numPr>
        <w:tabs>
          <w:tab w:val="left" w:pos="851"/>
        </w:tabs>
        <w:spacing w:after="240"/>
        <w:contextualSpacing w:val="0"/>
        <w:rPr>
          <w:vanish/>
        </w:rPr>
      </w:pPr>
    </w:p>
    <w:p w:rsidR="00F9271C" w:rsidRDefault="00F9271C" w:rsidP="00033F2D">
      <w:pPr>
        <w:pStyle w:val="BodyText"/>
        <w:numPr>
          <w:ilvl w:val="2"/>
          <w:numId w:val="8"/>
        </w:numPr>
        <w:ind w:left="851" w:hanging="851"/>
      </w:pPr>
      <w:r>
        <w:t>It has been assumed that the noise levels measured during the noise survey are representative of the typical noise during playground use.</w:t>
      </w:r>
    </w:p>
    <w:p w:rsidR="00F9271C" w:rsidRPr="00F8411D" w:rsidRDefault="00F9271C" w:rsidP="00033F2D">
      <w:pPr>
        <w:pStyle w:val="ListParagraph"/>
        <w:numPr>
          <w:ilvl w:val="1"/>
          <w:numId w:val="14"/>
        </w:numPr>
        <w:tabs>
          <w:tab w:val="left" w:pos="851"/>
        </w:tabs>
        <w:spacing w:after="240"/>
        <w:contextualSpacing w:val="0"/>
        <w:rPr>
          <w:vanish/>
        </w:rPr>
      </w:pPr>
    </w:p>
    <w:p w:rsidR="00F9271C" w:rsidRDefault="00F9271C" w:rsidP="00033F2D">
      <w:pPr>
        <w:pStyle w:val="BodyText"/>
        <w:numPr>
          <w:ilvl w:val="2"/>
          <w:numId w:val="8"/>
        </w:numPr>
        <w:ind w:left="851" w:hanging="851"/>
      </w:pPr>
      <w:r>
        <w:t>It has also been assumed that the noise climate during the previous noise survey is representative of the typical noise climate, e.g. traffic was flowing in a typical fashion, there were no greater or fewer aircraft movements etc as there was no evidence to assume otherwise.</w:t>
      </w:r>
    </w:p>
    <w:p w:rsidR="00F9271C" w:rsidRDefault="00F9271C" w:rsidP="00033F2D">
      <w:pPr>
        <w:pStyle w:val="Heading3nonumber"/>
      </w:pPr>
      <w:r>
        <w:t>Internal Noise Climate</w:t>
      </w:r>
    </w:p>
    <w:p w:rsidR="00F9271C" w:rsidRDefault="00F9271C" w:rsidP="00033F2D">
      <w:pPr>
        <w:pStyle w:val="BodyText"/>
        <w:numPr>
          <w:ilvl w:val="2"/>
          <w:numId w:val="8"/>
        </w:numPr>
        <w:ind w:left="851" w:hanging="851"/>
      </w:pPr>
      <w:r>
        <w:t>The windows were partially opened during the internal noise measurements to represent a typical situation when ventilation is required. The windows were installed during the school summer holiday and have not been opened since, therefore it is considered that using windows opened as far as possible is not typical for the proposed time of year of demolition (beginning of September).</w:t>
      </w:r>
    </w:p>
    <w:p w:rsidR="00F9271C" w:rsidRDefault="00F9271C" w:rsidP="00033F2D">
      <w:pPr>
        <w:pStyle w:val="BodyText"/>
        <w:numPr>
          <w:ilvl w:val="2"/>
          <w:numId w:val="8"/>
        </w:numPr>
        <w:ind w:left="851" w:hanging="851"/>
      </w:pPr>
      <w:r>
        <w:t xml:space="preserve">The classrooms were occupied during the internal noise measurements as using unoccupied classrooms would have provided unrepresentatively low noise levels. However, the children were extremely quiet and this scenario represents quiet study. </w:t>
      </w:r>
    </w:p>
    <w:p w:rsidR="00F9271C" w:rsidRDefault="00F9271C" w:rsidP="00DF1082">
      <w:pPr>
        <w:pStyle w:val="Heading3nonumber"/>
      </w:pPr>
      <w:r>
        <w:t>Plant Noise Levels</w:t>
      </w:r>
    </w:p>
    <w:p w:rsidR="00F9271C" w:rsidRDefault="00F9271C" w:rsidP="00033F2D">
      <w:pPr>
        <w:pStyle w:val="BodyText"/>
        <w:numPr>
          <w:ilvl w:val="2"/>
          <w:numId w:val="8"/>
        </w:numPr>
        <w:ind w:left="851" w:hanging="851"/>
      </w:pPr>
      <w:r>
        <w:t xml:space="preserve">Spectrum data from table C in BS 5228-1:2009 has been used where items have been specified using this table. </w:t>
      </w:r>
    </w:p>
    <w:p w:rsidR="00F9271C" w:rsidRDefault="00F9271C" w:rsidP="00033F2D">
      <w:pPr>
        <w:pStyle w:val="BodyText"/>
        <w:numPr>
          <w:ilvl w:val="2"/>
          <w:numId w:val="8"/>
        </w:numPr>
        <w:ind w:left="851" w:hanging="851"/>
      </w:pPr>
      <w:r>
        <w:t>Where spectrum data is not available (for example, items specified using table D of BS 5228-1:2009 or manufacturer’s data) the shape of the spectrum has been chosen using the closest equipment match in table C of BS 5228-1:2009 but the overall L</w:t>
      </w:r>
      <w:r>
        <w:rPr>
          <w:vertAlign w:val="subscript"/>
        </w:rPr>
        <w:t>W</w:t>
      </w:r>
      <w:r>
        <w:t xml:space="preserve"> has been entered into the model using the information provided.</w:t>
      </w:r>
    </w:p>
    <w:p w:rsidR="00F9271C" w:rsidRDefault="00F9271C" w:rsidP="003A307F">
      <w:pPr>
        <w:pStyle w:val="Heading3nonumber"/>
      </w:pPr>
      <w:r>
        <w:t>Envirowrap Mitigation</w:t>
      </w:r>
    </w:p>
    <w:p w:rsidR="00F9271C" w:rsidRDefault="00F9271C" w:rsidP="00033F2D">
      <w:pPr>
        <w:pStyle w:val="BodyText"/>
        <w:numPr>
          <w:ilvl w:val="2"/>
          <w:numId w:val="8"/>
        </w:numPr>
        <w:ind w:left="851" w:hanging="851"/>
      </w:pPr>
      <w:r>
        <w:t>Keltbray have provided acoustic test results for the proposed polyethylene sheeting but unfortunately no frequency spectrum data is available. Therefore the overall L</w:t>
      </w:r>
      <w:r>
        <w:rPr>
          <w:vertAlign w:val="subscript"/>
        </w:rPr>
        <w:t>Aeq,1h</w:t>
      </w:r>
      <w:r>
        <w:t xml:space="preserve"> has been assessed for the ‘with mitigation’ scenarios and there is the potential that noise levels may be unacceptable in some frequency bands even if the overall L</w:t>
      </w:r>
      <w:r>
        <w:rPr>
          <w:vertAlign w:val="subscript"/>
        </w:rPr>
        <w:t>Aeq,1h</w:t>
      </w:r>
      <w:r>
        <w:t xml:space="preserve"> is acceptable.</w:t>
      </w:r>
    </w:p>
    <w:p w:rsidR="00F9271C" w:rsidRDefault="00F9271C" w:rsidP="00033F2D">
      <w:pPr>
        <w:pStyle w:val="BodyText"/>
        <w:numPr>
          <w:ilvl w:val="2"/>
          <w:numId w:val="8"/>
        </w:numPr>
        <w:ind w:left="851" w:hanging="851"/>
      </w:pPr>
      <w:r>
        <w:t>This will be determined by noise monitoring during the works and additional mitigation will be advised if any octave bands show an unacceptable increase.</w:t>
      </w:r>
    </w:p>
    <w:p w:rsidR="00F9271C" w:rsidRDefault="00F9271C">
      <w:r>
        <w:br w:type="page"/>
      </w:r>
    </w:p>
    <w:p w:rsidR="00F9271C" w:rsidRDefault="00F9271C" w:rsidP="0031286A">
      <w:pPr>
        <w:pStyle w:val="Heading1"/>
      </w:pPr>
      <w:bookmarkStart w:id="29" w:name="_Toc347496651"/>
      <w:r>
        <w:t>Results</w:t>
      </w:r>
      <w:bookmarkEnd w:id="29"/>
      <w:r>
        <w:t xml:space="preserve"> </w:t>
      </w:r>
    </w:p>
    <w:p w:rsidR="00F9271C" w:rsidRDefault="00F9271C" w:rsidP="0031286A">
      <w:pPr>
        <w:pStyle w:val="Heading2"/>
      </w:pPr>
      <w:bookmarkStart w:id="30" w:name="_Toc347496652"/>
      <w:r>
        <w:t>Previous Noise Survey and Assessment</w:t>
      </w:r>
      <w:bookmarkEnd w:id="30"/>
    </w:p>
    <w:p w:rsidR="00F9271C" w:rsidRPr="0031286A" w:rsidRDefault="00F9271C" w:rsidP="0031286A">
      <w:pPr>
        <w:pStyle w:val="ListParagraph"/>
        <w:numPr>
          <w:ilvl w:val="0"/>
          <w:numId w:val="8"/>
        </w:numPr>
        <w:tabs>
          <w:tab w:val="left" w:pos="851"/>
        </w:tabs>
        <w:spacing w:after="240"/>
        <w:contextualSpacing w:val="0"/>
        <w:rPr>
          <w:vanish/>
        </w:rPr>
      </w:pPr>
    </w:p>
    <w:p w:rsidR="00F9271C" w:rsidRPr="0031286A" w:rsidRDefault="00F9271C" w:rsidP="0031286A">
      <w:pPr>
        <w:pStyle w:val="ListParagraph"/>
        <w:numPr>
          <w:ilvl w:val="1"/>
          <w:numId w:val="8"/>
        </w:numPr>
        <w:tabs>
          <w:tab w:val="left" w:pos="851"/>
        </w:tabs>
        <w:spacing w:after="240"/>
        <w:contextualSpacing w:val="0"/>
        <w:rPr>
          <w:vanish/>
        </w:rPr>
      </w:pPr>
    </w:p>
    <w:p w:rsidR="00F9271C" w:rsidRDefault="00F9271C" w:rsidP="00E64221">
      <w:pPr>
        <w:pStyle w:val="BodyText"/>
        <w:numPr>
          <w:ilvl w:val="2"/>
          <w:numId w:val="8"/>
        </w:numPr>
        <w:ind w:left="851" w:hanging="851"/>
      </w:pPr>
      <w:r>
        <w:t xml:space="preserve">With regard to construction and demolition noise, the previous noise and vibration assessment concluded that it is likely the London Borough of Camden would require working hours of 08:00 to 18:00 hours Monday to Friday, and 08:00 to 13:00 hours on Saturdays. </w:t>
      </w:r>
    </w:p>
    <w:p w:rsidR="00F9271C" w:rsidRDefault="00F9271C" w:rsidP="00E64221">
      <w:pPr>
        <w:pStyle w:val="BodyText"/>
        <w:numPr>
          <w:ilvl w:val="2"/>
          <w:numId w:val="8"/>
        </w:numPr>
        <w:ind w:left="851" w:hanging="851"/>
      </w:pPr>
      <w:r>
        <w:t>70 dB was calculated as an acceptable construction and demolition noise limit for the residential receptors, and it was acknowledged that “it may be appropriate to adopt a lower limit to protect the teaching environment at the school during the construction works” (paragraph 5.1.5 of the PBA Nov 12 report).</w:t>
      </w:r>
    </w:p>
    <w:p w:rsidR="00F9271C" w:rsidRDefault="00F9271C" w:rsidP="00E64221">
      <w:pPr>
        <w:pStyle w:val="BodyText"/>
        <w:numPr>
          <w:ilvl w:val="2"/>
          <w:numId w:val="8"/>
        </w:numPr>
        <w:ind w:left="851" w:hanging="851"/>
      </w:pPr>
      <w:r>
        <w:t>A vibration limit of 1.0 mms</w:t>
      </w:r>
      <w:r>
        <w:rPr>
          <w:vertAlign w:val="superscript"/>
        </w:rPr>
        <w:t>-1</w:t>
      </w:r>
      <w:r>
        <w:t xml:space="preserve"> (PPV) was concluded as being an indicator of potential impact for residential, educational and commercial receptors close to the site.</w:t>
      </w:r>
    </w:p>
    <w:p w:rsidR="00F9271C" w:rsidRDefault="00F9271C" w:rsidP="00E64221">
      <w:pPr>
        <w:pStyle w:val="BodyText"/>
        <w:numPr>
          <w:ilvl w:val="2"/>
          <w:numId w:val="8"/>
        </w:numPr>
        <w:ind w:left="851" w:hanging="851"/>
      </w:pPr>
      <w:r>
        <w:t>However, the report also stated that: “The selection of appropriate noise and vibration limits is the responsibility of Camden Council, however, the above suggestions are considered a reasonable starting point”.</w:t>
      </w:r>
    </w:p>
    <w:p w:rsidR="00F9271C" w:rsidRDefault="00F9271C" w:rsidP="00E87C61">
      <w:pPr>
        <w:pStyle w:val="Heading2"/>
      </w:pPr>
      <w:bookmarkStart w:id="31" w:name="_Toc347496653"/>
      <w:r>
        <w:t>January 2013 Noise Survey</w:t>
      </w:r>
      <w:bookmarkEnd w:id="31"/>
    </w:p>
    <w:p w:rsidR="00F9271C" w:rsidRPr="00E87C61" w:rsidRDefault="00F9271C" w:rsidP="00E87C61">
      <w:pPr>
        <w:pStyle w:val="ListParagraph"/>
        <w:numPr>
          <w:ilvl w:val="1"/>
          <w:numId w:val="8"/>
        </w:numPr>
        <w:tabs>
          <w:tab w:val="left" w:pos="851"/>
        </w:tabs>
        <w:spacing w:after="240"/>
        <w:contextualSpacing w:val="0"/>
        <w:rPr>
          <w:vanish/>
        </w:rPr>
      </w:pPr>
    </w:p>
    <w:p w:rsidR="00F9271C" w:rsidRDefault="00F9271C" w:rsidP="00E87C61">
      <w:pPr>
        <w:pStyle w:val="BodyText"/>
        <w:numPr>
          <w:ilvl w:val="2"/>
          <w:numId w:val="8"/>
        </w:numPr>
        <w:ind w:left="851" w:hanging="851"/>
      </w:pPr>
      <w:r>
        <w:t xml:space="preserve">A summary of the internal noise survey results and comparison with BB93 internal level of 35 dB (see </w:t>
      </w:r>
      <w:r w:rsidRPr="00AE04E4">
        <w:rPr>
          <w:rStyle w:val="HighlightedtextChar"/>
        </w:rPr>
        <w:t xml:space="preserve">paragraph </w:t>
      </w:r>
      <w:r w:rsidRPr="00AE04E4">
        <w:rPr>
          <w:rStyle w:val="HighlightedtextChar"/>
        </w:rPr>
        <w:fldChar w:fldCharType="begin"/>
      </w:r>
      <w:r w:rsidRPr="00AE04E4">
        <w:rPr>
          <w:rStyle w:val="HighlightedtextChar"/>
        </w:rPr>
        <w:instrText xml:space="preserve"> REF _Ref346877433 \r \h </w:instrText>
      </w:r>
      <w:r w:rsidRPr="0031762F">
        <w:rPr>
          <w:b/>
          <w:color w:val="003366"/>
        </w:rPr>
      </w:r>
      <w:r w:rsidRPr="00AE04E4">
        <w:rPr>
          <w:rStyle w:val="HighlightedtextChar"/>
        </w:rPr>
        <w:fldChar w:fldCharType="separate"/>
      </w:r>
      <w:r>
        <w:rPr>
          <w:rStyle w:val="HighlightedtextChar"/>
        </w:rPr>
        <w:t>2.4.2</w:t>
      </w:r>
      <w:r w:rsidRPr="00AE04E4">
        <w:rPr>
          <w:rStyle w:val="HighlightedtextChar"/>
        </w:rPr>
        <w:fldChar w:fldCharType="end"/>
      </w:r>
      <w:r>
        <w:t xml:space="preserve">) is provided in </w:t>
      </w:r>
      <w:r w:rsidRPr="00E87C61">
        <w:rPr>
          <w:rStyle w:val="HighlightedtextChar"/>
        </w:rPr>
        <w:t>Table 4.1</w:t>
      </w:r>
      <w:r>
        <w:t xml:space="preserve">. When assessing noise of this nature, the frequency spectrum of the noise is important and the full noise survey results (provided in </w:t>
      </w:r>
      <w:r w:rsidRPr="00E87C61">
        <w:rPr>
          <w:rStyle w:val="HighlightedtextChar"/>
        </w:rPr>
        <w:t xml:space="preserve">Appendix </w:t>
      </w:r>
      <w:r>
        <w:rPr>
          <w:rStyle w:val="HighlightedtextChar"/>
        </w:rPr>
        <w:t>C</w:t>
      </w:r>
      <w:r>
        <w:t xml:space="preserve">), provide the measured octave band frequency spectra. These include the 3 dB correction described in </w:t>
      </w:r>
      <w:r w:rsidRPr="00D5746A">
        <w:rPr>
          <w:rStyle w:val="HighlightedtextChar"/>
        </w:rPr>
        <w:t xml:space="preserve">paragraph </w:t>
      </w:r>
      <w:r w:rsidRPr="00D5746A">
        <w:rPr>
          <w:rStyle w:val="HighlightedtextChar"/>
        </w:rPr>
        <w:fldChar w:fldCharType="begin"/>
      </w:r>
      <w:r w:rsidRPr="00D5746A">
        <w:rPr>
          <w:rStyle w:val="HighlightedtextChar"/>
        </w:rPr>
        <w:instrText xml:space="preserve"> REF _Ref346548825 \r \h </w:instrText>
      </w:r>
      <w:r w:rsidRPr="0031762F">
        <w:rPr>
          <w:b/>
          <w:color w:val="003366"/>
        </w:rPr>
      </w:r>
      <w:r w:rsidRPr="00D5746A">
        <w:rPr>
          <w:rStyle w:val="HighlightedtextChar"/>
        </w:rPr>
        <w:fldChar w:fldCharType="separate"/>
      </w:r>
      <w:r>
        <w:rPr>
          <w:rStyle w:val="HighlightedtextChar"/>
        </w:rPr>
        <w:t>3.5.10</w:t>
      </w:r>
      <w:r w:rsidRPr="00D5746A">
        <w:rPr>
          <w:rStyle w:val="HighlightedtextChar"/>
        </w:rPr>
        <w:fldChar w:fldCharType="end"/>
      </w:r>
      <w:r>
        <w:t>.</w:t>
      </w:r>
    </w:p>
    <w:p w:rsidR="00F9271C" w:rsidRDefault="00F9271C" w:rsidP="001E15C4">
      <w:pPr>
        <w:pStyle w:val="TableCaption"/>
      </w:pPr>
      <w:bookmarkStart w:id="32" w:name="_Toc347408721"/>
      <w:r>
        <w:t>Table 4.1: Results of the St Joseph’s Primary School Noise Survey</w:t>
      </w:r>
      <w:bookmarkEnd w:id="32"/>
    </w:p>
    <w:tbl>
      <w:tblPr>
        <w:tblW w:w="4503" w:type="pct"/>
        <w:tblInd w:w="959" w:type="dxa"/>
        <w:tblLook w:val="00A0"/>
      </w:tblPr>
      <w:tblGrid>
        <w:gridCol w:w="2929"/>
        <w:gridCol w:w="1750"/>
        <w:gridCol w:w="2127"/>
        <w:gridCol w:w="1559"/>
      </w:tblGrid>
      <w:tr w:rsidR="00F9271C" w:rsidRPr="009D7F1C" w:rsidTr="009E337F">
        <w:trPr>
          <w:trHeight w:val="255"/>
          <w:tblHeader/>
        </w:trPr>
        <w:tc>
          <w:tcPr>
            <w:tcW w:w="292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9271C" w:rsidRPr="009C6A8B" w:rsidRDefault="00F9271C" w:rsidP="009D7F1C">
            <w:pPr>
              <w:pStyle w:val="Tableheaders"/>
              <w:rPr>
                <w:lang w:eastAsia="en-GB"/>
              </w:rPr>
            </w:pPr>
            <w:r w:rsidRPr="009C6A8B">
              <w:rPr>
                <w:lang w:eastAsia="en-GB"/>
              </w:rPr>
              <w:t>Classroom</w:t>
            </w:r>
          </w:p>
        </w:tc>
        <w:tc>
          <w:tcPr>
            <w:tcW w:w="1750"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9D7F1C">
            <w:pPr>
              <w:pStyle w:val="Tableheaders"/>
              <w:rPr>
                <w:lang w:eastAsia="en-GB"/>
              </w:rPr>
            </w:pPr>
            <w:r w:rsidRPr="009C6A8B">
              <w:rPr>
                <w:lang w:eastAsia="en-GB"/>
              </w:rPr>
              <w:t>Internal L</w:t>
            </w:r>
            <w:r w:rsidRPr="009C6A8B">
              <w:rPr>
                <w:vertAlign w:val="subscript"/>
                <w:lang w:eastAsia="en-GB"/>
              </w:rPr>
              <w:t>Aeq,T</w:t>
            </w:r>
            <w:r w:rsidRPr="009C6A8B">
              <w:rPr>
                <w:lang w:eastAsia="en-GB"/>
              </w:rPr>
              <w:t xml:space="preserve"> (dB)</w:t>
            </w:r>
          </w:p>
        </w:tc>
        <w:tc>
          <w:tcPr>
            <w:tcW w:w="2127"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9D7F1C">
            <w:pPr>
              <w:pStyle w:val="Tableheaders"/>
              <w:rPr>
                <w:lang w:eastAsia="en-GB"/>
              </w:rPr>
            </w:pPr>
            <w:r w:rsidRPr="009C6A8B">
              <w:rPr>
                <w:lang w:eastAsia="en-GB"/>
              </w:rPr>
              <w:t>Difference to BB93 Recommendation (dB)</w:t>
            </w:r>
          </w:p>
        </w:tc>
        <w:tc>
          <w:tcPr>
            <w:tcW w:w="1559"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9D7F1C">
            <w:pPr>
              <w:pStyle w:val="Tableheaders"/>
              <w:rPr>
                <w:lang w:eastAsia="en-GB"/>
              </w:rPr>
            </w:pPr>
            <w:r w:rsidRPr="009C6A8B">
              <w:rPr>
                <w:lang w:eastAsia="en-GB"/>
              </w:rPr>
              <w:t>L</w:t>
            </w:r>
            <w:r w:rsidRPr="009C6A8B">
              <w:rPr>
                <w:vertAlign w:val="subscript"/>
                <w:lang w:eastAsia="en-GB"/>
              </w:rPr>
              <w:t>AFmax</w:t>
            </w:r>
            <w:r w:rsidRPr="009C6A8B">
              <w:rPr>
                <w:lang w:eastAsia="en-GB"/>
              </w:rPr>
              <w:t xml:space="preserve"> (dB)</w:t>
            </w:r>
          </w:p>
        </w:tc>
      </w:tr>
      <w:tr w:rsidR="00F9271C" w:rsidRPr="009D7F1C" w:rsidTr="005911F5">
        <w:trPr>
          <w:trHeight w:val="255"/>
        </w:trPr>
        <w:tc>
          <w:tcPr>
            <w:tcW w:w="2928" w:type="dxa"/>
            <w:tcBorders>
              <w:top w:val="nil"/>
              <w:left w:val="single" w:sz="4" w:space="0" w:color="auto"/>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Year 1 (2nd Break Time)</w:t>
            </w:r>
          </w:p>
        </w:tc>
        <w:tc>
          <w:tcPr>
            <w:tcW w:w="1750"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58</w:t>
            </w:r>
          </w:p>
        </w:tc>
        <w:tc>
          <w:tcPr>
            <w:tcW w:w="2127"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23</w:t>
            </w:r>
          </w:p>
        </w:tc>
        <w:tc>
          <w:tcPr>
            <w:tcW w:w="1559"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69</w:t>
            </w:r>
          </w:p>
        </w:tc>
      </w:tr>
      <w:tr w:rsidR="00F9271C" w:rsidRPr="009D7F1C" w:rsidTr="005911F5">
        <w:trPr>
          <w:trHeight w:val="270"/>
        </w:trPr>
        <w:tc>
          <w:tcPr>
            <w:tcW w:w="2928" w:type="dxa"/>
            <w:tcBorders>
              <w:top w:val="nil"/>
              <w:left w:val="single" w:sz="4" w:space="0" w:color="auto"/>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Year 2 (1</w:t>
            </w:r>
            <w:r w:rsidRPr="009C6A8B">
              <w:rPr>
                <w:szCs w:val="18"/>
                <w:vertAlign w:val="superscript"/>
                <w:lang w:eastAsia="en-GB"/>
              </w:rPr>
              <w:t>st</w:t>
            </w:r>
            <w:r w:rsidRPr="009C6A8B">
              <w:rPr>
                <w:szCs w:val="18"/>
                <w:lang w:eastAsia="en-GB"/>
              </w:rPr>
              <w:t xml:space="preserve"> Break Time)</w:t>
            </w:r>
          </w:p>
        </w:tc>
        <w:tc>
          <w:tcPr>
            <w:tcW w:w="1750"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61</w:t>
            </w:r>
          </w:p>
        </w:tc>
        <w:tc>
          <w:tcPr>
            <w:tcW w:w="2127"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26</w:t>
            </w:r>
          </w:p>
        </w:tc>
        <w:tc>
          <w:tcPr>
            <w:tcW w:w="1559"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75</w:t>
            </w:r>
          </w:p>
        </w:tc>
      </w:tr>
      <w:tr w:rsidR="00F9271C" w:rsidRPr="009D7F1C" w:rsidTr="005911F5">
        <w:trPr>
          <w:trHeight w:val="255"/>
        </w:trPr>
        <w:tc>
          <w:tcPr>
            <w:tcW w:w="2928" w:type="dxa"/>
            <w:tcBorders>
              <w:top w:val="nil"/>
              <w:left w:val="single" w:sz="4" w:space="0" w:color="auto"/>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Year 3 (Average)</w:t>
            </w:r>
          </w:p>
        </w:tc>
        <w:tc>
          <w:tcPr>
            <w:tcW w:w="1750"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57</w:t>
            </w:r>
          </w:p>
        </w:tc>
        <w:tc>
          <w:tcPr>
            <w:tcW w:w="2127"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22</w:t>
            </w:r>
          </w:p>
        </w:tc>
        <w:tc>
          <w:tcPr>
            <w:tcW w:w="1559"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70</w:t>
            </w:r>
          </w:p>
        </w:tc>
      </w:tr>
      <w:tr w:rsidR="00F9271C" w:rsidRPr="009D7F1C" w:rsidTr="005911F5">
        <w:trPr>
          <w:trHeight w:val="255"/>
        </w:trPr>
        <w:tc>
          <w:tcPr>
            <w:tcW w:w="2928" w:type="dxa"/>
            <w:tcBorders>
              <w:top w:val="nil"/>
              <w:left w:val="single" w:sz="4" w:space="0" w:color="auto"/>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Year 4 (Average)</w:t>
            </w:r>
          </w:p>
        </w:tc>
        <w:tc>
          <w:tcPr>
            <w:tcW w:w="1750"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54</w:t>
            </w:r>
          </w:p>
        </w:tc>
        <w:tc>
          <w:tcPr>
            <w:tcW w:w="2127"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19</w:t>
            </w:r>
          </w:p>
        </w:tc>
        <w:tc>
          <w:tcPr>
            <w:tcW w:w="1559" w:type="dxa"/>
            <w:tcBorders>
              <w:top w:val="nil"/>
              <w:left w:val="nil"/>
              <w:bottom w:val="single" w:sz="4" w:space="0" w:color="auto"/>
              <w:right w:val="single" w:sz="4" w:space="0" w:color="auto"/>
            </w:tcBorders>
            <w:noWrap/>
            <w:vAlign w:val="center"/>
          </w:tcPr>
          <w:p w:rsidR="00F9271C" w:rsidRPr="009C6A8B" w:rsidRDefault="00F9271C" w:rsidP="009D7F1C">
            <w:pPr>
              <w:pStyle w:val="Tabletext"/>
              <w:rPr>
                <w:lang w:eastAsia="en-GB"/>
              </w:rPr>
            </w:pPr>
            <w:r w:rsidRPr="009C6A8B">
              <w:rPr>
                <w:lang w:eastAsia="en-GB"/>
              </w:rPr>
              <w:t>71</w:t>
            </w:r>
          </w:p>
        </w:tc>
      </w:tr>
    </w:tbl>
    <w:p w:rsidR="00F9271C" w:rsidRDefault="00F9271C" w:rsidP="001E15C4">
      <w:pPr>
        <w:pStyle w:val="TableCaption"/>
      </w:pPr>
    </w:p>
    <w:p w:rsidR="00F9271C" w:rsidRDefault="00F9271C" w:rsidP="00E87C61">
      <w:pPr>
        <w:pStyle w:val="BodyText"/>
        <w:numPr>
          <w:ilvl w:val="2"/>
          <w:numId w:val="8"/>
        </w:numPr>
        <w:ind w:left="851" w:hanging="851"/>
      </w:pPr>
      <w:r>
        <w:t>The average has been calculated as the logarithmic average of the L</w:t>
      </w:r>
      <w:r>
        <w:rPr>
          <w:vertAlign w:val="subscript"/>
        </w:rPr>
        <w:t>Aeq,T</w:t>
      </w:r>
      <w:r>
        <w:t xml:space="preserve"> and L</w:t>
      </w:r>
      <w:r>
        <w:rPr>
          <w:vertAlign w:val="subscript"/>
        </w:rPr>
        <w:t>Zeq,T</w:t>
      </w:r>
      <w:r>
        <w:t xml:space="preserve"> (the tables in </w:t>
      </w:r>
      <w:r w:rsidRPr="00F63EFE">
        <w:rPr>
          <w:rStyle w:val="HighlightedtextChar"/>
        </w:rPr>
        <w:t xml:space="preserve">Appendix </w:t>
      </w:r>
      <w:r>
        <w:rPr>
          <w:rStyle w:val="HighlightedtextChar"/>
        </w:rPr>
        <w:t>C</w:t>
      </w:r>
      <w:r>
        <w:t>) and the arithmetic average of the L</w:t>
      </w:r>
      <w:r>
        <w:rPr>
          <w:vertAlign w:val="subscript"/>
        </w:rPr>
        <w:t>AFmax</w:t>
      </w:r>
      <w:r>
        <w:t>.</w:t>
      </w:r>
    </w:p>
    <w:p w:rsidR="00F9271C" w:rsidRDefault="00F9271C" w:rsidP="0061431F">
      <w:pPr>
        <w:pStyle w:val="BodyText"/>
        <w:numPr>
          <w:ilvl w:val="2"/>
          <w:numId w:val="8"/>
        </w:numPr>
        <w:ind w:left="851" w:hanging="851"/>
      </w:pPr>
      <w:r w:rsidRPr="004172F3">
        <w:rPr>
          <w:rStyle w:val="HighlightedtextChar"/>
        </w:rPr>
        <w:t>Table 4.2</w:t>
      </w:r>
      <w:r>
        <w:t xml:space="preserve"> provides the L</w:t>
      </w:r>
      <w:r>
        <w:rPr>
          <w:vertAlign w:val="subscript"/>
        </w:rPr>
        <w:t>Aeq,T</w:t>
      </w:r>
      <w:r>
        <w:t xml:space="preserve"> measured in the playground as free-field noise levels with the difference between the internal and external L</w:t>
      </w:r>
      <w:r>
        <w:rPr>
          <w:vertAlign w:val="subscript"/>
        </w:rPr>
        <w:t>Aeq,T</w:t>
      </w:r>
      <w:r>
        <w:t xml:space="preserve">. </w:t>
      </w:r>
    </w:p>
    <w:p w:rsidR="00F9271C" w:rsidRPr="001E15C4" w:rsidRDefault="00F9271C" w:rsidP="001E15C4">
      <w:pPr>
        <w:pStyle w:val="TableCaption"/>
      </w:pPr>
      <w:r w:rsidRPr="001E15C4">
        <w:t>Table 4.2: Free-Field Playground LAeq,T</w:t>
      </w:r>
    </w:p>
    <w:tbl>
      <w:tblPr>
        <w:tblW w:w="4500" w:type="pct"/>
        <w:tblInd w:w="959" w:type="dxa"/>
        <w:tblLook w:val="00A0"/>
      </w:tblPr>
      <w:tblGrid>
        <w:gridCol w:w="2600"/>
        <w:gridCol w:w="2144"/>
        <w:gridCol w:w="1687"/>
        <w:gridCol w:w="1928"/>
      </w:tblGrid>
      <w:tr w:rsidR="00F9271C" w:rsidRPr="0061431F" w:rsidTr="009E337F">
        <w:trPr>
          <w:trHeight w:val="360"/>
          <w:tblHeader/>
        </w:trPr>
        <w:tc>
          <w:tcPr>
            <w:tcW w:w="260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61431F">
            <w:pPr>
              <w:pStyle w:val="Tableheaders"/>
              <w:rPr>
                <w:lang w:eastAsia="en-GB"/>
              </w:rPr>
            </w:pPr>
            <w:r w:rsidRPr="009C6A8B">
              <w:rPr>
                <w:lang w:eastAsia="en-GB"/>
              </w:rPr>
              <w:t>Classroom of Internal Measurement</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61431F">
            <w:pPr>
              <w:pStyle w:val="Tableheaders"/>
              <w:rPr>
                <w:lang w:eastAsia="en-GB"/>
              </w:rPr>
            </w:pPr>
            <w:r w:rsidRPr="009C6A8B">
              <w:rPr>
                <w:lang w:eastAsia="en-GB"/>
              </w:rPr>
              <w:t>Start Time (hh:mm:ss)</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61431F">
            <w:pPr>
              <w:pStyle w:val="Tableheaders"/>
              <w:rPr>
                <w:lang w:eastAsia="en-GB"/>
              </w:rPr>
            </w:pPr>
            <w:r w:rsidRPr="009C6A8B">
              <w:rPr>
                <w:lang w:eastAsia="en-GB"/>
              </w:rPr>
              <w:t>External L</w:t>
            </w:r>
            <w:r w:rsidRPr="009C6A8B">
              <w:rPr>
                <w:vertAlign w:val="subscript"/>
                <w:lang w:eastAsia="en-GB"/>
              </w:rPr>
              <w:t>Aeq,T</w:t>
            </w:r>
            <w:r w:rsidRPr="009C6A8B">
              <w:rPr>
                <w:lang w:eastAsia="en-GB"/>
              </w:rPr>
              <w:t xml:space="preserve"> (dB)</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61431F">
            <w:pPr>
              <w:pStyle w:val="Tableheaders"/>
              <w:rPr>
                <w:lang w:eastAsia="en-GB"/>
              </w:rPr>
            </w:pPr>
            <w:r w:rsidRPr="009C6A8B">
              <w:rPr>
                <w:lang w:eastAsia="en-GB"/>
              </w:rPr>
              <w:t>Difference with Internal L</w:t>
            </w:r>
            <w:r w:rsidRPr="009C6A8B">
              <w:rPr>
                <w:vertAlign w:val="subscript"/>
                <w:lang w:eastAsia="en-GB"/>
              </w:rPr>
              <w:t>Aeq,T</w:t>
            </w:r>
            <w:r w:rsidRPr="009C6A8B">
              <w:rPr>
                <w:lang w:eastAsia="en-GB"/>
              </w:rPr>
              <w:t xml:space="preserve"> (dB)</w:t>
            </w:r>
          </w:p>
        </w:tc>
      </w:tr>
      <w:tr w:rsidR="00F9271C" w:rsidRPr="0061431F" w:rsidTr="0061431F">
        <w:trPr>
          <w:trHeight w:val="360"/>
        </w:trPr>
        <w:tc>
          <w:tcPr>
            <w:tcW w:w="260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61431F" w:rsidRDefault="00F9271C" w:rsidP="0061431F">
            <w:pPr>
              <w:rPr>
                <w:rFonts w:cs="Arial"/>
                <w:b/>
                <w:bCs/>
                <w:color w:val="000000"/>
                <w:lang w:eastAsia="en-GB"/>
              </w:rPr>
            </w:pPr>
          </w:p>
        </w:tc>
        <w:tc>
          <w:tcPr>
            <w:tcW w:w="2144"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61431F" w:rsidRDefault="00F9271C" w:rsidP="0061431F">
            <w:pPr>
              <w:rPr>
                <w:rFonts w:cs="Arial"/>
                <w:b/>
                <w:bCs/>
                <w:color w:val="000000"/>
                <w:lang w:eastAsia="en-GB"/>
              </w:rPr>
            </w:pPr>
          </w:p>
        </w:tc>
        <w:tc>
          <w:tcPr>
            <w:tcW w:w="1687"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61431F" w:rsidRDefault="00F9271C" w:rsidP="0061431F">
            <w:pPr>
              <w:rPr>
                <w:rFonts w:cs="Arial"/>
                <w:b/>
                <w:bCs/>
                <w:color w:val="000000"/>
                <w:lang w:eastAsia="en-GB"/>
              </w:rPr>
            </w:pPr>
          </w:p>
        </w:tc>
        <w:tc>
          <w:tcPr>
            <w:tcW w:w="192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61431F" w:rsidRDefault="00F9271C" w:rsidP="0061431F">
            <w:pPr>
              <w:rPr>
                <w:rFonts w:cs="Arial"/>
                <w:b/>
                <w:bCs/>
                <w:color w:val="000000"/>
                <w:lang w:eastAsia="en-GB"/>
              </w:rPr>
            </w:pPr>
          </w:p>
        </w:tc>
      </w:tr>
      <w:tr w:rsidR="00F9271C" w:rsidRPr="0061431F" w:rsidTr="0061431F">
        <w:trPr>
          <w:trHeight w:val="255"/>
        </w:trPr>
        <w:tc>
          <w:tcPr>
            <w:tcW w:w="2600" w:type="dxa"/>
            <w:tcBorders>
              <w:top w:val="nil"/>
              <w:left w:val="single" w:sz="4" w:space="0" w:color="auto"/>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Year 1</w:t>
            </w: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13:07:14</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79</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21</w:t>
            </w:r>
          </w:p>
        </w:tc>
      </w:tr>
      <w:tr w:rsidR="00F9271C" w:rsidRPr="0061431F" w:rsidTr="0061431F">
        <w:trPr>
          <w:trHeight w:val="255"/>
        </w:trPr>
        <w:tc>
          <w:tcPr>
            <w:tcW w:w="2600" w:type="dxa"/>
            <w:tcBorders>
              <w:top w:val="nil"/>
              <w:left w:val="single" w:sz="4" w:space="0" w:color="auto"/>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Year 2</w:t>
            </w: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11:11:50</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81</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20</w:t>
            </w:r>
          </w:p>
        </w:tc>
      </w:tr>
      <w:tr w:rsidR="00F9271C" w:rsidRPr="0061431F" w:rsidTr="0061431F">
        <w:trPr>
          <w:trHeight w:val="255"/>
        </w:trPr>
        <w:tc>
          <w:tcPr>
            <w:tcW w:w="2600" w:type="dxa"/>
            <w:vMerge w:val="restart"/>
            <w:tcBorders>
              <w:top w:val="nil"/>
              <w:left w:val="single" w:sz="4" w:space="0" w:color="auto"/>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Year 3</w:t>
            </w: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10:21:26</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69</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14</w:t>
            </w:r>
          </w:p>
        </w:tc>
      </w:tr>
      <w:tr w:rsidR="00F9271C" w:rsidRPr="0061431F" w:rsidTr="0061431F">
        <w:trPr>
          <w:trHeight w:val="255"/>
        </w:trPr>
        <w:tc>
          <w:tcPr>
            <w:tcW w:w="2600" w:type="dxa"/>
            <w:vMerge/>
            <w:tcBorders>
              <w:top w:val="nil"/>
              <w:left w:val="single" w:sz="4" w:space="0" w:color="auto"/>
              <w:bottom w:val="single" w:sz="4" w:space="0" w:color="auto"/>
              <w:right w:val="single" w:sz="4" w:space="0" w:color="auto"/>
            </w:tcBorders>
            <w:vAlign w:val="center"/>
          </w:tcPr>
          <w:p w:rsidR="00F9271C" w:rsidRPr="009C6A8B" w:rsidRDefault="00F9271C" w:rsidP="0061431F">
            <w:pPr>
              <w:pStyle w:val="Tabletext"/>
              <w:rPr>
                <w:lang w:eastAsia="en-GB"/>
              </w:rPr>
            </w:pP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12:31:44</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80</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23</w:t>
            </w:r>
          </w:p>
        </w:tc>
      </w:tr>
      <w:tr w:rsidR="00F9271C" w:rsidRPr="0061431F" w:rsidTr="0061431F">
        <w:trPr>
          <w:trHeight w:val="255"/>
        </w:trPr>
        <w:tc>
          <w:tcPr>
            <w:tcW w:w="2600" w:type="dxa"/>
            <w:vMerge/>
            <w:tcBorders>
              <w:top w:val="nil"/>
              <w:left w:val="single" w:sz="4" w:space="0" w:color="auto"/>
              <w:bottom w:val="single" w:sz="4" w:space="0" w:color="auto"/>
              <w:right w:val="single" w:sz="4" w:space="0" w:color="auto"/>
            </w:tcBorders>
            <w:vAlign w:val="center"/>
          </w:tcPr>
          <w:p w:rsidR="00F9271C" w:rsidRPr="009C6A8B" w:rsidRDefault="00F9271C" w:rsidP="0061431F">
            <w:pPr>
              <w:pStyle w:val="Tabletext"/>
              <w:rPr>
                <w:lang w:eastAsia="en-GB"/>
              </w:rPr>
            </w:pP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Average</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78</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18</w:t>
            </w:r>
          </w:p>
        </w:tc>
      </w:tr>
      <w:tr w:rsidR="00F9271C" w:rsidRPr="0061431F" w:rsidTr="0061431F">
        <w:trPr>
          <w:trHeight w:val="255"/>
        </w:trPr>
        <w:tc>
          <w:tcPr>
            <w:tcW w:w="2600" w:type="dxa"/>
            <w:vMerge w:val="restart"/>
            <w:tcBorders>
              <w:top w:val="nil"/>
              <w:left w:val="single" w:sz="4" w:space="0" w:color="auto"/>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Year 4</w:t>
            </w: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10:36:27</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67</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13</w:t>
            </w:r>
          </w:p>
        </w:tc>
      </w:tr>
      <w:tr w:rsidR="00F9271C" w:rsidRPr="0061431F" w:rsidTr="0061431F">
        <w:trPr>
          <w:trHeight w:val="255"/>
        </w:trPr>
        <w:tc>
          <w:tcPr>
            <w:tcW w:w="2600" w:type="dxa"/>
            <w:vMerge/>
            <w:tcBorders>
              <w:top w:val="nil"/>
              <w:left w:val="single" w:sz="4" w:space="0" w:color="auto"/>
              <w:bottom w:val="single" w:sz="4" w:space="0" w:color="auto"/>
              <w:right w:val="single" w:sz="4" w:space="0" w:color="auto"/>
            </w:tcBorders>
            <w:vAlign w:val="center"/>
          </w:tcPr>
          <w:p w:rsidR="00F9271C" w:rsidRPr="009C6A8B" w:rsidRDefault="00F9271C" w:rsidP="0061431F">
            <w:pPr>
              <w:pStyle w:val="Tabletext"/>
              <w:rPr>
                <w:lang w:eastAsia="en-GB"/>
              </w:rPr>
            </w:pP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12:40:11</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74</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21</w:t>
            </w:r>
          </w:p>
        </w:tc>
      </w:tr>
      <w:tr w:rsidR="00F9271C" w:rsidRPr="0061431F" w:rsidTr="0061431F">
        <w:trPr>
          <w:trHeight w:val="255"/>
        </w:trPr>
        <w:tc>
          <w:tcPr>
            <w:tcW w:w="2600" w:type="dxa"/>
            <w:vMerge/>
            <w:tcBorders>
              <w:top w:val="nil"/>
              <w:left w:val="single" w:sz="4" w:space="0" w:color="auto"/>
              <w:bottom w:val="single" w:sz="4" w:space="0" w:color="auto"/>
              <w:right w:val="single" w:sz="4" w:space="0" w:color="auto"/>
            </w:tcBorders>
            <w:vAlign w:val="center"/>
          </w:tcPr>
          <w:p w:rsidR="00F9271C" w:rsidRPr="009C6A8B" w:rsidRDefault="00F9271C" w:rsidP="0061431F">
            <w:pPr>
              <w:pStyle w:val="Tabletext"/>
              <w:rPr>
                <w:lang w:eastAsia="en-GB"/>
              </w:rPr>
            </w:pPr>
          </w:p>
        </w:tc>
        <w:tc>
          <w:tcPr>
            <w:tcW w:w="2144"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Average</w:t>
            </w:r>
          </w:p>
        </w:tc>
        <w:tc>
          <w:tcPr>
            <w:tcW w:w="1687" w:type="dxa"/>
            <w:tcBorders>
              <w:top w:val="nil"/>
              <w:left w:val="nil"/>
              <w:bottom w:val="single" w:sz="4" w:space="0" w:color="auto"/>
              <w:right w:val="single" w:sz="4" w:space="0" w:color="auto"/>
            </w:tcBorders>
            <w:noWrap/>
            <w:vAlign w:val="center"/>
          </w:tcPr>
          <w:p w:rsidR="00F9271C" w:rsidRPr="009C6A8B" w:rsidRDefault="00F9271C" w:rsidP="0061431F">
            <w:pPr>
              <w:pStyle w:val="Tabletext"/>
              <w:rPr>
                <w:lang w:eastAsia="en-GB"/>
              </w:rPr>
            </w:pPr>
            <w:r w:rsidRPr="009C6A8B">
              <w:rPr>
                <w:lang w:eastAsia="en-GB"/>
              </w:rPr>
              <w:t>72</w:t>
            </w:r>
          </w:p>
        </w:tc>
        <w:tc>
          <w:tcPr>
            <w:tcW w:w="1928" w:type="dxa"/>
            <w:tcBorders>
              <w:top w:val="nil"/>
              <w:left w:val="nil"/>
              <w:bottom w:val="single" w:sz="4" w:space="0" w:color="auto"/>
              <w:right w:val="single" w:sz="4" w:space="0" w:color="auto"/>
            </w:tcBorders>
            <w:noWrap/>
            <w:vAlign w:val="center"/>
          </w:tcPr>
          <w:p w:rsidR="00F9271C" w:rsidRPr="009C6A8B" w:rsidRDefault="00F9271C" w:rsidP="0061431F">
            <w:pPr>
              <w:pStyle w:val="Tabletext"/>
            </w:pPr>
            <w:r w:rsidRPr="009C6A8B">
              <w:t>17</w:t>
            </w:r>
          </w:p>
        </w:tc>
      </w:tr>
    </w:tbl>
    <w:p w:rsidR="00F9271C" w:rsidRDefault="00F9271C" w:rsidP="002616C5">
      <w:pPr>
        <w:pStyle w:val="Heading2"/>
      </w:pPr>
      <w:bookmarkStart w:id="33" w:name="_Toc347496654"/>
      <w:r>
        <w:t>Predicted Demolition and Site Preparation Noise Levels</w:t>
      </w:r>
      <w:bookmarkEnd w:id="33"/>
    </w:p>
    <w:p w:rsidR="00F9271C" w:rsidRPr="002616C5" w:rsidRDefault="00F9271C" w:rsidP="002616C5">
      <w:pPr>
        <w:pStyle w:val="ListParagraph"/>
        <w:numPr>
          <w:ilvl w:val="1"/>
          <w:numId w:val="8"/>
        </w:numPr>
        <w:tabs>
          <w:tab w:val="left" w:pos="851"/>
        </w:tabs>
        <w:spacing w:after="240"/>
        <w:contextualSpacing w:val="0"/>
        <w:rPr>
          <w:vanish/>
        </w:rPr>
      </w:pPr>
    </w:p>
    <w:p w:rsidR="00F9271C" w:rsidRPr="008B4E10" w:rsidRDefault="00F9271C" w:rsidP="008B4E10">
      <w:pPr>
        <w:pStyle w:val="Heading3nonumber"/>
      </w:pPr>
      <w:r>
        <w:t>Introduction</w:t>
      </w:r>
    </w:p>
    <w:p w:rsidR="00F9271C" w:rsidRDefault="00F9271C" w:rsidP="00C84E74">
      <w:pPr>
        <w:pStyle w:val="BodyText"/>
        <w:numPr>
          <w:ilvl w:val="2"/>
          <w:numId w:val="8"/>
        </w:numPr>
        <w:ind w:left="851" w:hanging="862"/>
        <w:rPr>
          <w:rStyle w:val="HighlightedtextChar"/>
          <w:b w:val="0"/>
          <w:color w:val="auto"/>
        </w:rPr>
      </w:pPr>
      <w:r>
        <w:rPr>
          <w:rStyle w:val="HighlightedtextChar"/>
          <w:b w:val="0"/>
          <w:color w:val="auto"/>
        </w:rPr>
        <w:t>A draft Outline Demolition Method Statement (MS) has been prepared by Keltbray. Whilst only in its draft stage it provides useful guidance for the programme of works. The demolition work is expected to last about two months.</w:t>
      </w:r>
    </w:p>
    <w:p w:rsidR="00F9271C" w:rsidRPr="008B4E10" w:rsidRDefault="00F9271C" w:rsidP="00C84E74">
      <w:pPr>
        <w:pStyle w:val="BodyText"/>
        <w:numPr>
          <w:ilvl w:val="2"/>
          <w:numId w:val="8"/>
        </w:numPr>
        <w:ind w:left="851" w:hanging="862"/>
        <w:rPr>
          <w:rStyle w:val="HighlightedtextChar"/>
          <w:b w:val="0"/>
          <w:color w:val="auto"/>
        </w:rPr>
      </w:pPr>
      <w:r>
        <w:rPr>
          <w:rStyle w:val="HighlightedtextChar"/>
          <w:b w:val="0"/>
          <w:color w:val="auto"/>
        </w:rPr>
        <w:t>In addition to the plant that will be used, the MS advises that, for safety reasons, deglazing will be undertaken by breaking the glass using a long scaffold tube. This should only be undertaken once the Envirowrap has been fitted. In addition, to reduce the noise levels, which can be alarming to occupants of nearby buildings, further mitigation in the form of absorptive drapes on the windows is recommended.</w:t>
      </w:r>
    </w:p>
    <w:p w:rsidR="00F9271C" w:rsidRPr="00CD6CDE" w:rsidRDefault="00F9271C" w:rsidP="00C84E74">
      <w:pPr>
        <w:pStyle w:val="BodyText"/>
        <w:numPr>
          <w:ilvl w:val="2"/>
          <w:numId w:val="8"/>
        </w:numPr>
        <w:ind w:left="851" w:hanging="862"/>
      </w:pPr>
      <w:r w:rsidRPr="00CD6CDE">
        <w:rPr>
          <w:rStyle w:val="HighlightedtextChar"/>
        </w:rPr>
        <w:t>Appendix D</w:t>
      </w:r>
      <w:r w:rsidRPr="00CD6CDE">
        <w:t xml:space="preserve"> provides a summary of the predicted demolition and site </w:t>
      </w:r>
      <w:r>
        <w:t>clearance</w:t>
      </w:r>
      <w:r w:rsidRPr="00CD6CDE">
        <w:t xml:space="preserve"> noise levels to four of the classrooms at St Joseph’s Primary School. </w:t>
      </w:r>
      <w:r w:rsidRPr="00BC6041">
        <w:t>The calculations take account of the reflection from hard surfaces of noise sources within 2m</w:t>
      </w:r>
      <w:r>
        <w:t xml:space="preserve"> of that surface by adding 3dB to the L</w:t>
      </w:r>
      <w:r w:rsidRPr="00BC6041">
        <w:rPr>
          <w:vertAlign w:val="subscript"/>
        </w:rPr>
        <w:t>Aeq</w:t>
      </w:r>
      <w:r w:rsidRPr="00BC6041">
        <w:t>.</w:t>
      </w:r>
    </w:p>
    <w:p w:rsidR="00F9271C" w:rsidRPr="00CD6CDE" w:rsidRDefault="00F9271C" w:rsidP="00192D7C">
      <w:pPr>
        <w:pStyle w:val="Heading3nonumber"/>
      </w:pPr>
      <w:r w:rsidRPr="00CD6CDE">
        <w:t>No Mitigation</w:t>
      </w:r>
    </w:p>
    <w:p w:rsidR="00F9271C" w:rsidRPr="00CD6CDE" w:rsidRDefault="00F9271C" w:rsidP="00101A80">
      <w:pPr>
        <w:pStyle w:val="BodyText"/>
        <w:numPr>
          <w:ilvl w:val="2"/>
          <w:numId w:val="8"/>
        </w:numPr>
        <w:ind w:left="851" w:hanging="862"/>
      </w:pPr>
      <w:r w:rsidRPr="00BC6041">
        <w:rPr>
          <w:rStyle w:val="HighlightedtextChar"/>
        </w:rPr>
        <w:t xml:space="preserve">Figures </w:t>
      </w:r>
      <w:r>
        <w:rPr>
          <w:rStyle w:val="HighlightedtextChar"/>
        </w:rPr>
        <w:t>2</w:t>
      </w:r>
      <w:r w:rsidRPr="00BC6041">
        <w:rPr>
          <w:rStyle w:val="HighlightedtextChar"/>
        </w:rPr>
        <w:t xml:space="preserve"> to </w:t>
      </w:r>
      <w:r>
        <w:rPr>
          <w:rStyle w:val="HighlightedtextChar"/>
        </w:rPr>
        <w:t>5</w:t>
      </w:r>
      <w:r w:rsidRPr="00BC6041">
        <w:t xml:space="preserve"> show the freefield noise levels resulting from the plant and equipment in use for the demolition at each floor and for site clearance, </w:t>
      </w:r>
    </w:p>
    <w:p w:rsidR="00F9271C" w:rsidRPr="00CD6CDE" w:rsidRDefault="00F9271C" w:rsidP="00A66B71">
      <w:pPr>
        <w:pStyle w:val="BodyText"/>
        <w:numPr>
          <w:ilvl w:val="2"/>
          <w:numId w:val="8"/>
        </w:numPr>
        <w:ind w:left="851" w:hanging="851"/>
      </w:pPr>
      <w:r w:rsidRPr="00BC6041">
        <w:rPr>
          <w:rStyle w:val="HighlightedtextChar"/>
        </w:rPr>
        <w:t>Table D.1</w:t>
      </w:r>
      <w:r w:rsidRPr="00BC6041">
        <w:t xml:space="preserve"> and </w:t>
      </w:r>
      <w:r w:rsidRPr="00BC6041">
        <w:rPr>
          <w:rStyle w:val="HighlightedtextChar"/>
        </w:rPr>
        <w:t xml:space="preserve">Figures </w:t>
      </w:r>
      <w:r>
        <w:rPr>
          <w:rStyle w:val="HighlightedtextChar"/>
        </w:rPr>
        <w:t>2</w:t>
      </w:r>
      <w:r w:rsidRPr="00BC6041">
        <w:rPr>
          <w:rStyle w:val="HighlightedtextChar"/>
        </w:rPr>
        <w:t xml:space="preserve"> to </w:t>
      </w:r>
      <w:r>
        <w:rPr>
          <w:rStyle w:val="HighlightedtextChar"/>
        </w:rPr>
        <w:t>5</w:t>
      </w:r>
      <w:r w:rsidRPr="00BC6041">
        <w:t xml:space="preserve"> show that without mitigation the increase in the existing internal noise levels during demolition works is unacceptable in all the classrooms.</w:t>
      </w:r>
      <w:r w:rsidRPr="00CD6CDE">
        <w:t xml:space="preserve"> However, site clearance works are shown to be acceptable.</w:t>
      </w:r>
    </w:p>
    <w:p w:rsidR="00F9271C" w:rsidRDefault="00F9271C" w:rsidP="00192D7C">
      <w:pPr>
        <w:pStyle w:val="Heading3nonumber"/>
      </w:pPr>
      <w:r>
        <w:t>With Envirowrap</w:t>
      </w:r>
    </w:p>
    <w:p w:rsidR="00F9271C" w:rsidRDefault="00F9271C" w:rsidP="00C84E74">
      <w:pPr>
        <w:pStyle w:val="BodyText"/>
        <w:numPr>
          <w:ilvl w:val="2"/>
          <w:numId w:val="8"/>
        </w:numPr>
        <w:ind w:left="851" w:hanging="862"/>
      </w:pPr>
      <w:r w:rsidRPr="006E6264">
        <w:rPr>
          <w:rStyle w:val="HighlightedtextChar"/>
        </w:rPr>
        <w:t>Table D.2</w:t>
      </w:r>
      <w:r>
        <w:t xml:space="preserve"> shows that, if the proposed Envirowrap is used around the scaffolding, the noise levels when children are in the playground will not be exceeded, except when the demolition works have reached the first floor when there is a 1 dB (and therefore insignificant) increase in noise level on the second and third floors of the school.</w:t>
      </w:r>
    </w:p>
    <w:p w:rsidR="00F9271C" w:rsidRDefault="00F9271C" w:rsidP="00C84E74">
      <w:pPr>
        <w:pStyle w:val="BodyText"/>
        <w:numPr>
          <w:ilvl w:val="2"/>
          <w:numId w:val="8"/>
        </w:numPr>
        <w:ind w:left="851" w:hanging="862"/>
      </w:pPr>
      <w:r>
        <w:t>However, when children are not using the playground:</w:t>
      </w:r>
    </w:p>
    <w:p w:rsidR="00F9271C" w:rsidRDefault="00F9271C" w:rsidP="007F61DB">
      <w:pPr>
        <w:pStyle w:val="Bullets"/>
        <w:numPr>
          <w:ilvl w:val="0"/>
          <w:numId w:val="4"/>
        </w:numPr>
        <w:tabs>
          <w:tab w:val="clear" w:pos="357"/>
          <w:tab w:val="num" w:pos="1276"/>
        </w:tabs>
        <w:ind w:left="1276"/>
      </w:pPr>
      <w:r>
        <w:t>A significant increase in the internal noise levels (up to 6 dB) is predicted at all floors of the school when the demolition works have reached the first floor,</w:t>
      </w:r>
    </w:p>
    <w:p w:rsidR="00F9271C" w:rsidRDefault="00F9271C" w:rsidP="007F61DB">
      <w:pPr>
        <w:pStyle w:val="Bullets"/>
        <w:numPr>
          <w:ilvl w:val="0"/>
          <w:numId w:val="4"/>
        </w:numPr>
        <w:tabs>
          <w:tab w:val="clear" w:pos="357"/>
          <w:tab w:val="num" w:pos="1276"/>
        </w:tabs>
        <w:ind w:left="1276"/>
      </w:pPr>
      <w:r>
        <w:t>An insignificant increase in the internal noise levels (up to 2 dB) is predicted at all floors when the demolition works have reached the ground floor,</w:t>
      </w:r>
    </w:p>
    <w:p w:rsidR="00F9271C" w:rsidRDefault="00F9271C" w:rsidP="007F61DB">
      <w:pPr>
        <w:pStyle w:val="Bullets"/>
        <w:numPr>
          <w:ilvl w:val="0"/>
          <w:numId w:val="4"/>
        </w:numPr>
        <w:tabs>
          <w:tab w:val="clear" w:pos="357"/>
          <w:tab w:val="num" w:pos="1276"/>
        </w:tabs>
        <w:ind w:left="1276"/>
      </w:pPr>
      <w:r>
        <w:t>An insignificant increase in the internal noise levels (up to 1 dB) is predicted on the fourth floor of the school when the demolition works are on the upper floors.</w:t>
      </w:r>
    </w:p>
    <w:p w:rsidR="00F9271C" w:rsidRDefault="00F9271C" w:rsidP="00C84E74">
      <w:pPr>
        <w:pStyle w:val="BodyText"/>
        <w:numPr>
          <w:ilvl w:val="2"/>
          <w:numId w:val="8"/>
        </w:numPr>
        <w:ind w:left="851" w:hanging="862"/>
      </w:pPr>
      <w:r>
        <w:t xml:space="preserve"> No other stages of the works are predicted to increase the internal noise levels at the school.</w:t>
      </w:r>
    </w:p>
    <w:p w:rsidR="00F9271C" w:rsidRDefault="00F9271C" w:rsidP="007F61DB">
      <w:pPr>
        <w:pStyle w:val="Heading3nonumber"/>
      </w:pPr>
      <w:r>
        <w:t>With Envirowrap and Temporary Barriers</w:t>
      </w:r>
    </w:p>
    <w:p w:rsidR="00F9271C" w:rsidRDefault="00F9271C" w:rsidP="00C84E74">
      <w:pPr>
        <w:pStyle w:val="BodyText"/>
        <w:numPr>
          <w:ilvl w:val="2"/>
          <w:numId w:val="8"/>
        </w:numPr>
        <w:ind w:left="851" w:hanging="862"/>
      </w:pPr>
      <w:r>
        <w:t xml:space="preserve">The best method of reducing construction noise further will be to choose the quietest methods or plant available. </w:t>
      </w:r>
    </w:p>
    <w:p w:rsidR="00F9271C" w:rsidRDefault="00F9271C" w:rsidP="00C84E74">
      <w:pPr>
        <w:pStyle w:val="BodyText"/>
        <w:numPr>
          <w:ilvl w:val="2"/>
          <w:numId w:val="8"/>
        </w:numPr>
        <w:ind w:left="851" w:hanging="862"/>
      </w:pPr>
      <w:r>
        <w:t>For example, the noise modelling results demonstrate that the hand held hammers and excavator with bucket are the most dominant sources of noise to the school. For items such as the hammer which may not have alternatives, temporary barriers at the perimeter of the works can be used.</w:t>
      </w:r>
    </w:p>
    <w:p w:rsidR="00F9271C" w:rsidRDefault="00F9271C" w:rsidP="00C84E74">
      <w:pPr>
        <w:pStyle w:val="BodyText"/>
        <w:numPr>
          <w:ilvl w:val="2"/>
          <w:numId w:val="8"/>
        </w:numPr>
        <w:ind w:left="851" w:hanging="862"/>
      </w:pPr>
      <w:r>
        <w:t xml:space="preserve">Only the demolition scenarios with a significant increase in internal noise level due to the works have been analysed in more detail with regard to the effectiveness of temporary barriers. It has been assumed that the barriers are located as shown in </w:t>
      </w:r>
      <w:r w:rsidRPr="00B95EFE">
        <w:rPr>
          <w:rStyle w:val="HighlightedtextChar"/>
        </w:rPr>
        <w:t xml:space="preserve">Figure </w:t>
      </w:r>
      <w:r>
        <w:rPr>
          <w:rStyle w:val="HighlightedtextChar"/>
        </w:rPr>
        <w:t>1</w:t>
      </w:r>
      <w:r>
        <w:t>.</w:t>
      </w:r>
    </w:p>
    <w:p w:rsidR="00F9271C" w:rsidRDefault="00F9271C" w:rsidP="00C84E74">
      <w:pPr>
        <w:pStyle w:val="BodyText"/>
        <w:numPr>
          <w:ilvl w:val="2"/>
          <w:numId w:val="8"/>
        </w:numPr>
        <w:ind w:left="851" w:hanging="862"/>
      </w:pPr>
      <w:r w:rsidRPr="00B95EFE">
        <w:rPr>
          <w:rStyle w:val="HighlightedtextChar"/>
        </w:rPr>
        <w:t>Table D.3</w:t>
      </w:r>
      <w:r>
        <w:t xml:space="preserve"> shows that if temporary barriers are used the increase in noise level when the playground is not in use becomes insignificant when the demolition works have reached the first floor except in the Year 4 classroom which shows an increase of up to 4 dB.</w:t>
      </w:r>
    </w:p>
    <w:p w:rsidR="00F9271C" w:rsidRDefault="00F9271C" w:rsidP="00C84E74">
      <w:pPr>
        <w:pStyle w:val="BodyText"/>
        <w:numPr>
          <w:ilvl w:val="2"/>
          <w:numId w:val="8"/>
        </w:numPr>
        <w:ind w:left="851" w:hanging="862"/>
      </w:pPr>
      <w:r>
        <w:t>It is therefore advised that the use of hand held hammers is limited to the equivalent of only one at a time in the northern most block of Parker House when the demolition reaches the first floor level. This reduces the increase in noise level to 3 dB which is considered to be not significant. Alternative solutions could be considered within the same parameters.</w:t>
      </w:r>
    </w:p>
    <w:p w:rsidR="00F9271C" w:rsidRDefault="00F9271C" w:rsidP="00623A16">
      <w:pPr>
        <w:pStyle w:val="Heading3nonumber"/>
      </w:pPr>
      <w:r>
        <w:t>Comparison with previously proposed  Demolition Noise Limits</w:t>
      </w:r>
    </w:p>
    <w:p w:rsidR="00F9271C" w:rsidRDefault="00F9271C" w:rsidP="00C84E74">
      <w:pPr>
        <w:pStyle w:val="BodyText"/>
        <w:numPr>
          <w:ilvl w:val="2"/>
          <w:numId w:val="8"/>
        </w:numPr>
        <w:ind w:left="851" w:hanging="862"/>
      </w:pPr>
      <w:r>
        <w:t>The PBA Nov 12 report used the ‘ABC Method’ outlined in BS 5228-1:2009 to  offer a construction noise limit of 70 dB to residents. It was acknowledged in this report that “it may be appropriate to adopt a lower limit to protect the teaching environment at the school during the construction works”.</w:t>
      </w:r>
    </w:p>
    <w:p w:rsidR="00F9271C" w:rsidRDefault="00F9271C" w:rsidP="00BC6041">
      <w:pPr>
        <w:pStyle w:val="BodyText"/>
        <w:numPr>
          <w:ilvl w:val="2"/>
          <w:numId w:val="8"/>
        </w:numPr>
        <w:ind w:left="851" w:hanging="862"/>
      </w:pPr>
      <w:r>
        <w:t xml:space="preserve">The mitigated construction noise levels are below 70 dB externally to the façade of the building. </w:t>
      </w:r>
    </w:p>
    <w:p w:rsidR="00F9271C" w:rsidRDefault="00F9271C" w:rsidP="00BC6041">
      <w:pPr>
        <w:pStyle w:val="BodyText"/>
        <w:numPr>
          <w:ilvl w:val="2"/>
          <w:numId w:val="8"/>
        </w:numPr>
        <w:ind w:left="851" w:hanging="862"/>
      </w:pPr>
      <w:r>
        <w:t xml:space="preserve">BS 5228-1:2009 also suggests that </w:t>
      </w:r>
    </w:p>
    <w:p w:rsidR="00F9271C" w:rsidRPr="00BC6041" w:rsidRDefault="00F9271C" w:rsidP="00933827">
      <w:pPr>
        <w:autoSpaceDE w:val="0"/>
        <w:autoSpaceDN w:val="0"/>
        <w:adjustRightInd w:val="0"/>
        <w:ind w:left="851"/>
        <w:rPr>
          <w:rFonts w:ascii="Frutiger-Roman" w:hAnsi="Frutiger-Roman" w:cs="Frutiger-Roman"/>
          <w:i/>
          <w:lang w:eastAsia="en-GB"/>
        </w:rPr>
      </w:pPr>
      <w:r w:rsidRPr="00BC6041">
        <w:rPr>
          <w:i/>
        </w:rPr>
        <w:t>“</w:t>
      </w:r>
      <w:r w:rsidRPr="00BC6041">
        <w:rPr>
          <w:rFonts w:ascii="Frutiger-Roman" w:hAnsi="Frutiger-Roman" w:cs="Frutiger-Roman"/>
          <w:i/>
          <w:lang w:eastAsia="en-GB"/>
        </w:rPr>
        <w:t>Noise levels generated by construction activities are deemed to be significant if the total noise (pre-construction ambient plus construction noise) exceeds the pre-construction ambient noise by 5 dB or more, subject to lower cut-off values of 65 dB, 55 dB and 45 dB L</w:t>
      </w:r>
      <w:r w:rsidRPr="00BC6041">
        <w:rPr>
          <w:rFonts w:ascii="Frutiger-Roman" w:hAnsi="Frutiger-Roman" w:cs="Frutiger-Roman"/>
          <w:i/>
          <w:sz w:val="12"/>
          <w:szCs w:val="12"/>
          <w:lang w:eastAsia="en-GB"/>
        </w:rPr>
        <w:t>Aeq, Period</w:t>
      </w:r>
      <w:r w:rsidRPr="00BC6041">
        <w:rPr>
          <w:rFonts w:ascii="Frutiger-Roman" w:hAnsi="Frutiger-Roman" w:cs="Frutiger-Roman"/>
          <w:i/>
          <w:lang w:eastAsia="en-GB"/>
        </w:rPr>
        <w:t>, from construction noise alone, for the daytime, evening and night-time periods, respectively; and a duration of one month or more, unless works of a shorter duration are likely to result in significant impact.”</w:t>
      </w:r>
    </w:p>
    <w:p w:rsidR="00F9271C" w:rsidRPr="00933827" w:rsidRDefault="00F9271C" w:rsidP="00933827">
      <w:pPr>
        <w:autoSpaceDE w:val="0"/>
        <w:autoSpaceDN w:val="0"/>
        <w:adjustRightInd w:val="0"/>
        <w:ind w:left="851"/>
        <w:rPr>
          <w:rFonts w:ascii="Frutiger-Roman" w:hAnsi="Frutiger-Roman" w:cs="Frutiger-Roman"/>
          <w:lang w:eastAsia="en-GB"/>
        </w:rPr>
      </w:pPr>
    </w:p>
    <w:p w:rsidR="00F9271C" w:rsidRDefault="00F9271C" w:rsidP="00C84E74">
      <w:pPr>
        <w:pStyle w:val="BodyText"/>
        <w:numPr>
          <w:ilvl w:val="2"/>
          <w:numId w:val="8"/>
        </w:numPr>
        <w:ind w:left="851" w:hanging="862"/>
      </w:pPr>
      <w:r>
        <w:t>It also advises that this is a suitable basis for assessment of construction noise to “buildings in educational use”.</w:t>
      </w:r>
    </w:p>
    <w:p w:rsidR="00F9271C" w:rsidRDefault="00F9271C" w:rsidP="00C84E74">
      <w:pPr>
        <w:pStyle w:val="BodyText"/>
        <w:numPr>
          <w:ilvl w:val="2"/>
          <w:numId w:val="8"/>
        </w:numPr>
        <w:ind w:left="851" w:hanging="862"/>
      </w:pPr>
      <w:r>
        <w:t xml:space="preserve">It can therefore be seen that our proposed criteria (where 3 dB is considered to be a significant increase in noise level) is more stringent than that suggested by BS 5228-1:2009. </w:t>
      </w:r>
    </w:p>
    <w:p w:rsidR="00F9271C" w:rsidRDefault="00F9271C" w:rsidP="00C84E74">
      <w:pPr>
        <w:pStyle w:val="BodyText"/>
      </w:pPr>
    </w:p>
    <w:p w:rsidR="00F9271C" w:rsidRDefault="00F9271C">
      <w:pPr>
        <w:rPr>
          <w:rFonts w:cs="Arial"/>
          <w:b/>
          <w:bCs/>
          <w:color w:val="003366"/>
          <w:kern w:val="32"/>
          <w:sz w:val="28"/>
          <w:szCs w:val="32"/>
        </w:rPr>
      </w:pPr>
      <w:r>
        <w:br w:type="page"/>
      </w:r>
    </w:p>
    <w:p w:rsidR="00F9271C" w:rsidRDefault="00F9271C" w:rsidP="00C84E74">
      <w:pPr>
        <w:pStyle w:val="Heading1"/>
      </w:pPr>
      <w:bookmarkStart w:id="34" w:name="_Toc347496655"/>
      <w:r>
        <w:t>Mitigation Measures</w:t>
      </w:r>
      <w:bookmarkEnd w:id="34"/>
    </w:p>
    <w:p w:rsidR="00F9271C" w:rsidRDefault="00F9271C" w:rsidP="00C84E74">
      <w:pPr>
        <w:pStyle w:val="Heading2"/>
      </w:pPr>
      <w:bookmarkStart w:id="35" w:name="_Toc347496656"/>
      <w:r>
        <w:t>Demolition and Construction Noise and Vibration</w:t>
      </w:r>
      <w:bookmarkEnd w:id="35"/>
    </w:p>
    <w:p w:rsidR="00F9271C" w:rsidRPr="00C84E74" w:rsidRDefault="00F9271C" w:rsidP="00C84E74">
      <w:pPr>
        <w:pStyle w:val="ListParagraph"/>
        <w:numPr>
          <w:ilvl w:val="0"/>
          <w:numId w:val="8"/>
        </w:numPr>
        <w:tabs>
          <w:tab w:val="left" w:pos="851"/>
        </w:tabs>
        <w:spacing w:after="240"/>
        <w:contextualSpacing w:val="0"/>
        <w:rPr>
          <w:vanish/>
        </w:rPr>
      </w:pPr>
    </w:p>
    <w:p w:rsidR="00F9271C" w:rsidRPr="00C84E74" w:rsidRDefault="00F9271C" w:rsidP="00C84E74">
      <w:pPr>
        <w:pStyle w:val="ListParagraph"/>
        <w:numPr>
          <w:ilvl w:val="1"/>
          <w:numId w:val="8"/>
        </w:numPr>
        <w:tabs>
          <w:tab w:val="left" w:pos="851"/>
        </w:tabs>
        <w:spacing w:after="240"/>
        <w:contextualSpacing w:val="0"/>
        <w:rPr>
          <w:vanish/>
        </w:rPr>
      </w:pPr>
    </w:p>
    <w:p w:rsidR="00F9271C" w:rsidRDefault="00F9271C" w:rsidP="00FF0462">
      <w:pPr>
        <w:pStyle w:val="BodyText"/>
        <w:numPr>
          <w:ilvl w:val="2"/>
          <w:numId w:val="8"/>
        </w:numPr>
        <w:ind w:left="851" w:hanging="851"/>
      </w:pPr>
      <w:r>
        <w:t>The mitigation measures outlined in the PBA Nov 12 report should be implemented. The measures advised were:</w:t>
      </w:r>
    </w:p>
    <w:p w:rsidR="00F9271C" w:rsidRPr="00102911" w:rsidRDefault="00F9271C" w:rsidP="00922289">
      <w:pPr>
        <w:pStyle w:val="Bullets"/>
        <w:numPr>
          <w:ilvl w:val="0"/>
          <w:numId w:val="4"/>
        </w:numPr>
        <w:tabs>
          <w:tab w:val="clear" w:pos="357"/>
          <w:tab w:val="left" w:pos="1276"/>
          <w:tab w:val="num" w:pos="1560"/>
        </w:tabs>
        <w:ind w:left="1276"/>
      </w:pPr>
      <w:r>
        <w:t>Where appropriate, erect a</w:t>
      </w:r>
      <w:r w:rsidRPr="00102911">
        <w:t xml:space="preserve"> hoarding around the entire perimeter of </w:t>
      </w:r>
      <w:r>
        <w:t xml:space="preserve">the site </w:t>
      </w:r>
      <w:r w:rsidRPr="00102911">
        <w:t>to screen noise from low level sources and/or street level receptors;</w:t>
      </w:r>
    </w:p>
    <w:p w:rsidR="00F9271C" w:rsidRDefault="00F9271C" w:rsidP="00922289">
      <w:pPr>
        <w:pStyle w:val="Bullets"/>
        <w:numPr>
          <w:ilvl w:val="0"/>
          <w:numId w:val="4"/>
        </w:numPr>
        <w:tabs>
          <w:tab w:val="clear" w:pos="357"/>
          <w:tab w:val="left" w:pos="1276"/>
          <w:tab w:val="num" w:pos="1560"/>
        </w:tabs>
        <w:ind w:left="1276"/>
      </w:pPr>
      <w:r>
        <w:t>C</w:t>
      </w:r>
      <w:r w:rsidRPr="005C47E4">
        <w:t>ontrol off-site parking of construction traffic on the public highway</w:t>
      </w:r>
      <w:r>
        <w:t>;</w:t>
      </w:r>
    </w:p>
    <w:p w:rsidR="00F9271C" w:rsidRDefault="00F9271C" w:rsidP="00922289">
      <w:pPr>
        <w:pStyle w:val="Bullets"/>
        <w:numPr>
          <w:ilvl w:val="0"/>
          <w:numId w:val="4"/>
        </w:numPr>
        <w:tabs>
          <w:tab w:val="clear" w:pos="357"/>
          <w:tab w:val="left" w:pos="1276"/>
          <w:tab w:val="num" w:pos="1560"/>
        </w:tabs>
        <w:ind w:left="1276"/>
      </w:pPr>
      <w:r>
        <w:t>I</w:t>
      </w:r>
      <w:r w:rsidRPr="005C47E4">
        <w:t xml:space="preserve">mplement a traffic management system at </w:t>
      </w:r>
      <w:r>
        <w:t>the site entrance</w:t>
      </w:r>
      <w:r w:rsidRPr="005C47E4">
        <w:t xml:space="preserve"> to control traffic </w:t>
      </w:r>
      <w:r>
        <w:t xml:space="preserve">movements </w:t>
      </w:r>
      <w:r w:rsidRPr="005C47E4">
        <w:t xml:space="preserve">into </w:t>
      </w:r>
      <w:r>
        <w:t xml:space="preserve">and out of </w:t>
      </w:r>
      <w:r w:rsidRPr="005C47E4">
        <w:t>the site</w:t>
      </w:r>
      <w:r>
        <w:t>;</w:t>
      </w:r>
    </w:p>
    <w:p w:rsidR="00F9271C" w:rsidRDefault="00F9271C" w:rsidP="00922289">
      <w:pPr>
        <w:pStyle w:val="Bullets"/>
        <w:numPr>
          <w:ilvl w:val="0"/>
          <w:numId w:val="4"/>
        </w:numPr>
        <w:tabs>
          <w:tab w:val="clear" w:pos="357"/>
          <w:tab w:val="left" w:pos="1276"/>
          <w:tab w:val="num" w:pos="1560"/>
        </w:tabs>
        <w:ind w:left="1276"/>
      </w:pPr>
      <w:r>
        <w:t>M</w:t>
      </w:r>
      <w:r w:rsidRPr="005C47E4">
        <w:t>inimis</w:t>
      </w:r>
      <w:r>
        <w:t>e</w:t>
      </w:r>
      <w:r w:rsidRPr="005C47E4">
        <w:t xml:space="preserve"> disturbance from reversing bleepers through measures such as site layout, provision of screening or use of broadband sound emitting reversing alarms</w:t>
      </w:r>
      <w:r>
        <w:t>;</w:t>
      </w:r>
    </w:p>
    <w:p w:rsidR="00F9271C" w:rsidRPr="00102911" w:rsidRDefault="00F9271C" w:rsidP="00922289">
      <w:pPr>
        <w:pStyle w:val="Bullets"/>
        <w:numPr>
          <w:ilvl w:val="0"/>
          <w:numId w:val="4"/>
        </w:numPr>
        <w:tabs>
          <w:tab w:val="clear" w:pos="357"/>
          <w:tab w:val="left" w:pos="1276"/>
          <w:tab w:val="num" w:pos="1560"/>
        </w:tabs>
        <w:ind w:left="1276"/>
      </w:pPr>
      <w:r>
        <w:t xml:space="preserve">Use of </w:t>
      </w:r>
      <w:r w:rsidRPr="00102911">
        <w:t xml:space="preserve">‘silenced’ plant and equipment </w:t>
      </w:r>
      <w:r>
        <w:t>where</w:t>
      </w:r>
      <w:r w:rsidRPr="00102911">
        <w:t xml:space="preserve"> possible;</w:t>
      </w:r>
    </w:p>
    <w:p w:rsidR="00F9271C" w:rsidRPr="00102911" w:rsidRDefault="00F9271C" w:rsidP="00922289">
      <w:pPr>
        <w:pStyle w:val="Bullets"/>
        <w:numPr>
          <w:ilvl w:val="0"/>
          <w:numId w:val="4"/>
        </w:numPr>
        <w:tabs>
          <w:tab w:val="clear" w:pos="357"/>
          <w:tab w:val="left" w:pos="1276"/>
          <w:tab w:val="num" w:pos="1560"/>
        </w:tabs>
        <w:ind w:left="1276"/>
      </w:pPr>
      <w:r>
        <w:t xml:space="preserve">Switch off </w:t>
      </w:r>
      <w:r w:rsidRPr="00102911">
        <w:t xml:space="preserve">vehicle engines where </w:t>
      </w:r>
      <w:r>
        <w:t xml:space="preserve">they </w:t>
      </w:r>
      <w:r w:rsidRPr="00102911">
        <w:t>are standing for a significant period of time;</w:t>
      </w:r>
    </w:p>
    <w:p w:rsidR="00F9271C" w:rsidRPr="00102911" w:rsidRDefault="00F9271C" w:rsidP="00922289">
      <w:pPr>
        <w:pStyle w:val="Bullets"/>
        <w:numPr>
          <w:ilvl w:val="0"/>
          <w:numId w:val="4"/>
        </w:numPr>
        <w:tabs>
          <w:tab w:val="clear" w:pos="357"/>
          <w:tab w:val="left" w:pos="1276"/>
          <w:tab w:val="num" w:pos="1560"/>
        </w:tabs>
        <w:ind w:left="1276"/>
      </w:pPr>
      <w:r>
        <w:t xml:space="preserve">Operate </w:t>
      </w:r>
      <w:r w:rsidRPr="00102911">
        <w:t>plant at low speeds where possible and incorporate automatic low speed idling;</w:t>
      </w:r>
    </w:p>
    <w:p w:rsidR="00F9271C" w:rsidRPr="00102911" w:rsidRDefault="00F9271C" w:rsidP="00922289">
      <w:pPr>
        <w:pStyle w:val="Bullets"/>
        <w:numPr>
          <w:ilvl w:val="0"/>
          <w:numId w:val="4"/>
        </w:numPr>
        <w:tabs>
          <w:tab w:val="clear" w:pos="357"/>
          <w:tab w:val="left" w:pos="1276"/>
          <w:tab w:val="num" w:pos="1560"/>
        </w:tabs>
        <w:ind w:left="1276"/>
      </w:pPr>
      <w:r>
        <w:t xml:space="preserve">Where possible, select electrically </w:t>
      </w:r>
      <w:r w:rsidRPr="00102911">
        <w:t>driven equipment in preference to internal combustion powered</w:t>
      </w:r>
      <w:r>
        <w:t xml:space="preserve"> equipment, </w:t>
      </w:r>
      <w:r w:rsidRPr="00102911">
        <w:t xml:space="preserve">hydraulic power in preference to pneumatic </w:t>
      </w:r>
      <w:r>
        <w:t xml:space="preserve">power, </w:t>
      </w:r>
      <w:r w:rsidRPr="00102911">
        <w:t xml:space="preserve">and wheeled </w:t>
      </w:r>
      <w:r>
        <w:t xml:space="preserve">plant </w:t>
      </w:r>
      <w:r w:rsidRPr="00102911">
        <w:t xml:space="preserve">in </w:t>
      </w:r>
      <w:r>
        <w:t xml:space="preserve">preference to </w:t>
      </w:r>
      <w:r w:rsidRPr="00102911">
        <w:t>tracked plant;</w:t>
      </w:r>
    </w:p>
    <w:p w:rsidR="00F9271C" w:rsidRPr="00102911" w:rsidRDefault="00F9271C" w:rsidP="00922289">
      <w:pPr>
        <w:pStyle w:val="Bullets"/>
        <w:numPr>
          <w:ilvl w:val="0"/>
          <w:numId w:val="4"/>
        </w:numPr>
        <w:tabs>
          <w:tab w:val="clear" w:pos="357"/>
          <w:tab w:val="left" w:pos="1276"/>
          <w:tab w:val="num" w:pos="1560"/>
        </w:tabs>
        <w:ind w:left="1276"/>
      </w:pPr>
      <w:r>
        <w:t xml:space="preserve">Maintain </w:t>
      </w:r>
      <w:r w:rsidRPr="00102911">
        <w:t>all plant properly (</w:t>
      </w:r>
      <w:r>
        <w:t xml:space="preserve">keep </w:t>
      </w:r>
      <w:r w:rsidRPr="00102911">
        <w:t xml:space="preserve">greased, </w:t>
      </w:r>
      <w:r>
        <w:t xml:space="preserve">replace </w:t>
      </w:r>
      <w:r w:rsidRPr="00102911">
        <w:t xml:space="preserve">blown silencers, </w:t>
      </w:r>
      <w:r>
        <w:t xml:space="preserve">keep </w:t>
      </w:r>
      <w:r w:rsidRPr="00102911">
        <w:t xml:space="preserve">saws </w:t>
      </w:r>
      <w:r>
        <w:t>sharp</w:t>
      </w:r>
      <w:r w:rsidRPr="00102911">
        <w:t xml:space="preserve">, </w:t>
      </w:r>
      <w:r>
        <w:t xml:space="preserve">replace </w:t>
      </w:r>
      <w:r w:rsidRPr="00102911">
        <w:t>worn bearings, etc);</w:t>
      </w:r>
    </w:p>
    <w:p w:rsidR="00F9271C" w:rsidRPr="00102911" w:rsidRDefault="00F9271C" w:rsidP="00922289">
      <w:pPr>
        <w:pStyle w:val="Bullets"/>
        <w:numPr>
          <w:ilvl w:val="0"/>
          <w:numId w:val="4"/>
        </w:numPr>
        <w:tabs>
          <w:tab w:val="clear" w:pos="357"/>
          <w:tab w:val="left" w:pos="1276"/>
          <w:tab w:val="num" w:pos="1560"/>
        </w:tabs>
        <w:ind w:left="1276"/>
      </w:pPr>
      <w:r>
        <w:t>Lower materials rather than drop them</w:t>
      </w:r>
      <w:r w:rsidRPr="00102911">
        <w:t>;</w:t>
      </w:r>
    </w:p>
    <w:p w:rsidR="00F9271C" w:rsidRDefault="00F9271C" w:rsidP="00922289">
      <w:pPr>
        <w:pStyle w:val="Bullets"/>
        <w:numPr>
          <w:ilvl w:val="0"/>
          <w:numId w:val="4"/>
        </w:numPr>
        <w:tabs>
          <w:tab w:val="clear" w:pos="357"/>
          <w:tab w:val="left" w:pos="1276"/>
          <w:tab w:val="num" w:pos="1560"/>
        </w:tabs>
        <w:ind w:left="1276"/>
      </w:pPr>
      <w:r>
        <w:t xml:space="preserve">Use of </w:t>
      </w:r>
      <w:r w:rsidRPr="00102911">
        <w:t>temporary screening or enclosures for static noisy plant to reduce noise emissions</w:t>
      </w:r>
      <w:r>
        <w:t>;</w:t>
      </w:r>
    </w:p>
    <w:p w:rsidR="00F9271C" w:rsidRPr="00102911" w:rsidRDefault="00F9271C" w:rsidP="00922289">
      <w:pPr>
        <w:pStyle w:val="Bullets"/>
        <w:numPr>
          <w:ilvl w:val="0"/>
          <w:numId w:val="4"/>
        </w:numPr>
        <w:tabs>
          <w:tab w:val="clear" w:pos="357"/>
          <w:tab w:val="left" w:pos="1276"/>
          <w:tab w:val="num" w:pos="1560"/>
        </w:tabs>
        <w:ind w:left="1276"/>
      </w:pPr>
      <w:r>
        <w:t xml:space="preserve">Use of </w:t>
      </w:r>
      <w:r w:rsidRPr="00102911">
        <w:t xml:space="preserve">plant </w:t>
      </w:r>
      <w:r>
        <w:t xml:space="preserve">that meets </w:t>
      </w:r>
      <w:r w:rsidRPr="00102911">
        <w:t xml:space="preserve">relevant EC Directive standards; </w:t>
      </w:r>
    </w:p>
    <w:p w:rsidR="00F9271C" w:rsidRDefault="00F9271C" w:rsidP="00922289">
      <w:pPr>
        <w:pStyle w:val="Bullets"/>
        <w:numPr>
          <w:ilvl w:val="0"/>
          <w:numId w:val="4"/>
        </w:numPr>
        <w:tabs>
          <w:tab w:val="clear" w:pos="357"/>
          <w:tab w:val="left" w:pos="1276"/>
          <w:tab w:val="num" w:pos="1560"/>
        </w:tabs>
        <w:ind w:left="1276"/>
      </w:pPr>
      <w:r>
        <w:t xml:space="preserve">Ensure </w:t>
      </w:r>
      <w:r w:rsidRPr="00102911">
        <w:t xml:space="preserve">all contractors </w:t>
      </w:r>
      <w:r>
        <w:t xml:space="preserve">are </w:t>
      </w:r>
      <w:r w:rsidRPr="00102911">
        <w:t>familiar with the guidance in BS</w:t>
      </w:r>
      <w:r>
        <w:t xml:space="preserve"> </w:t>
      </w:r>
      <w:r w:rsidRPr="00102911">
        <w:t xml:space="preserve">5228 (Parts 1 and 2) </w:t>
      </w:r>
      <w:r>
        <w:t>and incorporate it into contract documents;</w:t>
      </w:r>
    </w:p>
    <w:p w:rsidR="00F9271C" w:rsidRDefault="00F9271C" w:rsidP="00922289">
      <w:pPr>
        <w:pStyle w:val="Bullets"/>
        <w:numPr>
          <w:ilvl w:val="0"/>
          <w:numId w:val="4"/>
        </w:numPr>
        <w:tabs>
          <w:tab w:val="clear" w:pos="357"/>
          <w:tab w:val="left" w:pos="1276"/>
          <w:tab w:val="num" w:pos="1560"/>
        </w:tabs>
        <w:ind w:left="1276"/>
      </w:pPr>
      <w:r>
        <w:t>Undertake noise and/or vibration measurements during noisy or vibratory works and manage works to acceptable levels.</w:t>
      </w:r>
    </w:p>
    <w:p w:rsidR="00F9271C" w:rsidRDefault="00F9271C" w:rsidP="00FF0462">
      <w:pPr>
        <w:pStyle w:val="BodyText"/>
        <w:numPr>
          <w:ilvl w:val="2"/>
          <w:numId w:val="8"/>
        </w:numPr>
        <w:ind w:left="851" w:hanging="851"/>
      </w:pPr>
      <w:r>
        <w:t>In addition, this report indicates the necessity to utilise the Envirowrap 500AFR-T-AC-D06-08 polyethylene sheeting and temporary barriers assessed in Section 4.3 to achieve satisfactory noise levels at the school façade.</w:t>
      </w:r>
    </w:p>
    <w:p w:rsidR="00F9271C" w:rsidRDefault="00F9271C" w:rsidP="00FF0462">
      <w:pPr>
        <w:pStyle w:val="BodyText"/>
        <w:numPr>
          <w:ilvl w:val="2"/>
          <w:numId w:val="8"/>
        </w:numPr>
        <w:ind w:left="851" w:hanging="851"/>
      </w:pPr>
      <w:r>
        <w:t>The details associated with the construction processes are not available, but the principles set out in this report with respect to noise limits at the school façade and the mitigation measures described should be applied when establishing construction methods and management procedures.</w:t>
      </w:r>
    </w:p>
    <w:p w:rsidR="00F9271C" w:rsidRPr="00C84E74" w:rsidRDefault="00F9271C" w:rsidP="00C84E74">
      <w:pPr>
        <w:pStyle w:val="BodyText"/>
      </w:pPr>
    </w:p>
    <w:p w:rsidR="00F9271C" w:rsidRDefault="00F9271C">
      <w:r>
        <w:br w:type="page"/>
      </w:r>
    </w:p>
    <w:p w:rsidR="00F9271C" w:rsidRDefault="00F9271C" w:rsidP="00F42082">
      <w:pPr>
        <w:pStyle w:val="Heading1"/>
      </w:pPr>
      <w:bookmarkStart w:id="36" w:name="_Toc347496657"/>
      <w:r>
        <w:t>Conclusion</w:t>
      </w:r>
      <w:bookmarkEnd w:id="36"/>
    </w:p>
    <w:p w:rsidR="00F9271C" w:rsidRPr="00481DE0" w:rsidRDefault="00F9271C" w:rsidP="00481DE0">
      <w:pPr>
        <w:pStyle w:val="ListParagraph"/>
        <w:numPr>
          <w:ilvl w:val="0"/>
          <w:numId w:val="8"/>
        </w:numPr>
        <w:tabs>
          <w:tab w:val="left" w:pos="851"/>
        </w:tabs>
        <w:spacing w:after="240"/>
        <w:contextualSpacing w:val="0"/>
        <w:rPr>
          <w:vanish/>
        </w:rPr>
      </w:pPr>
    </w:p>
    <w:p w:rsidR="00F9271C" w:rsidRPr="00481DE0" w:rsidRDefault="00F9271C" w:rsidP="00481DE0">
      <w:pPr>
        <w:pStyle w:val="ListParagraph"/>
        <w:numPr>
          <w:ilvl w:val="1"/>
          <w:numId w:val="8"/>
        </w:numPr>
        <w:tabs>
          <w:tab w:val="left" w:pos="851"/>
        </w:tabs>
        <w:spacing w:after="240"/>
        <w:contextualSpacing w:val="0"/>
        <w:rPr>
          <w:vanish/>
        </w:rPr>
      </w:pPr>
    </w:p>
    <w:p w:rsidR="00F9271C" w:rsidRDefault="00F9271C" w:rsidP="00922289">
      <w:pPr>
        <w:pStyle w:val="BodyText"/>
        <w:numPr>
          <w:ilvl w:val="2"/>
          <w:numId w:val="8"/>
        </w:numPr>
        <w:ind w:left="851" w:hanging="851"/>
      </w:pPr>
      <w:r>
        <w:t>A significant increase in internal noise levels at St Joseph’s Primary School is predicted due to unmitigated demolition work at Parker House.</w:t>
      </w:r>
    </w:p>
    <w:p w:rsidR="00F9271C" w:rsidRDefault="00F9271C" w:rsidP="00922289">
      <w:pPr>
        <w:pStyle w:val="BodyText"/>
        <w:numPr>
          <w:ilvl w:val="2"/>
          <w:numId w:val="8"/>
        </w:numPr>
        <w:ind w:left="851" w:hanging="851"/>
      </w:pPr>
      <w:r>
        <w:t>However, with use of Envirowrap polyethylene sheeting around the whole site and temporary barriers around work in the northern most block of Parker House when the works reach first floor level, an increase in noise level is avoided or the increase in noise level is predicted to be 3 dB or below and is therefore considered to be insignificant.</w:t>
      </w:r>
    </w:p>
    <w:p w:rsidR="00F9271C" w:rsidRPr="00481DE0" w:rsidRDefault="00F9271C" w:rsidP="00922289">
      <w:pPr>
        <w:pStyle w:val="BodyText"/>
        <w:numPr>
          <w:ilvl w:val="2"/>
          <w:numId w:val="8"/>
        </w:numPr>
        <w:ind w:left="851" w:hanging="851"/>
      </w:pPr>
      <w:r>
        <w:t>Similar limits in noise level changes at the school façade as a result of the construction works should be used when preparing construction methods and management procedures.</w:t>
      </w:r>
    </w:p>
    <w:p w:rsidR="00F9271C" w:rsidRDefault="00F9271C" w:rsidP="00A62032">
      <w:pPr>
        <w:pStyle w:val="BodyText"/>
      </w:pPr>
    </w:p>
    <w:p w:rsidR="00F9271C" w:rsidRDefault="00F9271C"/>
    <w:p w:rsidR="00F9271C" w:rsidRDefault="00F9271C" w:rsidP="00A62032">
      <w:pPr>
        <w:pStyle w:val="BodyText"/>
      </w:pPr>
    </w:p>
    <w:p w:rsidR="00F9271C" w:rsidRDefault="00F9271C" w:rsidP="00A62032">
      <w:pPr>
        <w:pStyle w:val="BodyText"/>
        <w:sectPr w:rsidR="00F9271C" w:rsidSect="00497D13">
          <w:pgSz w:w="11907" w:h="16840" w:code="9"/>
          <w:pgMar w:top="2268" w:right="1417" w:bottom="1418" w:left="1418" w:header="794" w:footer="567" w:gutter="0"/>
          <w:pgNumType w:start="1"/>
          <w:cols w:space="708"/>
          <w:docGrid w:linePitch="360"/>
        </w:sectPr>
      </w:pPr>
    </w:p>
    <w:p w:rsidR="00F9271C" w:rsidRDefault="00F9271C" w:rsidP="00A62032">
      <w:pPr>
        <w:pStyle w:val="Appendix"/>
      </w:pPr>
      <w:bookmarkStart w:id="37" w:name="_Toc347496984"/>
      <w:r>
        <w:t xml:space="preserve">Appendix </w:t>
      </w:r>
      <w:fldSimple w:instr=" SEQ letter\* ALPHABETIC\n  \* MERGEFORMAT ">
        <w:r>
          <w:rPr>
            <w:noProof/>
          </w:rPr>
          <w:t>A</w:t>
        </w:r>
      </w:fldSimple>
      <w:r>
        <w:t xml:space="preserve">: </w:t>
      </w:r>
      <w:r w:rsidRPr="003D6908">
        <w:t>Glossary of Acoustics Terms</w:t>
      </w:r>
      <w:bookmarkEnd w:id="37"/>
    </w:p>
    <w:p w:rsidR="00F9271C" w:rsidRDefault="00F9271C">
      <w:r>
        <w:br w:type="page"/>
      </w:r>
    </w:p>
    <w:tbl>
      <w:tblPr>
        <w:tblW w:w="8471" w:type="dxa"/>
        <w:tblLook w:val="01E0"/>
      </w:tblPr>
      <w:tblGrid>
        <w:gridCol w:w="1548"/>
        <w:gridCol w:w="6923"/>
      </w:tblGrid>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Ambient Noise</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Total encompassing sound in a given situation at a given time, usually composed of sound from many sources far and near.</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Daytime</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Defined in PPG 24 as the period 07:00-23:00 hours.</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Decibel (dB)</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A unit of level derived from the logarithm of the ratio between the value of a quantity and a reference value. It is used to describe the level of many different quantities.  For sound pressure levels the reference quantity is 20 uPa.  The threshold of normal hearing is in the region of 0 dB and 140 dB is the threshold of pain. A change of 1 dB is only perceptible under controlled conditions.</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dB(A), L</w:t>
            </w:r>
            <w:r w:rsidRPr="009C6A8B">
              <w:rPr>
                <w:rFonts w:cs="Arial"/>
                <w:vertAlign w:val="subscript"/>
              </w:rPr>
              <w:t>Ax</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Decibels measured on a sound level meter incorporating a frequency weighting (A weighting) which differentiates between sounds of different frequency (pitch) in a similar way to the human ear.  Measurements in dB(A) broadly agree with people’s assessment of loudness. A change of 3 dB(A) is the minimum perceptible under normal conditions, and a change of 10 dB(A) corresponds roughly to  halving or doubling the loudness of a sound.  The background noise in a living room may be about 30 dB(A); normal conversation about 60 dB(A) at 1 metre; heavy road traffic about 80 dB(A) at 10 metres; the level near a pneumatic drill about 100 dB(A).</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L</w:t>
            </w:r>
            <w:r w:rsidRPr="009C6A8B">
              <w:rPr>
                <w:rFonts w:cs="Arial"/>
                <w:vertAlign w:val="subscript"/>
              </w:rPr>
              <w:t>A90,T</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The A weighted noise level exceeded for 90% of the measurement period, T.  This is defined in BS 4142 as the background noise level.</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vertAlign w:val="subscript"/>
              </w:rPr>
            </w:pPr>
            <w:r w:rsidRPr="009C6A8B">
              <w:rPr>
                <w:rFonts w:cs="Arial"/>
              </w:rPr>
              <w:t>L</w:t>
            </w:r>
            <w:r w:rsidRPr="009C6A8B">
              <w:rPr>
                <w:rFonts w:cs="Arial"/>
                <w:vertAlign w:val="subscript"/>
              </w:rPr>
              <w:t>AE</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The sound exposure level – the level of a sound with a period of 1 second that has the same sound energy as the event considered.</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L</w:t>
            </w:r>
            <w:r w:rsidRPr="009C6A8B">
              <w:rPr>
                <w:rFonts w:cs="Arial"/>
                <w:vertAlign w:val="subscript"/>
              </w:rPr>
              <w:t>Aeq,T</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The equivalent continuous sound level – the sound level of a notionally steady sound having the same energy as a fluctuating sound over a specified measurement period (T).  L</w:t>
            </w:r>
            <w:r w:rsidRPr="009C6A8B">
              <w:rPr>
                <w:rFonts w:cs="Arial"/>
                <w:vertAlign w:val="subscript"/>
              </w:rPr>
              <w:t xml:space="preserve">Aeq, T </w:t>
            </w:r>
            <w:r w:rsidRPr="009C6A8B">
              <w:rPr>
                <w:rFonts w:cs="Arial"/>
              </w:rPr>
              <w:t>is used to describe many noises and can be measured directly with an integrating sound level meter.</w:t>
            </w:r>
          </w:p>
        </w:tc>
      </w:tr>
      <w:tr w:rsidR="00F9271C" w:rsidRPr="000250F0" w:rsidTr="009C6A8B">
        <w:trPr>
          <w:trHeight w:val="690"/>
        </w:trPr>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L</w:t>
            </w:r>
            <w:r w:rsidRPr="009C6A8B">
              <w:rPr>
                <w:rFonts w:cs="Arial"/>
                <w:vertAlign w:val="subscript"/>
              </w:rPr>
              <w:t>Amax,</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 xml:space="preserve">The highest A weighted noise level recorded during a noise event.  The time weighting (slow or fast) should be stated. </w:t>
            </w:r>
          </w:p>
        </w:tc>
      </w:tr>
      <w:tr w:rsidR="00F9271C" w:rsidRPr="000250F0" w:rsidTr="009C6A8B">
        <w:trPr>
          <w:trHeight w:val="690"/>
        </w:trPr>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Night-time</w:t>
            </w:r>
          </w:p>
        </w:tc>
        <w:tc>
          <w:tcPr>
            <w:tcW w:w="6923" w:type="dxa"/>
            <w:tcMar>
              <w:left w:w="57" w:type="dxa"/>
              <w:right w:w="57" w:type="dxa"/>
            </w:tcMar>
          </w:tcPr>
          <w:p w:rsidR="00F9271C" w:rsidRPr="009C6A8B" w:rsidRDefault="00F9271C" w:rsidP="009C6A8B">
            <w:pPr>
              <w:spacing w:before="120" w:after="120"/>
              <w:rPr>
                <w:rFonts w:cs="Arial"/>
              </w:rPr>
            </w:pPr>
            <w:r w:rsidRPr="009C6A8B">
              <w:rPr>
                <w:rFonts w:cs="Arial"/>
              </w:rPr>
              <w:t>Defined in PPG 24 as the period 23:00-07:00 hours.</w:t>
            </w:r>
          </w:p>
        </w:tc>
      </w:tr>
      <w:tr w:rsidR="00F9271C" w:rsidRPr="000250F0" w:rsidTr="009C6A8B">
        <w:tc>
          <w:tcPr>
            <w:tcW w:w="1548" w:type="dxa"/>
            <w:tcMar>
              <w:left w:w="57" w:type="dxa"/>
              <w:right w:w="57" w:type="dxa"/>
            </w:tcMar>
          </w:tcPr>
          <w:p w:rsidR="00F9271C" w:rsidRPr="009C6A8B" w:rsidRDefault="00F9271C" w:rsidP="009C6A8B">
            <w:pPr>
              <w:spacing w:before="120" w:after="120"/>
              <w:rPr>
                <w:rFonts w:cs="Arial"/>
              </w:rPr>
            </w:pPr>
            <w:r w:rsidRPr="009C6A8B">
              <w:rPr>
                <w:rFonts w:cs="Arial"/>
              </w:rPr>
              <w:t>Sound Power Level, Lw</w:t>
            </w:r>
          </w:p>
        </w:tc>
        <w:tc>
          <w:tcPr>
            <w:tcW w:w="6923" w:type="dxa"/>
            <w:tcMar>
              <w:left w:w="57" w:type="dxa"/>
              <w:right w:w="57" w:type="dxa"/>
            </w:tcMar>
          </w:tcPr>
          <w:p w:rsidR="00F9271C" w:rsidRPr="009C6A8B" w:rsidRDefault="00F9271C" w:rsidP="009C6A8B">
            <w:pPr>
              <w:pStyle w:val="BodyText"/>
              <w:spacing w:before="120"/>
              <w:rPr>
                <w:rFonts w:cs="Arial"/>
              </w:rPr>
            </w:pPr>
            <w:r w:rsidRPr="009C6A8B">
              <w:rPr>
                <w:rFonts w:cs="Arial"/>
              </w:rPr>
              <w:t>An absolute parameter widely used for rating and comparing sound sources.  Sound power is a physical property of the source alone, independent of any external or environmental factors</w:t>
            </w:r>
            <w:r w:rsidRPr="009C6A8B">
              <w:rPr>
                <w:rStyle w:val="FootnoteReference"/>
                <w:rFonts w:cs="Arial"/>
              </w:rPr>
              <w:footnoteReference w:id="1"/>
            </w:r>
            <w:r w:rsidRPr="009C6A8B">
              <w:rPr>
                <w:rFonts w:cs="Arial"/>
              </w:rPr>
              <w:t>.</w:t>
            </w:r>
          </w:p>
        </w:tc>
      </w:tr>
    </w:tbl>
    <w:p w:rsidR="00F9271C" w:rsidRDefault="00F9271C" w:rsidP="00A62032">
      <w:pPr>
        <w:pStyle w:val="BodyText"/>
      </w:pPr>
    </w:p>
    <w:p w:rsidR="00F9271C" w:rsidRDefault="00F9271C" w:rsidP="00A62032">
      <w:pPr>
        <w:pStyle w:val="BodyText"/>
      </w:pPr>
    </w:p>
    <w:p w:rsidR="00F9271C" w:rsidRDefault="00F9271C" w:rsidP="00A62032">
      <w:pPr>
        <w:pStyle w:val="BodyText"/>
        <w:sectPr w:rsidR="00F9271C" w:rsidSect="00F82FAB">
          <w:pgSz w:w="11907" w:h="16840" w:code="9"/>
          <w:pgMar w:top="2268" w:right="1417" w:bottom="1418" w:left="1418" w:header="794" w:footer="567" w:gutter="0"/>
          <w:cols w:space="708"/>
          <w:docGrid w:linePitch="360"/>
        </w:sectPr>
      </w:pPr>
    </w:p>
    <w:p w:rsidR="00F9271C" w:rsidRDefault="00F9271C" w:rsidP="00A62032">
      <w:pPr>
        <w:pStyle w:val="Appendix"/>
      </w:pPr>
      <w:bookmarkStart w:id="38" w:name="_Toc347496985"/>
      <w:r>
        <w:t xml:space="preserve">Appendix </w:t>
      </w:r>
      <w:fldSimple w:instr=" SEQ letter\* ALPHABETIC\n  \* MERGEFORMAT ">
        <w:r>
          <w:rPr>
            <w:noProof/>
          </w:rPr>
          <w:t>B</w:t>
        </w:r>
      </w:fldSimple>
      <w:r>
        <w:t>: Plant and Envirowrap</w:t>
      </w:r>
      <w:r w:rsidRPr="00DF3810">
        <w:t xml:space="preserve"> </w:t>
      </w:r>
      <w:r>
        <w:t>Data</w:t>
      </w:r>
      <w:bookmarkEnd w:id="38"/>
    </w:p>
    <w:p w:rsidR="00F9271C" w:rsidRDefault="00F9271C">
      <w:pPr>
        <w:rPr>
          <w:b/>
          <w:color w:val="003366"/>
          <w:kern w:val="32"/>
          <w:sz w:val="28"/>
        </w:rPr>
      </w:pPr>
      <w:r>
        <w:br w:type="page"/>
      </w:r>
    </w:p>
    <w:tbl>
      <w:tblPr>
        <w:tblW w:w="90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4"/>
        <w:gridCol w:w="1220"/>
        <w:gridCol w:w="1117"/>
        <w:gridCol w:w="1348"/>
        <w:gridCol w:w="1283"/>
        <w:gridCol w:w="1000"/>
      </w:tblGrid>
      <w:tr w:rsidR="00F9271C" w:rsidRPr="000E668D" w:rsidTr="0026391A">
        <w:trPr>
          <w:trHeight w:val="765"/>
        </w:trPr>
        <w:tc>
          <w:tcPr>
            <w:tcW w:w="3124" w:type="dxa"/>
            <w:shd w:val="clear" w:color="auto" w:fill="BFBFBF"/>
            <w:vAlign w:val="center"/>
          </w:tcPr>
          <w:p w:rsidR="00F9271C" w:rsidRPr="000E668D" w:rsidRDefault="00F9271C" w:rsidP="000E668D">
            <w:pPr>
              <w:rPr>
                <w:rFonts w:cs="Arial"/>
                <w:b/>
                <w:bCs/>
                <w:color w:val="000000"/>
                <w:lang w:eastAsia="en-GB"/>
              </w:rPr>
            </w:pPr>
            <w:r w:rsidRPr="000E668D">
              <w:rPr>
                <w:rFonts w:cs="Arial"/>
                <w:b/>
                <w:bCs/>
                <w:color w:val="000000"/>
                <w:lang w:eastAsia="en-GB"/>
              </w:rPr>
              <w:t>Item</w:t>
            </w:r>
          </w:p>
        </w:tc>
        <w:tc>
          <w:tcPr>
            <w:tcW w:w="1220" w:type="dxa"/>
            <w:shd w:val="clear" w:color="auto" w:fill="BFBFBF"/>
            <w:vAlign w:val="center"/>
          </w:tcPr>
          <w:p w:rsidR="00F9271C" w:rsidRPr="000E668D" w:rsidRDefault="00F9271C" w:rsidP="000E668D">
            <w:pPr>
              <w:rPr>
                <w:rFonts w:cs="Arial"/>
                <w:b/>
                <w:bCs/>
                <w:color w:val="000000"/>
                <w:lang w:eastAsia="en-GB"/>
              </w:rPr>
            </w:pPr>
            <w:r w:rsidRPr="000E668D">
              <w:rPr>
                <w:rFonts w:cs="Arial"/>
                <w:b/>
                <w:bCs/>
                <w:color w:val="000000"/>
                <w:lang w:eastAsia="en-GB"/>
              </w:rPr>
              <w:t>Height</w:t>
            </w:r>
          </w:p>
        </w:tc>
        <w:tc>
          <w:tcPr>
            <w:tcW w:w="1117" w:type="dxa"/>
            <w:shd w:val="clear" w:color="auto" w:fill="BFBFBF"/>
            <w:vAlign w:val="center"/>
          </w:tcPr>
          <w:p w:rsidR="00F9271C" w:rsidRPr="000E668D" w:rsidRDefault="00F9271C" w:rsidP="000E668D">
            <w:pPr>
              <w:rPr>
                <w:rFonts w:cs="Arial"/>
                <w:b/>
                <w:bCs/>
                <w:color w:val="000000"/>
                <w:lang w:eastAsia="en-GB"/>
              </w:rPr>
            </w:pPr>
            <w:r w:rsidRPr="000E668D">
              <w:rPr>
                <w:rFonts w:cs="Arial"/>
                <w:b/>
                <w:bCs/>
                <w:color w:val="000000"/>
                <w:lang w:eastAsia="en-GB"/>
              </w:rPr>
              <w:t>Table reference</w:t>
            </w:r>
          </w:p>
        </w:tc>
        <w:tc>
          <w:tcPr>
            <w:tcW w:w="1348" w:type="dxa"/>
            <w:shd w:val="clear" w:color="auto" w:fill="BFBFBF"/>
            <w:vAlign w:val="center"/>
          </w:tcPr>
          <w:p w:rsidR="00F9271C" w:rsidRPr="000E668D" w:rsidRDefault="00F9271C" w:rsidP="000E668D">
            <w:pPr>
              <w:rPr>
                <w:rFonts w:cs="Arial"/>
                <w:b/>
                <w:bCs/>
                <w:color w:val="000000"/>
                <w:lang w:eastAsia="en-GB"/>
              </w:rPr>
            </w:pPr>
            <w:r w:rsidRPr="000E668D">
              <w:rPr>
                <w:rFonts w:cs="Arial"/>
                <w:b/>
                <w:bCs/>
                <w:color w:val="000000"/>
                <w:lang w:eastAsia="en-GB"/>
              </w:rPr>
              <w:t>Item reference</w:t>
            </w:r>
          </w:p>
        </w:tc>
        <w:tc>
          <w:tcPr>
            <w:tcW w:w="1283" w:type="dxa"/>
            <w:shd w:val="clear" w:color="auto" w:fill="BFBFBF"/>
            <w:vAlign w:val="center"/>
          </w:tcPr>
          <w:p w:rsidR="00F9271C" w:rsidRPr="000E668D" w:rsidRDefault="00F9271C" w:rsidP="000E668D">
            <w:pPr>
              <w:rPr>
                <w:rFonts w:cs="Arial"/>
                <w:b/>
                <w:bCs/>
                <w:color w:val="000000"/>
                <w:lang w:eastAsia="en-GB"/>
              </w:rPr>
            </w:pPr>
            <w:r w:rsidRPr="000E668D">
              <w:rPr>
                <w:rFonts w:cs="Arial"/>
                <w:b/>
                <w:bCs/>
                <w:color w:val="000000"/>
                <w:lang w:eastAsia="en-GB"/>
              </w:rPr>
              <w:t>No. items</w:t>
            </w:r>
          </w:p>
        </w:tc>
        <w:tc>
          <w:tcPr>
            <w:tcW w:w="1000" w:type="dxa"/>
            <w:shd w:val="clear" w:color="auto" w:fill="BFBFBF"/>
            <w:vAlign w:val="center"/>
          </w:tcPr>
          <w:p w:rsidR="00F9271C" w:rsidRPr="000E668D" w:rsidRDefault="00F9271C" w:rsidP="000E668D">
            <w:pPr>
              <w:rPr>
                <w:rFonts w:cs="Arial"/>
                <w:b/>
                <w:bCs/>
                <w:color w:val="000000"/>
                <w:lang w:eastAsia="en-GB"/>
              </w:rPr>
            </w:pPr>
            <w:r w:rsidRPr="000E668D">
              <w:rPr>
                <w:rFonts w:cs="Arial"/>
                <w:b/>
                <w:bCs/>
                <w:color w:val="000000"/>
                <w:lang w:eastAsia="en-GB"/>
              </w:rPr>
              <w:t>% On Time</w:t>
            </w:r>
          </w:p>
        </w:tc>
      </w:tr>
      <w:tr w:rsidR="00F9271C" w:rsidRPr="000E668D" w:rsidTr="0026391A">
        <w:trPr>
          <w:trHeight w:val="494"/>
        </w:trPr>
        <w:tc>
          <w:tcPr>
            <w:tcW w:w="9092" w:type="dxa"/>
            <w:gridSpan w:val="6"/>
            <w:shd w:val="clear" w:color="auto" w:fill="BFBFBF"/>
            <w:vAlign w:val="center"/>
          </w:tcPr>
          <w:p w:rsidR="00F9271C" w:rsidRPr="000E668D" w:rsidRDefault="00F9271C" w:rsidP="00370BB6">
            <w:pPr>
              <w:rPr>
                <w:rFonts w:cs="Arial"/>
                <w:b/>
                <w:bCs/>
                <w:color w:val="000000"/>
                <w:lang w:eastAsia="en-GB"/>
              </w:rPr>
            </w:pPr>
            <w:r w:rsidRPr="000E668D">
              <w:rPr>
                <w:rFonts w:cs="Arial"/>
                <w:b/>
                <w:bCs/>
                <w:color w:val="000000"/>
                <w:lang w:eastAsia="en-GB"/>
              </w:rPr>
              <w:t>Demolition </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Tower crane (representative)</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C.4</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38</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Muck away lorry</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Ground</w:t>
            </w:r>
            <w:r>
              <w:rPr>
                <w:rFonts w:cs="Arial"/>
                <w:color w:val="000000"/>
                <w:lang w:eastAsia="en-GB"/>
              </w:rPr>
              <w:t xml:space="preserve"> level</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D.3</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59</w:t>
            </w:r>
          </w:p>
        </w:tc>
        <w:tc>
          <w:tcPr>
            <w:tcW w:w="1283" w:type="dxa"/>
            <w:noWrap/>
            <w:vAlign w:val="center"/>
          </w:tcPr>
          <w:p w:rsidR="00F9271C" w:rsidRPr="000E668D" w:rsidRDefault="00F9271C" w:rsidP="004E7B0A">
            <w:pPr>
              <w:jc w:val="center"/>
              <w:rPr>
                <w:rFonts w:cs="Arial"/>
                <w:color w:val="000000"/>
                <w:lang w:eastAsia="en-GB"/>
              </w:rPr>
            </w:pPr>
            <w:r w:rsidRPr="000E668D">
              <w:rPr>
                <w:rFonts w:cs="Arial"/>
                <w:color w:val="000000"/>
                <w:lang w:eastAsia="en-GB"/>
              </w:rPr>
              <w:t>10</w:t>
            </w:r>
            <w:r>
              <w:rPr>
                <w:rFonts w:cs="Arial"/>
                <w:color w:val="000000"/>
                <w:lang w:eastAsia="en-GB"/>
              </w:rPr>
              <w:t xml:space="preserve"> per day</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Hand Held Circular Saw</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C.4</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70</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50</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Disc cutter/Angel grinder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C.4</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93</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50</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24T excavator with pulveriser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C.1</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75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24T excavator with hammer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C.1</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75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45 T excavator with bucket</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D.3</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96</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75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Skid Steer Loader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Ground</w:t>
            </w:r>
            <w:r>
              <w:rPr>
                <w:rFonts w:cs="Arial"/>
                <w:color w:val="000000"/>
                <w:lang w:eastAsia="en-GB"/>
              </w:rPr>
              <w:t xml:space="preserve"> level</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D.3</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84</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Hand held hammer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D.2</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15</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4</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50</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Reciprocating saw</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C.4</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72</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50</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Electric breaker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N/A</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 xml:space="preserve">Hilti TE </w:t>
            </w:r>
            <w:r>
              <w:rPr>
                <w:rFonts w:cs="Arial"/>
                <w:color w:val="000000"/>
                <w:lang w:eastAsia="en-GB"/>
              </w:rPr>
              <w:t>7</w:t>
            </w:r>
            <w:r w:rsidRPr="000E668D">
              <w:rPr>
                <w:rFonts w:cs="Arial"/>
                <w:color w:val="000000"/>
                <w:lang w:eastAsia="en-GB"/>
              </w:rPr>
              <w:t>6</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3</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25</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Compressor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C.5</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50</w:t>
            </w:r>
          </w:p>
        </w:tc>
      </w:tr>
      <w:tr w:rsidR="00F9271C" w:rsidRPr="000E668D" w:rsidTr="0026391A">
        <w:trPr>
          <w:trHeight w:val="255"/>
        </w:trPr>
        <w:tc>
          <w:tcPr>
            <w:tcW w:w="3124" w:type="dxa"/>
            <w:noWrap/>
            <w:vAlign w:val="center"/>
          </w:tcPr>
          <w:p w:rsidR="00F9271C" w:rsidRPr="000E668D" w:rsidRDefault="00F9271C" w:rsidP="000E668D">
            <w:pPr>
              <w:rPr>
                <w:rFonts w:cs="Arial"/>
                <w:color w:val="000000"/>
                <w:lang w:eastAsia="en-GB"/>
              </w:rPr>
            </w:pPr>
            <w:r w:rsidRPr="000E668D">
              <w:rPr>
                <w:rFonts w:cs="Arial"/>
                <w:color w:val="000000"/>
                <w:lang w:eastAsia="en-GB"/>
              </w:rPr>
              <w:t>Generator</w:t>
            </w:r>
          </w:p>
        </w:tc>
        <w:tc>
          <w:tcPr>
            <w:tcW w:w="1220" w:type="dxa"/>
            <w:noWrap/>
            <w:vAlign w:val="center"/>
          </w:tcPr>
          <w:p w:rsidR="00F9271C" w:rsidRPr="000E668D" w:rsidRDefault="00F9271C" w:rsidP="000E668D">
            <w:pPr>
              <w:rPr>
                <w:rFonts w:cs="Arial"/>
                <w:color w:val="000000"/>
                <w:lang w:eastAsia="en-GB"/>
              </w:rPr>
            </w:pPr>
            <w:r w:rsidRPr="000E668D">
              <w:rPr>
                <w:rFonts w:cs="Arial"/>
                <w:color w:val="000000"/>
                <w:lang w:eastAsia="en-GB"/>
              </w:rPr>
              <w:t>Upper floors</w:t>
            </w:r>
          </w:p>
        </w:tc>
        <w:tc>
          <w:tcPr>
            <w:tcW w:w="1117"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C.4</w:t>
            </w:r>
          </w:p>
        </w:tc>
        <w:tc>
          <w:tcPr>
            <w:tcW w:w="1348"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84</w:t>
            </w:r>
          </w:p>
        </w:tc>
        <w:tc>
          <w:tcPr>
            <w:tcW w:w="1283"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80</w:t>
            </w:r>
          </w:p>
        </w:tc>
      </w:tr>
      <w:tr w:rsidR="00F9271C" w:rsidRPr="000E668D" w:rsidTr="00263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909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F9271C" w:rsidRPr="000E668D" w:rsidRDefault="00F9271C" w:rsidP="000E668D">
            <w:pPr>
              <w:rPr>
                <w:rFonts w:cs="Arial"/>
                <w:b/>
                <w:bCs/>
                <w:color w:val="000000"/>
                <w:lang w:eastAsia="en-GB"/>
              </w:rPr>
            </w:pPr>
            <w:r w:rsidRPr="000E668D">
              <w:rPr>
                <w:rFonts w:cs="Arial"/>
                <w:b/>
                <w:bCs/>
                <w:color w:val="000000"/>
                <w:lang w:eastAsia="en-GB"/>
              </w:rPr>
              <w:t>Site preparation</w:t>
            </w:r>
          </w:p>
        </w:tc>
      </w:tr>
      <w:tr w:rsidR="00F9271C" w:rsidRPr="000E668D" w:rsidTr="00263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124" w:type="dxa"/>
            <w:tcBorders>
              <w:top w:val="single" w:sz="4" w:space="0" w:color="auto"/>
              <w:left w:val="single" w:sz="4" w:space="0" w:color="auto"/>
              <w:bottom w:val="single" w:sz="4" w:space="0" w:color="auto"/>
              <w:right w:val="single" w:sz="4" w:space="0" w:color="auto"/>
            </w:tcBorders>
            <w:noWrap/>
            <w:vAlign w:val="center"/>
          </w:tcPr>
          <w:p w:rsidR="00F9271C" w:rsidRPr="000E668D" w:rsidRDefault="00F9271C" w:rsidP="000E668D">
            <w:pPr>
              <w:rPr>
                <w:rFonts w:cs="Arial"/>
                <w:color w:val="000000"/>
                <w:lang w:eastAsia="en-GB"/>
              </w:rPr>
            </w:pPr>
            <w:r w:rsidRPr="000E668D">
              <w:rPr>
                <w:rFonts w:cs="Arial"/>
                <w:color w:val="000000"/>
                <w:lang w:eastAsia="en-GB"/>
              </w:rPr>
              <w:t>Tracked excavator</w:t>
            </w:r>
          </w:p>
        </w:tc>
        <w:tc>
          <w:tcPr>
            <w:tcW w:w="1220" w:type="dxa"/>
            <w:tcBorders>
              <w:top w:val="single" w:sz="4" w:space="0" w:color="auto"/>
              <w:left w:val="nil"/>
              <w:bottom w:val="single" w:sz="4" w:space="0" w:color="auto"/>
              <w:right w:val="single" w:sz="4" w:space="0" w:color="auto"/>
            </w:tcBorders>
            <w:noWrap/>
          </w:tcPr>
          <w:p w:rsidR="00F9271C" w:rsidRDefault="00F9271C">
            <w:r w:rsidRPr="000E668D">
              <w:rPr>
                <w:rFonts w:cs="Arial"/>
                <w:color w:val="000000"/>
                <w:lang w:eastAsia="en-GB"/>
              </w:rPr>
              <w:t>Ground</w:t>
            </w:r>
            <w:r w:rsidRPr="00080566">
              <w:rPr>
                <w:rFonts w:cs="Arial"/>
                <w:color w:val="000000"/>
                <w:lang w:eastAsia="en-GB"/>
              </w:rPr>
              <w:t xml:space="preserve"> level</w:t>
            </w:r>
          </w:p>
        </w:tc>
        <w:tc>
          <w:tcPr>
            <w:tcW w:w="1117"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C.2</w:t>
            </w:r>
          </w:p>
        </w:tc>
        <w:tc>
          <w:tcPr>
            <w:tcW w:w="1348"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14</w:t>
            </w:r>
          </w:p>
        </w:tc>
        <w:tc>
          <w:tcPr>
            <w:tcW w:w="1283"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000"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75</w:t>
            </w:r>
          </w:p>
        </w:tc>
      </w:tr>
      <w:tr w:rsidR="00F9271C" w:rsidRPr="000E668D" w:rsidTr="00263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124" w:type="dxa"/>
            <w:tcBorders>
              <w:top w:val="single" w:sz="4" w:space="0" w:color="auto"/>
              <w:left w:val="single" w:sz="4" w:space="0" w:color="auto"/>
              <w:bottom w:val="single" w:sz="4" w:space="0" w:color="auto"/>
              <w:right w:val="single" w:sz="4" w:space="0" w:color="auto"/>
            </w:tcBorders>
            <w:noWrap/>
            <w:vAlign w:val="center"/>
          </w:tcPr>
          <w:p w:rsidR="00F9271C" w:rsidRPr="000E668D" w:rsidRDefault="00F9271C" w:rsidP="000E668D">
            <w:pPr>
              <w:rPr>
                <w:rFonts w:cs="Arial"/>
                <w:color w:val="000000"/>
                <w:lang w:eastAsia="en-GB"/>
              </w:rPr>
            </w:pPr>
            <w:r w:rsidRPr="000E668D">
              <w:rPr>
                <w:rFonts w:cs="Arial"/>
                <w:color w:val="000000"/>
                <w:lang w:eastAsia="en-GB"/>
              </w:rPr>
              <w:t>Tracked excavator (idling)</w:t>
            </w:r>
          </w:p>
        </w:tc>
        <w:tc>
          <w:tcPr>
            <w:tcW w:w="1220" w:type="dxa"/>
            <w:tcBorders>
              <w:top w:val="single" w:sz="4" w:space="0" w:color="auto"/>
              <w:left w:val="nil"/>
              <w:bottom w:val="single" w:sz="4" w:space="0" w:color="auto"/>
              <w:right w:val="single" w:sz="4" w:space="0" w:color="auto"/>
            </w:tcBorders>
            <w:noWrap/>
          </w:tcPr>
          <w:p w:rsidR="00F9271C" w:rsidRDefault="00F9271C">
            <w:r w:rsidRPr="000E668D">
              <w:rPr>
                <w:rFonts w:cs="Arial"/>
                <w:color w:val="000000"/>
                <w:lang w:eastAsia="en-GB"/>
              </w:rPr>
              <w:t>Ground</w:t>
            </w:r>
            <w:r w:rsidRPr="00080566">
              <w:rPr>
                <w:rFonts w:cs="Arial"/>
                <w:color w:val="000000"/>
                <w:lang w:eastAsia="en-GB"/>
              </w:rPr>
              <w:t xml:space="preserve"> level</w:t>
            </w:r>
          </w:p>
        </w:tc>
        <w:tc>
          <w:tcPr>
            <w:tcW w:w="1117"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C.2</w:t>
            </w:r>
          </w:p>
        </w:tc>
        <w:tc>
          <w:tcPr>
            <w:tcW w:w="1348"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20</w:t>
            </w:r>
          </w:p>
        </w:tc>
        <w:tc>
          <w:tcPr>
            <w:tcW w:w="1283"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000"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25</w:t>
            </w:r>
          </w:p>
        </w:tc>
      </w:tr>
      <w:tr w:rsidR="00F9271C" w:rsidRPr="000E668D" w:rsidTr="00263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124" w:type="dxa"/>
            <w:tcBorders>
              <w:top w:val="single" w:sz="4" w:space="0" w:color="auto"/>
              <w:left w:val="single" w:sz="4" w:space="0" w:color="auto"/>
              <w:bottom w:val="single" w:sz="4" w:space="0" w:color="auto"/>
              <w:right w:val="single" w:sz="4" w:space="0" w:color="auto"/>
            </w:tcBorders>
            <w:noWrap/>
            <w:vAlign w:val="center"/>
          </w:tcPr>
          <w:p w:rsidR="00F9271C" w:rsidRPr="000E668D" w:rsidRDefault="00F9271C" w:rsidP="000E668D">
            <w:pPr>
              <w:rPr>
                <w:rFonts w:cs="Arial"/>
                <w:color w:val="000000"/>
                <w:lang w:eastAsia="en-GB"/>
              </w:rPr>
            </w:pPr>
            <w:r w:rsidRPr="000E668D">
              <w:rPr>
                <w:rFonts w:cs="Arial"/>
                <w:color w:val="000000"/>
                <w:lang w:eastAsia="en-GB"/>
              </w:rPr>
              <w:t>Dozer</w:t>
            </w:r>
          </w:p>
        </w:tc>
        <w:tc>
          <w:tcPr>
            <w:tcW w:w="1220" w:type="dxa"/>
            <w:tcBorders>
              <w:top w:val="single" w:sz="4" w:space="0" w:color="auto"/>
              <w:left w:val="nil"/>
              <w:bottom w:val="single" w:sz="4" w:space="0" w:color="auto"/>
              <w:right w:val="single" w:sz="4" w:space="0" w:color="auto"/>
            </w:tcBorders>
            <w:noWrap/>
          </w:tcPr>
          <w:p w:rsidR="00F9271C" w:rsidRDefault="00F9271C">
            <w:r w:rsidRPr="000E668D">
              <w:rPr>
                <w:rFonts w:cs="Arial"/>
                <w:color w:val="000000"/>
                <w:lang w:eastAsia="en-GB"/>
              </w:rPr>
              <w:t>Ground</w:t>
            </w:r>
            <w:r w:rsidRPr="00080566">
              <w:rPr>
                <w:rFonts w:cs="Arial"/>
                <w:color w:val="000000"/>
                <w:lang w:eastAsia="en-GB"/>
              </w:rPr>
              <w:t xml:space="preserve"> level</w:t>
            </w:r>
          </w:p>
        </w:tc>
        <w:tc>
          <w:tcPr>
            <w:tcW w:w="1117"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C.2</w:t>
            </w:r>
          </w:p>
        </w:tc>
        <w:tc>
          <w:tcPr>
            <w:tcW w:w="1348"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12</w:t>
            </w:r>
          </w:p>
        </w:tc>
        <w:tc>
          <w:tcPr>
            <w:tcW w:w="1283"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w:t>
            </w:r>
          </w:p>
        </w:tc>
        <w:tc>
          <w:tcPr>
            <w:tcW w:w="1000"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50</w:t>
            </w:r>
          </w:p>
        </w:tc>
      </w:tr>
      <w:tr w:rsidR="00F9271C" w:rsidRPr="000E668D" w:rsidTr="00263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124" w:type="dxa"/>
            <w:tcBorders>
              <w:top w:val="single" w:sz="4" w:space="0" w:color="auto"/>
              <w:left w:val="single" w:sz="4" w:space="0" w:color="auto"/>
              <w:bottom w:val="single" w:sz="4" w:space="0" w:color="auto"/>
              <w:right w:val="single" w:sz="4" w:space="0" w:color="auto"/>
            </w:tcBorders>
            <w:noWrap/>
            <w:vAlign w:val="center"/>
          </w:tcPr>
          <w:p w:rsidR="00F9271C" w:rsidRPr="000E668D" w:rsidRDefault="00F9271C" w:rsidP="000E668D">
            <w:pPr>
              <w:rPr>
                <w:rFonts w:cs="Arial"/>
                <w:color w:val="000000"/>
                <w:lang w:eastAsia="en-GB"/>
              </w:rPr>
            </w:pPr>
            <w:r w:rsidRPr="000E668D">
              <w:rPr>
                <w:rFonts w:cs="Arial"/>
                <w:color w:val="000000"/>
                <w:lang w:eastAsia="en-GB"/>
              </w:rPr>
              <w:t>Lorry</w:t>
            </w:r>
          </w:p>
        </w:tc>
        <w:tc>
          <w:tcPr>
            <w:tcW w:w="1220" w:type="dxa"/>
            <w:tcBorders>
              <w:top w:val="single" w:sz="4" w:space="0" w:color="auto"/>
              <w:left w:val="nil"/>
              <w:bottom w:val="single" w:sz="4" w:space="0" w:color="auto"/>
              <w:right w:val="single" w:sz="4" w:space="0" w:color="auto"/>
            </w:tcBorders>
            <w:noWrap/>
          </w:tcPr>
          <w:p w:rsidR="00F9271C" w:rsidRDefault="00F9271C">
            <w:r w:rsidRPr="000E668D">
              <w:rPr>
                <w:rFonts w:cs="Arial"/>
                <w:color w:val="000000"/>
                <w:lang w:eastAsia="en-GB"/>
              </w:rPr>
              <w:t>Ground</w:t>
            </w:r>
            <w:r w:rsidRPr="00080566">
              <w:rPr>
                <w:rFonts w:cs="Arial"/>
                <w:color w:val="000000"/>
                <w:lang w:eastAsia="en-GB"/>
              </w:rPr>
              <w:t xml:space="preserve"> level</w:t>
            </w:r>
          </w:p>
        </w:tc>
        <w:tc>
          <w:tcPr>
            <w:tcW w:w="1117"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C.2</w:t>
            </w:r>
          </w:p>
        </w:tc>
        <w:tc>
          <w:tcPr>
            <w:tcW w:w="1348"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34</w:t>
            </w:r>
          </w:p>
        </w:tc>
        <w:tc>
          <w:tcPr>
            <w:tcW w:w="1283"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1</w:t>
            </w:r>
          </w:p>
        </w:tc>
        <w:tc>
          <w:tcPr>
            <w:tcW w:w="1000" w:type="dxa"/>
            <w:tcBorders>
              <w:top w:val="single" w:sz="4" w:space="0" w:color="auto"/>
              <w:left w:val="nil"/>
              <w:bottom w:val="single" w:sz="4" w:space="0" w:color="auto"/>
              <w:right w:val="single" w:sz="4" w:space="0" w:color="auto"/>
            </w:tcBorders>
            <w:noWrap/>
            <w:vAlign w:val="center"/>
          </w:tcPr>
          <w:p w:rsidR="00F9271C" w:rsidRPr="000E668D" w:rsidRDefault="00F9271C" w:rsidP="00A03496">
            <w:pPr>
              <w:jc w:val="center"/>
              <w:rPr>
                <w:rFonts w:cs="Arial"/>
                <w:color w:val="000000"/>
                <w:lang w:eastAsia="en-GB"/>
              </w:rPr>
            </w:pPr>
            <w:r w:rsidRPr="000E668D">
              <w:rPr>
                <w:rFonts w:cs="Arial"/>
                <w:color w:val="000000"/>
                <w:lang w:eastAsia="en-GB"/>
              </w:rPr>
              <w:t>20</w:t>
            </w:r>
          </w:p>
        </w:tc>
      </w:tr>
    </w:tbl>
    <w:p w:rsidR="00F9271C" w:rsidRDefault="00F9271C" w:rsidP="00A62032">
      <w:pPr>
        <w:pStyle w:val="Appendix"/>
      </w:pPr>
    </w:p>
    <w:p w:rsidR="00F9271C" w:rsidRDefault="00F9271C" w:rsidP="00A62032">
      <w:pPr>
        <w:pStyle w:val="BodyText"/>
      </w:pPr>
    </w:p>
    <w:p w:rsidR="00F9271C" w:rsidRDefault="00F9271C" w:rsidP="00A62032">
      <w:pPr>
        <w:pStyle w:val="BodyText"/>
        <w:sectPr w:rsidR="00F9271C" w:rsidSect="00923E43">
          <w:pgSz w:w="11907" w:h="16840" w:code="9"/>
          <w:pgMar w:top="2268" w:right="1417" w:bottom="1418" w:left="1418" w:header="794" w:footer="567" w:gutter="0"/>
          <w:cols w:space="708"/>
          <w:docGrid w:linePitch="360"/>
        </w:sectPr>
      </w:pPr>
    </w:p>
    <w:p w:rsidR="00F9271C" w:rsidRDefault="00F9271C" w:rsidP="00923E43">
      <w:pPr>
        <w:pStyle w:val="Appendix"/>
        <w:sectPr w:rsidR="00F9271C" w:rsidSect="00F82FAB">
          <w:pgSz w:w="11907" w:h="16840" w:code="9"/>
          <w:pgMar w:top="2268" w:right="1417" w:bottom="1418" w:left="1418" w:header="794" w:footer="567" w:gutter="0"/>
          <w:cols w:space="708"/>
          <w:docGrid w:linePitch="360"/>
        </w:sectPr>
      </w:pPr>
      <w:bookmarkStart w:id="39" w:name="_Toc347496986"/>
      <w:r>
        <w:t xml:space="preserve">Appendix </w:t>
      </w:r>
      <w:fldSimple w:instr=" SEQ letter\* ALPHABETIC\n  \* MERGEFORMAT ">
        <w:r>
          <w:rPr>
            <w:noProof/>
          </w:rPr>
          <w:t>C</w:t>
        </w:r>
      </w:fldSimple>
      <w:r>
        <w:t>:</w:t>
      </w:r>
      <w:r w:rsidRPr="00923E43">
        <w:t xml:space="preserve"> </w:t>
      </w:r>
      <w:r>
        <w:t>Full Noise Survey Results</w:t>
      </w:r>
      <w:bookmarkEnd w:id="39"/>
    </w:p>
    <w:p w:rsidR="00F9271C" w:rsidRDefault="00F9271C" w:rsidP="001E15C4">
      <w:pPr>
        <w:pStyle w:val="TableCaption"/>
      </w:pPr>
    </w:p>
    <w:p w:rsidR="00F9271C" w:rsidRDefault="00F9271C" w:rsidP="001E15C4">
      <w:pPr>
        <w:pStyle w:val="TableCaption"/>
      </w:pPr>
      <w:bookmarkStart w:id="40" w:name="_Toc347408722"/>
      <w:r>
        <w:t>Table B.1: Internal Noise Levels and Spectra</w:t>
      </w:r>
      <w:bookmarkEnd w:id="40"/>
    </w:p>
    <w:tbl>
      <w:tblPr>
        <w:tblW w:w="14332" w:type="dxa"/>
        <w:tblInd w:w="93" w:type="dxa"/>
        <w:tblLayout w:type="fixed"/>
        <w:tblLook w:val="00A0"/>
      </w:tblPr>
      <w:tblGrid>
        <w:gridCol w:w="1433"/>
        <w:gridCol w:w="1305"/>
        <w:gridCol w:w="1305"/>
        <w:gridCol w:w="960"/>
        <w:gridCol w:w="1006"/>
        <w:gridCol w:w="810"/>
        <w:gridCol w:w="851"/>
        <w:gridCol w:w="850"/>
        <w:gridCol w:w="709"/>
        <w:gridCol w:w="851"/>
        <w:gridCol w:w="850"/>
        <w:gridCol w:w="851"/>
        <w:gridCol w:w="850"/>
        <w:gridCol w:w="851"/>
        <w:gridCol w:w="850"/>
      </w:tblGrid>
      <w:tr w:rsidR="00F9271C" w:rsidRPr="00DB7029" w:rsidTr="00192D7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Classroom</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Start Time (hh:mm:ss)</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Duration (hh:mm:ss)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L</w:t>
            </w:r>
            <w:r w:rsidRPr="009C6A8B">
              <w:rPr>
                <w:vertAlign w:val="subscript"/>
                <w:lang w:eastAsia="en-GB"/>
              </w:rPr>
              <w:t>Aeq,T</w:t>
            </w:r>
            <w:r w:rsidRPr="009C6A8B">
              <w:rPr>
                <w:lang w:eastAsia="en-GB"/>
              </w:rPr>
              <w:t xml:space="preserve"> (dB)</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L</w:t>
            </w:r>
            <w:r w:rsidRPr="009C6A8B">
              <w:rPr>
                <w:vertAlign w:val="subscript"/>
                <w:lang w:eastAsia="en-GB"/>
              </w:rPr>
              <w:t>AFmax</w:t>
            </w:r>
            <w:r w:rsidRPr="009C6A8B">
              <w:rPr>
                <w:lang w:eastAsia="en-GB"/>
              </w:rPr>
              <w:t xml:space="preserve"> (dB)</w:t>
            </w:r>
          </w:p>
        </w:tc>
        <w:tc>
          <w:tcPr>
            <w:tcW w:w="8323" w:type="dxa"/>
            <w:gridSpan w:val="10"/>
            <w:tcBorders>
              <w:top w:val="single" w:sz="4" w:space="0" w:color="auto"/>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Octave Band L</w:t>
            </w:r>
            <w:r w:rsidRPr="009C6A8B">
              <w:rPr>
                <w:vertAlign w:val="subscript"/>
                <w:lang w:eastAsia="en-GB"/>
              </w:rPr>
              <w:t>Zeq,T</w:t>
            </w:r>
            <w:r w:rsidRPr="009C6A8B">
              <w:rPr>
                <w:lang w:eastAsia="en-GB"/>
              </w:rPr>
              <w:t xml:space="preserve"> (Hz, dB)</w:t>
            </w:r>
          </w:p>
        </w:tc>
      </w:tr>
      <w:tr w:rsidR="00F9271C" w:rsidRPr="00DB7029" w:rsidTr="00192D7C">
        <w:trPr>
          <w:trHeight w:val="255"/>
        </w:trPr>
        <w:tc>
          <w:tcPr>
            <w:tcW w:w="1433"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p>
        </w:tc>
        <w:tc>
          <w:tcPr>
            <w:tcW w:w="13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p>
        </w:tc>
        <w:tc>
          <w:tcPr>
            <w:tcW w:w="13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p>
        </w:tc>
        <w:tc>
          <w:tcPr>
            <w:tcW w:w="96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p>
        </w:tc>
        <w:tc>
          <w:tcPr>
            <w:tcW w:w="1006"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p>
        </w:tc>
        <w:tc>
          <w:tcPr>
            <w:tcW w:w="81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63</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125</w:t>
            </w:r>
          </w:p>
        </w:tc>
        <w:tc>
          <w:tcPr>
            <w:tcW w:w="709"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250</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500</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1000</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2000</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4000</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8000</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16000</w:t>
            </w:r>
          </w:p>
        </w:tc>
      </w:tr>
      <w:tr w:rsidR="00F9271C" w:rsidRPr="00DB7029" w:rsidTr="00192D7C">
        <w:trPr>
          <w:trHeight w:val="255"/>
        </w:trPr>
        <w:tc>
          <w:tcPr>
            <w:tcW w:w="1433" w:type="dxa"/>
            <w:tcBorders>
              <w:top w:val="nil"/>
              <w:left w:val="single" w:sz="4" w:space="0" w:color="auto"/>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Year 1</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13:07:14</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58</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69</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49</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47</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56</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44</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21</w:t>
            </w:r>
          </w:p>
        </w:tc>
      </w:tr>
      <w:tr w:rsidR="00F9271C" w:rsidRPr="00DB7029" w:rsidTr="00192D7C">
        <w:trPr>
          <w:trHeight w:val="255"/>
        </w:trPr>
        <w:tc>
          <w:tcPr>
            <w:tcW w:w="1433" w:type="dxa"/>
            <w:tcBorders>
              <w:top w:val="nil"/>
              <w:left w:val="single" w:sz="4" w:space="0" w:color="auto"/>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Year 2</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11:11:50</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61</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75</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59</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59</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55</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54</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58</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55</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48</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34</w:t>
            </w:r>
          </w:p>
        </w:tc>
      </w:tr>
      <w:tr w:rsidR="00F9271C" w:rsidRPr="00DB7029" w:rsidTr="00192D7C">
        <w:trPr>
          <w:trHeight w:val="255"/>
        </w:trPr>
        <w:tc>
          <w:tcPr>
            <w:tcW w:w="1433" w:type="dxa"/>
            <w:vMerge w:val="restart"/>
            <w:tcBorders>
              <w:top w:val="nil"/>
              <w:left w:val="single" w:sz="4" w:space="0" w:color="auto"/>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Year 3</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10:21:26</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0:10:00</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55</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72</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47</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37</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29</w:t>
            </w:r>
          </w:p>
        </w:tc>
      </w:tr>
      <w:tr w:rsidR="00F9271C" w:rsidRPr="00DB7029"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DB7029" w:rsidRDefault="00F9271C" w:rsidP="00192D7C">
            <w:pPr>
              <w:rPr>
                <w:rFonts w:cs="Arial"/>
                <w:color w:val="000000"/>
                <w:lang w:eastAsia="en-GB"/>
              </w:rPr>
            </w:pP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12:31:44</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58</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69</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58</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49</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55</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18</w:t>
            </w:r>
          </w:p>
        </w:tc>
      </w:tr>
      <w:tr w:rsidR="00F9271C" w:rsidRPr="00DB7029"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DB7029" w:rsidRDefault="00F9271C" w:rsidP="00192D7C">
            <w:pPr>
              <w:rPr>
                <w:rFonts w:cs="Arial"/>
                <w:color w:val="000000"/>
                <w:lang w:eastAsia="en-GB"/>
              </w:rPr>
            </w:pPr>
          </w:p>
        </w:tc>
        <w:tc>
          <w:tcPr>
            <w:tcW w:w="2610" w:type="dxa"/>
            <w:gridSpan w:val="2"/>
            <w:tcBorders>
              <w:top w:val="single" w:sz="4" w:space="0" w:color="auto"/>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Average</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57</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70</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56</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52</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52</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49</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34</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26</w:t>
            </w:r>
          </w:p>
        </w:tc>
      </w:tr>
      <w:tr w:rsidR="00F9271C" w:rsidRPr="00DB7029" w:rsidTr="00192D7C">
        <w:trPr>
          <w:trHeight w:val="255"/>
        </w:trPr>
        <w:tc>
          <w:tcPr>
            <w:tcW w:w="1433" w:type="dxa"/>
            <w:vMerge w:val="restart"/>
            <w:tcBorders>
              <w:top w:val="nil"/>
              <w:left w:val="single" w:sz="4" w:space="0" w:color="auto"/>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Year 4</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10:36:27</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0:09:23</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54</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76</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49</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47</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41</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35</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25</w:t>
            </w:r>
          </w:p>
        </w:tc>
      </w:tr>
      <w:tr w:rsidR="00F9271C" w:rsidRPr="00DB7029"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DB7029" w:rsidRDefault="00F9271C" w:rsidP="00192D7C">
            <w:pPr>
              <w:rPr>
                <w:rFonts w:cs="Arial"/>
                <w:color w:val="000000"/>
                <w:lang w:eastAsia="en-GB"/>
              </w:rPr>
            </w:pP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12:40:11</w:t>
            </w:r>
          </w:p>
        </w:tc>
        <w:tc>
          <w:tcPr>
            <w:tcW w:w="1305"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54</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65</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52</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49</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49</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51</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45</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37</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29</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21</w:t>
            </w:r>
          </w:p>
        </w:tc>
      </w:tr>
      <w:tr w:rsidR="00F9271C" w:rsidRPr="00DB7029"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DB7029" w:rsidRDefault="00F9271C" w:rsidP="00192D7C">
            <w:pPr>
              <w:rPr>
                <w:rFonts w:cs="Arial"/>
                <w:color w:val="000000"/>
                <w:lang w:eastAsia="en-GB"/>
              </w:rPr>
            </w:pPr>
          </w:p>
        </w:tc>
        <w:tc>
          <w:tcPr>
            <w:tcW w:w="2610" w:type="dxa"/>
            <w:gridSpan w:val="2"/>
            <w:tcBorders>
              <w:top w:val="single" w:sz="4" w:space="0" w:color="auto"/>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Average</w:t>
            </w:r>
          </w:p>
        </w:tc>
        <w:tc>
          <w:tcPr>
            <w:tcW w:w="96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54</w:t>
            </w:r>
          </w:p>
        </w:tc>
        <w:tc>
          <w:tcPr>
            <w:tcW w:w="1006"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71</w:t>
            </w:r>
          </w:p>
        </w:tc>
        <w:tc>
          <w:tcPr>
            <w:tcW w:w="81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709"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50</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46</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40</w:t>
            </w:r>
          </w:p>
        </w:tc>
        <w:tc>
          <w:tcPr>
            <w:tcW w:w="851"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33</w:t>
            </w:r>
          </w:p>
        </w:tc>
        <w:tc>
          <w:tcPr>
            <w:tcW w:w="850" w:type="dxa"/>
            <w:tcBorders>
              <w:top w:val="nil"/>
              <w:left w:val="nil"/>
              <w:bottom w:val="single" w:sz="4" w:space="0" w:color="auto"/>
              <w:right w:val="single" w:sz="4" w:space="0" w:color="auto"/>
            </w:tcBorders>
            <w:noWrap/>
            <w:vAlign w:val="center"/>
          </w:tcPr>
          <w:p w:rsidR="00F9271C" w:rsidRPr="00DB7029" w:rsidRDefault="00F9271C" w:rsidP="00192D7C">
            <w:pPr>
              <w:jc w:val="center"/>
              <w:rPr>
                <w:rFonts w:cs="Arial"/>
                <w:color w:val="000000"/>
                <w:lang w:eastAsia="en-GB"/>
              </w:rPr>
            </w:pPr>
            <w:r w:rsidRPr="00DB7029">
              <w:rPr>
                <w:rFonts w:cs="Arial"/>
                <w:color w:val="000000"/>
                <w:lang w:eastAsia="en-GB"/>
              </w:rPr>
              <w:t>23</w:t>
            </w:r>
          </w:p>
        </w:tc>
      </w:tr>
    </w:tbl>
    <w:p w:rsidR="00F9271C" w:rsidRDefault="00F9271C" w:rsidP="00923E43">
      <w:pPr>
        <w:pStyle w:val="BodyText"/>
      </w:pPr>
    </w:p>
    <w:p w:rsidR="00F9271C" w:rsidRDefault="00F9271C" w:rsidP="001E15C4">
      <w:pPr>
        <w:pStyle w:val="TableCaption"/>
      </w:pPr>
      <w:bookmarkStart w:id="41" w:name="_Toc347408723"/>
      <w:r>
        <w:t>Table B.2: Playground Noise Levels and Spectra in the Internal Measurement Periods</w:t>
      </w:r>
      <w:bookmarkEnd w:id="41"/>
    </w:p>
    <w:tbl>
      <w:tblPr>
        <w:tblW w:w="14332" w:type="dxa"/>
        <w:tblInd w:w="93" w:type="dxa"/>
        <w:tblLayout w:type="fixed"/>
        <w:tblLook w:val="00A0"/>
      </w:tblPr>
      <w:tblGrid>
        <w:gridCol w:w="1433"/>
        <w:gridCol w:w="1305"/>
        <w:gridCol w:w="1305"/>
        <w:gridCol w:w="960"/>
        <w:gridCol w:w="1006"/>
        <w:gridCol w:w="810"/>
        <w:gridCol w:w="851"/>
        <w:gridCol w:w="850"/>
        <w:gridCol w:w="709"/>
        <w:gridCol w:w="851"/>
        <w:gridCol w:w="850"/>
        <w:gridCol w:w="851"/>
        <w:gridCol w:w="850"/>
        <w:gridCol w:w="851"/>
        <w:gridCol w:w="850"/>
      </w:tblGrid>
      <w:tr w:rsidR="00F9271C" w:rsidRPr="00233B7A" w:rsidTr="00192D7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Classroom</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Start Time (hh:mm:ss)</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Duration (hh:mm:ss)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L</w:t>
            </w:r>
            <w:r w:rsidRPr="009C6A8B">
              <w:rPr>
                <w:vertAlign w:val="subscript"/>
                <w:lang w:eastAsia="en-GB"/>
              </w:rPr>
              <w:t>Aeq,T</w:t>
            </w:r>
            <w:r w:rsidRPr="009C6A8B">
              <w:rPr>
                <w:lang w:eastAsia="en-GB"/>
              </w:rPr>
              <w:t xml:space="preserve"> (dB)</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L</w:t>
            </w:r>
            <w:r w:rsidRPr="009C6A8B">
              <w:rPr>
                <w:vertAlign w:val="subscript"/>
                <w:lang w:eastAsia="en-GB"/>
              </w:rPr>
              <w:t>AFmax</w:t>
            </w:r>
            <w:r w:rsidRPr="009C6A8B">
              <w:rPr>
                <w:lang w:eastAsia="en-GB"/>
              </w:rPr>
              <w:t xml:space="preserve"> (dB)</w:t>
            </w:r>
          </w:p>
        </w:tc>
        <w:tc>
          <w:tcPr>
            <w:tcW w:w="8323" w:type="dxa"/>
            <w:gridSpan w:val="10"/>
            <w:tcBorders>
              <w:top w:val="single" w:sz="4" w:space="0" w:color="auto"/>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Octave Band L</w:t>
            </w:r>
            <w:r w:rsidRPr="009C6A8B">
              <w:rPr>
                <w:vertAlign w:val="subscript"/>
                <w:lang w:eastAsia="en-GB"/>
              </w:rPr>
              <w:t>Zeq,T</w:t>
            </w:r>
            <w:r w:rsidRPr="009C6A8B">
              <w:rPr>
                <w:lang w:eastAsia="en-GB"/>
              </w:rPr>
              <w:t xml:space="preserve"> (Hz, dB)</w:t>
            </w:r>
          </w:p>
        </w:tc>
      </w:tr>
      <w:tr w:rsidR="00F9271C" w:rsidRPr="00233B7A" w:rsidTr="00192D7C">
        <w:trPr>
          <w:trHeight w:val="255"/>
        </w:trPr>
        <w:tc>
          <w:tcPr>
            <w:tcW w:w="1433"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233B7A" w:rsidRDefault="00F9271C" w:rsidP="00192D7C">
            <w:pPr>
              <w:rPr>
                <w:rFonts w:cs="Arial"/>
                <w:b/>
                <w:bCs/>
                <w:color w:val="000000"/>
                <w:lang w:eastAsia="en-GB"/>
              </w:rPr>
            </w:pPr>
          </w:p>
        </w:tc>
        <w:tc>
          <w:tcPr>
            <w:tcW w:w="13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233B7A" w:rsidRDefault="00F9271C" w:rsidP="00192D7C">
            <w:pPr>
              <w:rPr>
                <w:rFonts w:cs="Arial"/>
                <w:b/>
                <w:bCs/>
                <w:color w:val="000000"/>
                <w:lang w:eastAsia="en-GB"/>
              </w:rPr>
            </w:pPr>
          </w:p>
        </w:tc>
        <w:tc>
          <w:tcPr>
            <w:tcW w:w="13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233B7A" w:rsidRDefault="00F9271C" w:rsidP="00192D7C">
            <w:pPr>
              <w:rPr>
                <w:rFonts w:cs="Arial"/>
                <w:b/>
                <w:bCs/>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233B7A" w:rsidRDefault="00F9271C" w:rsidP="00192D7C">
            <w:pPr>
              <w:rPr>
                <w:rFonts w:cs="Arial"/>
                <w:b/>
                <w:bCs/>
                <w:color w:val="000000"/>
                <w:lang w:eastAsia="en-GB"/>
              </w:rPr>
            </w:pPr>
          </w:p>
        </w:tc>
        <w:tc>
          <w:tcPr>
            <w:tcW w:w="1006"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233B7A" w:rsidRDefault="00F9271C" w:rsidP="00192D7C">
            <w:pPr>
              <w:rPr>
                <w:rFonts w:cs="Arial"/>
                <w:b/>
                <w:bCs/>
                <w:color w:val="000000"/>
                <w:lang w:eastAsia="en-GB"/>
              </w:rPr>
            </w:pPr>
          </w:p>
        </w:tc>
        <w:tc>
          <w:tcPr>
            <w:tcW w:w="81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63</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125</w:t>
            </w:r>
          </w:p>
        </w:tc>
        <w:tc>
          <w:tcPr>
            <w:tcW w:w="709"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250</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500</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1000</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2000</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4000</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8000</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16000</w:t>
            </w:r>
          </w:p>
        </w:tc>
      </w:tr>
      <w:tr w:rsidR="00F9271C" w:rsidRPr="00233B7A" w:rsidTr="00192D7C">
        <w:trPr>
          <w:trHeight w:val="255"/>
        </w:trPr>
        <w:tc>
          <w:tcPr>
            <w:tcW w:w="1433" w:type="dxa"/>
            <w:tcBorders>
              <w:top w:val="nil"/>
              <w:left w:val="single" w:sz="4" w:space="0" w:color="auto"/>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Year 1</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13:07:14</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79</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93</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65</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67</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61</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70</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76</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74</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54</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45</w:t>
            </w:r>
          </w:p>
        </w:tc>
      </w:tr>
      <w:tr w:rsidR="00F9271C" w:rsidRPr="00233B7A" w:rsidTr="00192D7C">
        <w:trPr>
          <w:trHeight w:val="255"/>
        </w:trPr>
        <w:tc>
          <w:tcPr>
            <w:tcW w:w="1433" w:type="dxa"/>
            <w:tcBorders>
              <w:top w:val="nil"/>
              <w:left w:val="single" w:sz="4" w:space="0" w:color="auto"/>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Year 2</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11:11:50</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81</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100</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68</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70</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69</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70</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77</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77</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70</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57</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45</w:t>
            </w:r>
          </w:p>
        </w:tc>
      </w:tr>
      <w:tr w:rsidR="00F9271C" w:rsidRPr="00233B7A" w:rsidTr="00192D7C">
        <w:trPr>
          <w:trHeight w:val="255"/>
        </w:trPr>
        <w:tc>
          <w:tcPr>
            <w:tcW w:w="1433" w:type="dxa"/>
            <w:vMerge w:val="restart"/>
            <w:tcBorders>
              <w:top w:val="nil"/>
              <w:left w:val="single" w:sz="4" w:space="0" w:color="auto"/>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Year 3</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10:21:26</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0:10:00</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69</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87</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62</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63</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57</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56</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63</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55</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46</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39</w:t>
            </w:r>
          </w:p>
        </w:tc>
      </w:tr>
      <w:tr w:rsidR="00F9271C" w:rsidRPr="00233B7A"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233B7A" w:rsidRDefault="00F9271C" w:rsidP="00192D7C">
            <w:pPr>
              <w:rPr>
                <w:rFonts w:cs="Arial"/>
                <w:color w:val="000000"/>
                <w:lang w:eastAsia="en-GB"/>
              </w:rPr>
            </w:pP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12:31:44</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80</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94</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68</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60</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71</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76</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76</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67</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55</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44</w:t>
            </w:r>
          </w:p>
        </w:tc>
      </w:tr>
      <w:tr w:rsidR="00F9271C" w:rsidRPr="00233B7A"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233B7A" w:rsidRDefault="00F9271C" w:rsidP="00192D7C">
            <w:pPr>
              <w:rPr>
                <w:rFonts w:cs="Arial"/>
                <w:color w:val="000000"/>
                <w:lang w:eastAsia="en-GB"/>
              </w:rPr>
            </w:pPr>
          </w:p>
        </w:tc>
        <w:tc>
          <w:tcPr>
            <w:tcW w:w="2610" w:type="dxa"/>
            <w:gridSpan w:val="2"/>
            <w:tcBorders>
              <w:top w:val="single" w:sz="4" w:space="0" w:color="auto"/>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Average</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78</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91</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65</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62</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58</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68</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74</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73</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52</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42</w:t>
            </w:r>
          </w:p>
        </w:tc>
      </w:tr>
      <w:tr w:rsidR="00F9271C" w:rsidRPr="00233B7A" w:rsidTr="00192D7C">
        <w:trPr>
          <w:trHeight w:val="255"/>
        </w:trPr>
        <w:tc>
          <w:tcPr>
            <w:tcW w:w="1433" w:type="dxa"/>
            <w:vMerge w:val="restart"/>
            <w:tcBorders>
              <w:top w:val="nil"/>
              <w:left w:val="single" w:sz="4" w:space="0" w:color="auto"/>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Year 4</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10:36:27</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0:09:23</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67</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86</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63</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63</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56</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55</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61</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60</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53</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45</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40</w:t>
            </w:r>
          </w:p>
        </w:tc>
      </w:tr>
      <w:tr w:rsidR="00F9271C" w:rsidRPr="00233B7A"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233B7A" w:rsidRDefault="00F9271C" w:rsidP="00192D7C">
            <w:pPr>
              <w:rPr>
                <w:rFonts w:cs="Arial"/>
                <w:color w:val="000000"/>
                <w:lang w:eastAsia="en-GB"/>
              </w:rPr>
            </w:pP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12:40:11</w:t>
            </w:r>
          </w:p>
        </w:tc>
        <w:tc>
          <w:tcPr>
            <w:tcW w:w="1305"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74</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90</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62</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67</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61</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71</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69</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57</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50</w:t>
            </w:r>
          </w:p>
        </w:tc>
      </w:tr>
      <w:tr w:rsidR="00F9271C" w:rsidRPr="00233B7A"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233B7A" w:rsidRDefault="00F9271C" w:rsidP="00192D7C">
            <w:pPr>
              <w:rPr>
                <w:rFonts w:cs="Arial"/>
                <w:color w:val="000000"/>
                <w:lang w:eastAsia="en-GB"/>
              </w:rPr>
            </w:pPr>
          </w:p>
        </w:tc>
        <w:tc>
          <w:tcPr>
            <w:tcW w:w="2610" w:type="dxa"/>
            <w:gridSpan w:val="2"/>
            <w:tcBorders>
              <w:top w:val="single" w:sz="4" w:space="0" w:color="auto"/>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Average</w:t>
            </w:r>
          </w:p>
        </w:tc>
        <w:tc>
          <w:tcPr>
            <w:tcW w:w="96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72</w:t>
            </w:r>
          </w:p>
        </w:tc>
        <w:tc>
          <w:tcPr>
            <w:tcW w:w="1006"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88</w:t>
            </w:r>
          </w:p>
        </w:tc>
        <w:tc>
          <w:tcPr>
            <w:tcW w:w="81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63</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65</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709"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59</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64</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69</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66</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61</w:t>
            </w:r>
          </w:p>
        </w:tc>
        <w:tc>
          <w:tcPr>
            <w:tcW w:w="851"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54</w:t>
            </w:r>
          </w:p>
        </w:tc>
        <w:tc>
          <w:tcPr>
            <w:tcW w:w="850" w:type="dxa"/>
            <w:tcBorders>
              <w:top w:val="nil"/>
              <w:left w:val="nil"/>
              <w:bottom w:val="single" w:sz="4" w:space="0" w:color="auto"/>
              <w:right w:val="single" w:sz="4" w:space="0" w:color="auto"/>
            </w:tcBorders>
            <w:noWrap/>
            <w:vAlign w:val="center"/>
          </w:tcPr>
          <w:p w:rsidR="00F9271C" w:rsidRPr="00233B7A" w:rsidRDefault="00F9271C" w:rsidP="00192D7C">
            <w:pPr>
              <w:jc w:val="center"/>
              <w:rPr>
                <w:rFonts w:cs="Arial"/>
                <w:color w:val="000000"/>
                <w:lang w:eastAsia="en-GB"/>
              </w:rPr>
            </w:pPr>
            <w:r w:rsidRPr="00233B7A">
              <w:rPr>
                <w:rFonts w:cs="Arial"/>
                <w:color w:val="000000"/>
                <w:lang w:eastAsia="en-GB"/>
              </w:rPr>
              <w:t>48</w:t>
            </w:r>
          </w:p>
        </w:tc>
      </w:tr>
    </w:tbl>
    <w:p w:rsidR="00F9271C" w:rsidRDefault="00F9271C" w:rsidP="00923E43">
      <w:pPr>
        <w:pStyle w:val="BodyText"/>
      </w:pPr>
    </w:p>
    <w:p w:rsidR="00F9271C" w:rsidRDefault="00F9271C" w:rsidP="001E15C4">
      <w:pPr>
        <w:pStyle w:val="TableCaption"/>
      </w:pPr>
    </w:p>
    <w:p w:rsidR="00F9271C" w:rsidRDefault="00F9271C" w:rsidP="001E15C4">
      <w:pPr>
        <w:pStyle w:val="TableCaption"/>
      </w:pPr>
    </w:p>
    <w:p w:rsidR="00F9271C" w:rsidRDefault="00F9271C" w:rsidP="001E15C4">
      <w:pPr>
        <w:pStyle w:val="TableCaption"/>
      </w:pPr>
    </w:p>
    <w:p w:rsidR="00F9271C" w:rsidRDefault="00F9271C" w:rsidP="001E15C4">
      <w:pPr>
        <w:pStyle w:val="TableCaption"/>
      </w:pPr>
    </w:p>
    <w:p w:rsidR="00F9271C" w:rsidRDefault="00F9271C" w:rsidP="001E15C4">
      <w:pPr>
        <w:pStyle w:val="TableCaption"/>
      </w:pPr>
    </w:p>
    <w:p w:rsidR="00F9271C" w:rsidRDefault="00F9271C" w:rsidP="001E15C4">
      <w:pPr>
        <w:pStyle w:val="TableCaption"/>
      </w:pPr>
      <w:bookmarkStart w:id="42" w:name="_Toc347408724"/>
      <w:r>
        <w:t>Table B.3: Difference between the Internal and External Noise Levels and Spectra</w:t>
      </w:r>
      <w:bookmarkEnd w:id="42"/>
      <w:r>
        <w:t xml:space="preserve"> </w:t>
      </w:r>
    </w:p>
    <w:tbl>
      <w:tblPr>
        <w:tblW w:w="14366" w:type="dxa"/>
        <w:tblInd w:w="93" w:type="dxa"/>
        <w:tblLook w:val="00A0"/>
      </w:tblPr>
      <w:tblGrid>
        <w:gridCol w:w="1433"/>
        <w:gridCol w:w="1305"/>
        <w:gridCol w:w="1305"/>
        <w:gridCol w:w="960"/>
        <w:gridCol w:w="1006"/>
        <w:gridCol w:w="810"/>
        <w:gridCol w:w="851"/>
        <w:gridCol w:w="709"/>
        <w:gridCol w:w="850"/>
        <w:gridCol w:w="851"/>
        <w:gridCol w:w="850"/>
        <w:gridCol w:w="851"/>
        <w:gridCol w:w="850"/>
        <w:gridCol w:w="851"/>
        <w:gridCol w:w="884"/>
      </w:tblGrid>
      <w:tr w:rsidR="00F9271C" w:rsidRPr="00AF19CE" w:rsidTr="00192D7C">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Classroom</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Start Time (hh:mm:ss)</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Duration (hh:mm:ss)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L</w:t>
            </w:r>
            <w:r w:rsidRPr="009C6A8B">
              <w:rPr>
                <w:vertAlign w:val="subscript"/>
                <w:lang w:eastAsia="en-GB"/>
              </w:rPr>
              <w:t>Aeq,T</w:t>
            </w:r>
            <w:r w:rsidRPr="009C6A8B">
              <w:rPr>
                <w:lang w:eastAsia="en-GB"/>
              </w:rPr>
              <w:t xml:space="preserve"> (dB)</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L</w:t>
            </w:r>
            <w:r w:rsidRPr="009C6A8B">
              <w:rPr>
                <w:vertAlign w:val="subscript"/>
                <w:lang w:eastAsia="en-GB"/>
              </w:rPr>
              <w:t>AFmax</w:t>
            </w:r>
            <w:r w:rsidRPr="009C6A8B">
              <w:rPr>
                <w:lang w:eastAsia="en-GB"/>
              </w:rPr>
              <w:t xml:space="preserve"> (dB)</w:t>
            </w:r>
          </w:p>
        </w:tc>
        <w:tc>
          <w:tcPr>
            <w:tcW w:w="8357" w:type="dxa"/>
            <w:gridSpan w:val="10"/>
            <w:tcBorders>
              <w:top w:val="single" w:sz="4" w:space="0" w:color="auto"/>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Octave Band L</w:t>
            </w:r>
            <w:r w:rsidRPr="009C6A8B">
              <w:rPr>
                <w:vertAlign w:val="subscript"/>
                <w:lang w:eastAsia="en-GB"/>
              </w:rPr>
              <w:t>Zeq,T</w:t>
            </w:r>
            <w:r w:rsidRPr="009C6A8B">
              <w:rPr>
                <w:lang w:eastAsia="en-GB"/>
              </w:rPr>
              <w:t xml:space="preserve"> (Hz, dB)</w:t>
            </w:r>
          </w:p>
        </w:tc>
      </w:tr>
      <w:tr w:rsidR="00F9271C" w:rsidRPr="00AF19CE" w:rsidTr="00192D7C">
        <w:trPr>
          <w:trHeight w:val="255"/>
        </w:trPr>
        <w:tc>
          <w:tcPr>
            <w:tcW w:w="1433"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AF19CE" w:rsidRDefault="00F9271C" w:rsidP="00192D7C">
            <w:pPr>
              <w:rPr>
                <w:rFonts w:cs="Arial"/>
                <w:b/>
                <w:bCs/>
                <w:color w:val="000000"/>
                <w:lang w:eastAsia="en-GB"/>
              </w:rPr>
            </w:pPr>
          </w:p>
        </w:tc>
        <w:tc>
          <w:tcPr>
            <w:tcW w:w="13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AF19CE" w:rsidRDefault="00F9271C" w:rsidP="00192D7C">
            <w:pPr>
              <w:rPr>
                <w:rFonts w:cs="Arial"/>
                <w:b/>
                <w:bCs/>
                <w:color w:val="000000"/>
                <w:lang w:eastAsia="en-GB"/>
              </w:rPr>
            </w:pPr>
          </w:p>
        </w:tc>
        <w:tc>
          <w:tcPr>
            <w:tcW w:w="130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AF19CE" w:rsidRDefault="00F9271C" w:rsidP="00192D7C">
            <w:pPr>
              <w:rPr>
                <w:rFonts w:cs="Arial"/>
                <w:b/>
                <w:bCs/>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AF19CE" w:rsidRDefault="00F9271C" w:rsidP="00192D7C">
            <w:pPr>
              <w:rPr>
                <w:rFonts w:cs="Arial"/>
                <w:b/>
                <w:bCs/>
                <w:color w:val="000000"/>
                <w:lang w:eastAsia="en-GB"/>
              </w:rPr>
            </w:pPr>
          </w:p>
        </w:tc>
        <w:tc>
          <w:tcPr>
            <w:tcW w:w="1006"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AF19CE" w:rsidRDefault="00F9271C" w:rsidP="00192D7C">
            <w:pPr>
              <w:rPr>
                <w:rFonts w:cs="Arial"/>
                <w:b/>
                <w:bCs/>
                <w:color w:val="000000"/>
                <w:lang w:eastAsia="en-GB"/>
              </w:rPr>
            </w:pPr>
          </w:p>
        </w:tc>
        <w:tc>
          <w:tcPr>
            <w:tcW w:w="81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709"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0"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51"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c>
          <w:tcPr>
            <w:tcW w:w="884" w:type="dxa"/>
            <w:tcBorders>
              <w:top w:val="nil"/>
              <w:left w:val="nil"/>
              <w:bottom w:val="single" w:sz="4" w:space="0" w:color="auto"/>
              <w:right w:val="single" w:sz="4" w:space="0" w:color="auto"/>
            </w:tcBorders>
            <w:shd w:val="clear" w:color="auto" w:fill="BFBFBF"/>
            <w:vAlign w:val="center"/>
          </w:tcPr>
          <w:p w:rsidR="00F9271C" w:rsidRPr="009C6A8B" w:rsidRDefault="00F9271C" w:rsidP="00192D7C">
            <w:pPr>
              <w:pStyle w:val="Tableheaders"/>
              <w:rPr>
                <w:lang w:eastAsia="en-GB"/>
              </w:rPr>
            </w:pPr>
            <w:r w:rsidRPr="009C6A8B">
              <w:rPr>
                <w:lang w:eastAsia="en-GB"/>
              </w:rPr>
              <w:t>31.5</w:t>
            </w:r>
          </w:p>
        </w:tc>
      </w:tr>
      <w:tr w:rsidR="00F9271C" w:rsidRPr="00AF19CE" w:rsidTr="00192D7C">
        <w:trPr>
          <w:trHeight w:val="255"/>
        </w:trPr>
        <w:tc>
          <w:tcPr>
            <w:tcW w:w="1433" w:type="dxa"/>
            <w:tcBorders>
              <w:top w:val="nil"/>
              <w:left w:val="single" w:sz="4" w:space="0" w:color="auto"/>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Year 1</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13:07:14</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21</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25</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12</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16</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14</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22</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22</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23</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24</w:t>
            </w:r>
          </w:p>
        </w:tc>
      </w:tr>
      <w:tr w:rsidR="00F9271C" w:rsidRPr="00AF19CE" w:rsidTr="00192D7C">
        <w:trPr>
          <w:trHeight w:val="255"/>
        </w:trPr>
        <w:tc>
          <w:tcPr>
            <w:tcW w:w="1433" w:type="dxa"/>
            <w:tcBorders>
              <w:top w:val="nil"/>
              <w:left w:val="single" w:sz="4" w:space="0" w:color="auto"/>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Year 2</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11:11:50</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20</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24</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8</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11</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13</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24</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9</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r>
      <w:tr w:rsidR="00F9271C" w:rsidRPr="00AF19CE" w:rsidTr="00192D7C">
        <w:trPr>
          <w:trHeight w:val="255"/>
        </w:trPr>
        <w:tc>
          <w:tcPr>
            <w:tcW w:w="1433" w:type="dxa"/>
            <w:vMerge w:val="restart"/>
            <w:tcBorders>
              <w:top w:val="nil"/>
              <w:left w:val="single" w:sz="4" w:space="0" w:color="auto"/>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Year 3</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10:21:26</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0:10:00</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14</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13</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6</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3</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11</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16</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11</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r>
      <w:tr w:rsidR="00F9271C" w:rsidRPr="00AF19CE"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AF19CE" w:rsidRDefault="00F9271C" w:rsidP="00192D7C">
            <w:pPr>
              <w:rPr>
                <w:rFonts w:cs="Arial"/>
                <w:color w:val="000000"/>
                <w:lang w:eastAsia="en-GB"/>
              </w:rPr>
            </w:pP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12:31:44</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23</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25</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9</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17</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21</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25</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25</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25</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26</w:t>
            </w:r>
          </w:p>
        </w:tc>
      </w:tr>
      <w:tr w:rsidR="00F9271C" w:rsidRPr="00AF19CE"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AF19CE" w:rsidRDefault="00F9271C" w:rsidP="00192D7C">
            <w:pPr>
              <w:rPr>
                <w:rFonts w:cs="Arial"/>
                <w:color w:val="000000"/>
                <w:lang w:eastAsia="en-GB"/>
              </w:rPr>
            </w:pPr>
          </w:p>
        </w:tc>
        <w:tc>
          <w:tcPr>
            <w:tcW w:w="2610" w:type="dxa"/>
            <w:gridSpan w:val="2"/>
            <w:tcBorders>
              <w:top w:val="single" w:sz="4" w:space="0" w:color="auto"/>
              <w:left w:val="nil"/>
              <w:bottom w:val="single" w:sz="4" w:space="0" w:color="auto"/>
              <w:right w:val="single" w:sz="4" w:space="0" w:color="000000"/>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Average</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18</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20</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9</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11</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6</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18</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20</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18</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17</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18</w:t>
            </w:r>
          </w:p>
        </w:tc>
      </w:tr>
      <w:tr w:rsidR="00F9271C" w:rsidRPr="00AF19CE" w:rsidTr="00192D7C">
        <w:trPr>
          <w:trHeight w:val="255"/>
        </w:trPr>
        <w:tc>
          <w:tcPr>
            <w:tcW w:w="1433" w:type="dxa"/>
            <w:vMerge w:val="restart"/>
            <w:tcBorders>
              <w:top w:val="nil"/>
              <w:left w:val="single" w:sz="4" w:space="0" w:color="auto"/>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Year 4</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10:36:27</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0:09:23</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13</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13</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8</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4</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14</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13</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12</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r>
      <w:tr w:rsidR="00F9271C" w:rsidRPr="00AF19CE"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AF19CE" w:rsidRDefault="00F9271C" w:rsidP="00192D7C">
            <w:pPr>
              <w:rPr>
                <w:rFonts w:cs="Arial"/>
                <w:color w:val="000000"/>
                <w:lang w:eastAsia="en-GB"/>
              </w:rPr>
            </w:pP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12:40:11</w:t>
            </w:r>
          </w:p>
        </w:tc>
        <w:tc>
          <w:tcPr>
            <w:tcW w:w="1305"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0:05:00</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21</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25</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15</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17</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12</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18</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24</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27</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28</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30</w:t>
            </w:r>
          </w:p>
        </w:tc>
      </w:tr>
      <w:tr w:rsidR="00F9271C" w:rsidRPr="00AF19CE" w:rsidTr="00192D7C">
        <w:trPr>
          <w:trHeight w:val="255"/>
        </w:trPr>
        <w:tc>
          <w:tcPr>
            <w:tcW w:w="1433" w:type="dxa"/>
            <w:vMerge/>
            <w:tcBorders>
              <w:top w:val="nil"/>
              <w:left w:val="single" w:sz="4" w:space="0" w:color="auto"/>
              <w:bottom w:val="single" w:sz="4" w:space="0" w:color="auto"/>
              <w:right w:val="single" w:sz="4" w:space="0" w:color="auto"/>
            </w:tcBorders>
            <w:vAlign w:val="center"/>
          </w:tcPr>
          <w:p w:rsidR="00F9271C" w:rsidRPr="00AF19CE" w:rsidRDefault="00F9271C" w:rsidP="00192D7C">
            <w:pPr>
              <w:rPr>
                <w:rFonts w:cs="Arial"/>
                <w:color w:val="000000"/>
                <w:lang w:eastAsia="en-GB"/>
              </w:rPr>
            </w:pPr>
          </w:p>
        </w:tc>
        <w:tc>
          <w:tcPr>
            <w:tcW w:w="2610" w:type="dxa"/>
            <w:gridSpan w:val="2"/>
            <w:tcBorders>
              <w:top w:val="single" w:sz="4" w:space="0" w:color="auto"/>
              <w:left w:val="nil"/>
              <w:bottom w:val="single" w:sz="4" w:space="0" w:color="auto"/>
              <w:right w:val="single" w:sz="4" w:space="0" w:color="000000"/>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Average</w:t>
            </w:r>
          </w:p>
        </w:tc>
        <w:tc>
          <w:tcPr>
            <w:tcW w:w="96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17</w:t>
            </w:r>
          </w:p>
        </w:tc>
        <w:tc>
          <w:tcPr>
            <w:tcW w:w="1006"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17</w:t>
            </w:r>
          </w:p>
        </w:tc>
        <w:tc>
          <w:tcPr>
            <w:tcW w:w="81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10</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14</w:t>
            </w:r>
          </w:p>
        </w:tc>
        <w:tc>
          <w:tcPr>
            <w:tcW w:w="709"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12</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8</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14</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17</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50"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51"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19</w:t>
            </w:r>
          </w:p>
        </w:tc>
        <w:tc>
          <w:tcPr>
            <w:tcW w:w="884" w:type="dxa"/>
            <w:tcBorders>
              <w:top w:val="nil"/>
              <w:left w:val="nil"/>
              <w:bottom w:val="single" w:sz="4" w:space="0" w:color="auto"/>
              <w:right w:val="single" w:sz="4" w:space="0" w:color="auto"/>
            </w:tcBorders>
            <w:noWrap/>
            <w:vAlign w:val="center"/>
          </w:tcPr>
          <w:p w:rsidR="00F9271C" w:rsidRPr="00AF19CE" w:rsidRDefault="00F9271C" w:rsidP="00192D7C">
            <w:pPr>
              <w:jc w:val="center"/>
              <w:rPr>
                <w:rFonts w:cs="Arial"/>
                <w:color w:val="000000"/>
                <w:lang w:eastAsia="en-GB"/>
              </w:rPr>
            </w:pPr>
            <w:r w:rsidRPr="00AF19CE">
              <w:rPr>
                <w:rFonts w:cs="Arial"/>
                <w:color w:val="000000"/>
                <w:lang w:eastAsia="en-GB"/>
              </w:rPr>
              <w:t>22</w:t>
            </w:r>
          </w:p>
        </w:tc>
      </w:tr>
    </w:tbl>
    <w:p w:rsidR="00F9271C" w:rsidRPr="00B8188B" w:rsidRDefault="00F9271C" w:rsidP="00923E43">
      <w:pPr>
        <w:pStyle w:val="BodyText"/>
      </w:pPr>
    </w:p>
    <w:p w:rsidR="00F9271C" w:rsidRDefault="00F9271C" w:rsidP="00923E43">
      <w:pPr>
        <w:pStyle w:val="BodyText"/>
      </w:pPr>
    </w:p>
    <w:p w:rsidR="00F9271C" w:rsidRDefault="00F9271C"/>
    <w:p w:rsidR="00F9271C" w:rsidRDefault="00F9271C" w:rsidP="008A45DC">
      <w:pPr>
        <w:pStyle w:val="BodyText"/>
      </w:pPr>
    </w:p>
    <w:p w:rsidR="00F9271C" w:rsidRDefault="00F9271C" w:rsidP="00923E43">
      <w:pPr>
        <w:pStyle w:val="BodyText"/>
      </w:pPr>
    </w:p>
    <w:p w:rsidR="00F9271C" w:rsidRDefault="00F9271C" w:rsidP="00923E43">
      <w:pPr>
        <w:pStyle w:val="BodyText"/>
        <w:sectPr w:rsidR="00F9271C" w:rsidSect="00923E43">
          <w:footerReference w:type="default" r:id="rId18"/>
          <w:pgSz w:w="16840" w:h="11907" w:orient="landscape" w:code="9"/>
          <w:pgMar w:top="1418" w:right="2268" w:bottom="1417" w:left="1418" w:header="794" w:footer="567" w:gutter="0"/>
          <w:cols w:space="708"/>
          <w:docGrid w:linePitch="360"/>
        </w:sectPr>
      </w:pPr>
    </w:p>
    <w:p w:rsidR="00F9271C" w:rsidRDefault="00F9271C" w:rsidP="00923E43">
      <w:pPr>
        <w:pStyle w:val="Appendix"/>
      </w:pPr>
      <w:bookmarkStart w:id="43" w:name="_Toc347496987"/>
      <w:r>
        <w:t xml:space="preserve">Appendix </w:t>
      </w:r>
      <w:fldSimple w:instr=" SEQ letter\* ALPHABETIC\n  \* MERGEFORMAT ">
        <w:r>
          <w:rPr>
            <w:noProof/>
          </w:rPr>
          <w:t>D</w:t>
        </w:r>
      </w:fldSimple>
      <w:r>
        <w:t>: Comparison of predicted Demolition and Site Clearance Noise Levels with existing noise at school</w:t>
      </w:r>
      <w:bookmarkEnd w:id="43"/>
    </w:p>
    <w:p w:rsidR="00F9271C" w:rsidRDefault="00F9271C">
      <w:pPr>
        <w:sectPr w:rsidR="00F9271C" w:rsidSect="00F82FAB">
          <w:footerReference w:type="default" r:id="rId19"/>
          <w:pgSz w:w="11907" w:h="16840" w:code="9"/>
          <w:pgMar w:top="2268" w:right="1417" w:bottom="1418" w:left="1418" w:header="794" w:footer="567" w:gutter="0"/>
          <w:cols w:space="708"/>
          <w:docGrid w:linePitch="360"/>
        </w:sectPr>
      </w:pPr>
    </w:p>
    <w:p w:rsidR="00F9271C" w:rsidRDefault="00F9271C" w:rsidP="00397402">
      <w:pPr>
        <w:pStyle w:val="TableCaption"/>
        <w:ind w:left="0"/>
      </w:pPr>
    </w:p>
    <w:p w:rsidR="00F9271C" w:rsidRDefault="00F9271C" w:rsidP="00CE14AB">
      <w:pPr>
        <w:tabs>
          <w:tab w:val="left" w:pos="851"/>
        </w:tabs>
        <w:ind w:left="851" w:hanging="851"/>
      </w:pPr>
      <w:r>
        <w:t>D.1.1.</w:t>
      </w:r>
      <w:r>
        <w:tab/>
        <w:t>The tables below provide detailed information from the modelling to show the change in noise levels as a result of the demolition and site clearance works when compared to the existing noise levels inside the classrooms either with or without children in the playground.</w:t>
      </w:r>
    </w:p>
    <w:p w:rsidR="00F9271C" w:rsidRDefault="00F9271C" w:rsidP="00CE14AB">
      <w:pPr>
        <w:tabs>
          <w:tab w:val="left" w:pos="851"/>
        </w:tabs>
        <w:ind w:left="851" w:hanging="851"/>
      </w:pPr>
    </w:p>
    <w:p w:rsidR="00F9271C" w:rsidRDefault="00F9271C" w:rsidP="00CE14AB">
      <w:pPr>
        <w:tabs>
          <w:tab w:val="left" w:pos="851"/>
        </w:tabs>
        <w:ind w:left="851" w:hanging="851"/>
      </w:pPr>
      <w:r>
        <w:t>D.1.2.</w:t>
      </w:r>
      <w:r>
        <w:tab/>
        <w:t>The LIGHT GREY CELLS highlight where there is an increase in noise level of UP TO 3 DB for a predicted internal noise level during demolition (with no children in the playground) compared to the existing internal levels with children using the playground.</w:t>
      </w:r>
    </w:p>
    <w:p w:rsidR="00F9271C" w:rsidRDefault="00F9271C" w:rsidP="00AB12AF">
      <w:pPr>
        <w:tabs>
          <w:tab w:val="left" w:pos="851"/>
        </w:tabs>
        <w:ind w:left="851" w:hanging="851"/>
      </w:pPr>
    </w:p>
    <w:p w:rsidR="00F9271C" w:rsidRDefault="00F9271C" w:rsidP="00AB12AF">
      <w:pPr>
        <w:tabs>
          <w:tab w:val="left" w:pos="851"/>
        </w:tabs>
        <w:ind w:left="851" w:hanging="851"/>
      </w:pPr>
      <w:r>
        <w:t>D.1.3.</w:t>
      </w:r>
      <w:r>
        <w:tab/>
        <w:t>The DARK GREY CELLS indicate an increase in noise level of OVER 3 DB for a predicted internal noise level during demolition (with no children in the playground) compare to the existing internal levels with children using the playground.</w:t>
      </w:r>
    </w:p>
    <w:p w:rsidR="00F9271C" w:rsidRDefault="00F9271C" w:rsidP="00397402">
      <w:pPr>
        <w:pStyle w:val="TableCaption"/>
        <w:ind w:left="0"/>
      </w:pPr>
    </w:p>
    <w:p w:rsidR="00F9271C" w:rsidRDefault="00F9271C" w:rsidP="00397402">
      <w:pPr>
        <w:pStyle w:val="TableCaption"/>
        <w:ind w:left="0"/>
      </w:pPr>
      <w:r>
        <w:t>Table D.1: Predicted Unmitigated Demolition and Site Preparation Noise Levels</w:t>
      </w:r>
    </w:p>
    <w:tbl>
      <w:tblPr>
        <w:tblW w:w="5000" w:type="pct"/>
        <w:tblInd w:w="93" w:type="dxa"/>
        <w:tblLook w:val="00A0"/>
      </w:tblPr>
      <w:tblGrid>
        <w:gridCol w:w="1337"/>
        <w:gridCol w:w="2123"/>
        <w:gridCol w:w="959"/>
        <w:gridCol w:w="1089"/>
        <w:gridCol w:w="1089"/>
        <w:gridCol w:w="1089"/>
        <w:gridCol w:w="1421"/>
        <w:gridCol w:w="1421"/>
        <w:gridCol w:w="1421"/>
        <w:gridCol w:w="1421"/>
      </w:tblGrid>
      <w:tr w:rsidR="00F9271C" w:rsidRPr="00397402" w:rsidTr="00C31C23">
        <w:trPr>
          <w:trHeight w:val="255"/>
          <w:tblHeader/>
        </w:trPr>
        <w:tc>
          <w:tcPr>
            <w:tcW w:w="1240" w:type="dxa"/>
            <w:vMerge w:val="restart"/>
            <w:tcBorders>
              <w:top w:val="single" w:sz="4" w:space="0" w:color="auto"/>
              <w:left w:val="single" w:sz="4" w:space="0" w:color="auto"/>
              <w:bottom w:val="single" w:sz="4" w:space="0" w:color="000000"/>
              <w:right w:val="single" w:sz="4" w:space="0" w:color="auto"/>
            </w:tcBorders>
            <w:shd w:val="clear" w:color="auto" w:fill="BFBFBF"/>
            <w:noWrap/>
            <w:vAlign w:val="center"/>
          </w:tcPr>
          <w:p w:rsidR="00F9271C" w:rsidRPr="009C6A8B" w:rsidRDefault="00F9271C" w:rsidP="00C31C23">
            <w:pPr>
              <w:pStyle w:val="Tableheaders"/>
              <w:rPr>
                <w:lang w:eastAsia="en-GB"/>
              </w:rPr>
            </w:pPr>
            <w:r w:rsidRPr="009C6A8B">
              <w:rPr>
                <w:lang w:eastAsia="en-GB"/>
              </w:rPr>
              <w:t>Classroom</w:t>
            </w:r>
          </w:p>
        </w:tc>
        <w:tc>
          <w:tcPr>
            <w:tcW w:w="11160" w:type="dxa"/>
            <w:gridSpan w:val="9"/>
            <w:tcBorders>
              <w:top w:val="single" w:sz="4" w:space="0" w:color="auto"/>
              <w:left w:val="nil"/>
              <w:bottom w:val="nil"/>
              <w:right w:val="single" w:sz="4" w:space="0" w:color="000000"/>
            </w:tcBorders>
            <w:shd w:val="clear" w:color="auto" w:fill="BFBFBF"/>
            <w:noWrap/>
            <w:vAlign w:val="center"/>
          </w:tcPr>
          <w:p w:rsidR="00F9271C" w:rsidRPr="009C6A8B" w:rsidRDefault="00F9271C" w:rsidP="00BC6041">
            <w:pPr>
              <w:pStyle w:val="Tableheaders"/>
              <w:spacing w:before="120" w:after="120"/>
              <w:jc w:val="center"/>
              <w:rPr>
                <w:lang w:eastAsia="en-GB"/>
              </w:rPr>
            </w:pPr>
            <w:r w:rsidRPr="009C6A8B">
              <w:rPr>
                <w:lang w:eastAsia="en-GB"/>
              </w:rPr>
              <w:t>L</w:t>
            </w:r>
            <w:r w:rsidRPr="009C6A8B">
              <w:rPr>
                <w:vertAlign w:val="subscript"/>
                <w:lang w:eastAsia="en-GB"/>
              </w:rPr>
              <w:t>Zeq,T</w:t>
            </w:r>
            <w:r w:rsidRPr="009C6A8B">
              <w:rPr>
                <w:lang w:eastAsia="en-GB"/>
              </w:rPr>
              <w:t xml:space="preserve"> (Hz, dB)</w:t>
            </w:r>
          </w:p>
        </w:tc>
      </w:tr>
      <w:tr w:rsidR="00F9271C" w:rsidRPr="00397402" w:rsidTr="00C31C23">
        <w:trPr>
          <w:trHeight w:val="255"/>
          <w:tblHeader/>
        </w:trPr>
        <w:tc>
          <w:tcPr>
            <w:tcW w:w="1240" w:type="dxa"/>
            <w:vMerge/>
            <w:tcBorders>
              <w:top w:val="single" w:sz="4" w:space="0" w:color="auto"/>
              <w:left w:val="single" w:sz="4" w:space="0" w:color="auto"/>
              <w:bottom w:val="single" w:sz="4" w:space="0" w:color="000000"/>
              <w:right w:val="single" w:sz="4" w:space="0" w:color="auto"/>
            </w:tcBorders>
            <w:shd w:val="clear" w:color="auto" w:fill="BFBFBF"/>
            <w:vAlign w:val="center"/>
          </w:tcPr>
          <w:p w:rsidR="00F9271C" w:rsidRPr="009C6A8B" w:rsidRDefault="00F9271C" w:rsidP="00C31C23">
            <w:pPr>
              <w:pStyle w:val="Tableheaders"/>
              <w:rPr>
                <w:lang w:eastAsia="en-GB"/>
              </w:rPr>
            </w:pPr>
          </w:p>
        </w:tc>
        <w:tc>
          <w:tcPr>
            <w:tcW w:w="1969"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567C9C">
            <w:pPr>
              <w:pStyle w:val="Tableheaders"/>
              <w:spacing w:before="120" w:after="120"/>
              <w:rPr>
                <w:lang w:eastAsia="en-GB"/>
              </w:rPr>
            </w:pPr>
            <w:r w:rsidRPr="009C6A8B">
              <w:rPr>
                <w:lang w:eastAsia="en-GB"/>
              </w:rPr>
              <w:t>L</w:t>
            </w:r>
            <w:r w:rsidRPr="009C6A8B">
              <w:rPr>
                <w:vertAlign w:val="subscript"/>
                <w:lang w:eastAsia="en-GB"/>
              </w:rPr>
              <w:t xml:space="preserve">Aeq </w:t>
            </w:r>
            <w:r w:rsidRPr="009C6A8B">
              <w:rPr>
                <w:lang w:eastAsia="en-GB"/>
              </w:rPr>
              <w:t xml:space="preserve"> (dB)</w:t>
            </w:r>
          </w:p>
        </w:tc>
        <w:tc>
          <w:tcPr>
            <w:tcW w:w="889"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63</w:t>
            </w:r>
          </w:p>
        </w:tc>
        <w:tc>
          <w:tcPr>
            <w:tcW w:w="1010"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125</w:t>
            </w:r>
          </w:p>
        </w:tc>
        <w:tc>
          <w:tcPr>
            <w:tcW w:w="1010"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250</w:t>
            </w:r>
          </w:p>
        </w:tc>
        <w:tc>
          <w:tcPr>
            <w:tcW w:w="1010"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500</w:t>
            </w:r>
          </w:p>
        </w:tc>
        <w:tc>
          <w:tcPr>
            <w:tcW w:w="1318"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1000</w:t>
            </w:r>
          </w:p>
        </w:tc>
        <w:tc>
          <w:tcPr>
            <w:tcW w:w="1318"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2000</w:t>
            </w:r>
          </w:p>
        </w:tc>
        <w:tc>
          <w:tcPr>
            <w:tcW w:w="1318"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4000</w:t>
            </w:r>
          </w:p>
        </w:tc>
        <w:tc>
          <w:tcPr>
            <w:tcW w:w="1318" w:type="dxa"/>
            <w:tcBorders>
              <w:top w:val="single" w:sz="4" w:space="0" w:color="auto"/>
              <w:left w:val="nil"/>
              <w:bottom w:val="single" w:sz="4" w:space="0" w:color="auto"/>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8000</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567C9C">
            <w:pPr>
              <w:pStyle w:val="Tableheaders"/>
              <w:rPr>
                <w:lang w:eastAsia="en-GB"/>
              </w:rPr>
            </w:pPr>
            <w:r w:rsidRPr="009C6A8B">
              <w:rPr>
                <w:lang w:eastAsia="en-GB"/>
              </w:rPr>
              <w:t>Increase in existing internal noise levels with children in playground due to demolition noise level</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upper floors</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000000"/>
            </w:tcBorders>
            <w:noWrap/>
            <w:vAlign w:val="center"/>
          </w:tcPr>
          <w:p w:rsidR="00F9271C" w:rsidRPr="009C6A8B" w:rsidRDefault="00F9271C" w:rsidP="00C7636D">
            <w:pPr>
              <w:pStyle w:val="Tableheaders"/>
              <w:rPr>
                <w:lang w:eastAsia="en-GB"/>
              </w:rPr>
            </w:pPr>
            <w:r w:rsidRPr="009C6A8B">
              <w:rPr>
                <w:lang w:eastAsia="en-GB"/>
              </w:rPr>
              <w:t>Demolition on 1st floor</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8</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11</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15</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11</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000000"/>
            </w:tcBorders>
            <w:noWrap/>
            <w:vAlign w:val="center"/>
          </w:tcPr>
          <w:p w:rsidR="00F9271C" w:rsidRPr="009C6A8B" w:rsidRDefault="00F9271C" w:rsidP="00C7636D">
            <w:pPr>
              <w:pStyle w:val="Tableheaders"/>
              <w:rPr>
                <w:lang w:eastAsia="en-GB"/>
              </w:rPr>
            </w:pPr>
            <w:r w:rsidRPr="009C6A8B">
              <w:rPr>
                <w:lang w:eastAsia="en-GB"/>
              </w:rPr>
              <w:t>Demolition on ground floor</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8</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Site preparation</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567C9C">
            <w:pPr>
              <w:pStyle w:val="Tableheaders"/>
              <w:rPr>
                <w:lang w:eastAsia="en-GB"/>
              </w:rPr>
            </w:pPr>
            <w:r w:rsidRPr="009C6A8B">
              <w:rPr>
                <w:lang w:eastAsia="en-GB"/>
              </w:rPr>
              <w:t>Increase in existing internal noise levels without children in playground due to demolition noise level</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upper floors</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1st floor</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16</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16</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16</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16</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11</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18</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20</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ground floor</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8</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8</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88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9</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16</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Site preparation</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567C9C">
            <w:pPr>
              <w:pStyle w:val="Tableheaders"/>
              <w:rPr>
                <w:lang w:eastAsia="en-GB"/>
              </w:rPr>
            </w:pPr>
            <w:r w:rsidRPr="009C6A8B">
              <w:rPr>
                <w:lang w:eastAsia="en-GB"/>
              </w:rPr>
              <w:t>Difference between predicted internal with demolition and no children and existing internal with children in playground</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upper floors</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-15</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-18</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-8</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-17</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-27</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-17</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-18</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-15</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-9</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-9</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-9</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1st floor</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13</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-17</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-7</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10</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-18</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01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15</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-18</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-9</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01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1</w:t>
            </w:r>
          </w:p>
        </w:tc>
        <w:tc>
          <w:tcPr>
            <w:tcW w:w="131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11</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11</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ground floor</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-7</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-5</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-15</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-25</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-19</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-11</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-15</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-17</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-8</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-9</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-5</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31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6</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-5</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0</w:t>
            </w:r>
          </w:p>
        </w:tc>
        <w:tc>
          <w:tcPr>
            <w:tcW w:w="131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9271C" w:rsidRPr="009C6A8B" w:rsidRDefault="00F9271C" w:rsidP="00C31C23">
            <w:pPr>
              <w:pStyle w:val="Tabletext"/>
              <w:rPr>
                <w:lang w:eastAsia="en-GB"/>
              </w:rPr>
            </w:pPr>
            <w:r w:rsidRPr="009C6A8B">
              <w:rPr>
                <w:lang w:eastAsia="en-GB"/>
              </w:rPr>
              <w:t>2</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c>
          <w:tcPr>
            <w:tcW w:w="1318"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F9271C" w:rsidRPr="009C6A8B" w:rsidRDefault="00F9271C" w:rsidP="00C31C23">
            <w:pPr>
              <w:pStyle w:val="Tabletext"/>
              <w:rPr>
                <w:lang w:eastAsia="en-GB"/>
              </w:rPr>
            </w:pPr>
            <w:r w:rsidRPr="009C6A8B">
              <w:rPr>
                <w:lang w:eastAsia="en-GB"/>
              </w:rPr>
              <w:t>7</w:t>
            </w:r>
          </w:p>
        </w:tc>
      </w:tr>
      <w:tr w:rsidR="00F9271C" w:rsidRPr="00397402" w:rsidTr="00C31C23">
        <w:trPr>
          <w:trHeight w:val="255"/>
        </w:trPr>
        <w:tc>
          <w:tcPr>
            <w:tcW w:w="12400" w:type="dxa"/>
            <w:gridSpan w:val="10"/>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Site preparation</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-17</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-26</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-18</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-11</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-20</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-34</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-28</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-20</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-25</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-27</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3</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-15</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-25</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-23</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-17</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-15</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r>
      <w:tr w:rsidR="00F9271C" w:rsidRPr="00397402" w:rsidTr="00C31C23">
        <w:trPr>
          <w:trHeight w:val="255"/>
        </w:trPr>
        <w:tc>
          <w:tcPr>
            <w:tcW w:w="1240" w:type="dxa"/>
            <w:tcBorders>
              <w:top w:val="nil"/>
              <w:left w:val="single" w:sz="4" w:space="0" w:color="auto"/>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4</w:t>
            </w:r>
          </w:p>
        </w:tc>
        <w:tc>
          <w:tcPr>
            <w:tcW w:w="196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-12</w:t>
            </w:r>
          </w:p>
        </w:tc>
        <w:tc>
          <w:tcPr>
            <w:tcW w:w="889"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-25</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-22</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-16</w:t>
            </w:r>
          </w:p>
        </w:tc>
        <w:tc>
          <w:tcPr>
            <w:tcW w:w="1010"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-14</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-12</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-11</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-10</w:t>
            </w:r>
          </w:p>
        </w:tc>
        <w:tc>
          <w:tcPr>
            <w:tcW w:w="1318" w:type="dxa"/>
            <w:tcBorders>
              <w:top w:val="nil"/>
              <w:left w:val="nil"/>
              <w:bottom w:val="single" w:sz="4" w:space="0" w:color="auto"/>
              <w:right w:val="single" w:sz="4" w:space="0" w:color="auto"/>
            </w:tcBorders>
            <w:noWrap/>
            <w:vAlign w:val="center"/>
          </w:tcPr>
          <w:p w:rsidR="00F9271C" w:rsidRPr="009C6A8B" w:rsidRDefault="00F9271C" w:rsidP="00C31C23">
            <w:pPr>
              <w:pStyle w:val="Tabletext"/>
              <w:rPr>
                <w:lang w:eastAsia="en-GB"/>
              </w:rPr>
            </w:pPr>
            <w:r w:rsidRPr="009C6A8B">
              <w:rPr>
                <w:lang w:eastAsia="en-GB"/>
              </w:rPr>
              <w:t>-13</w:t>
            </w:r>
          </w:p>
        </w:tc>
      </w:tr>
    </w:tbl>
    <w:p w:rsidR="00F9271C" w:rsidRDefault="00F9271C"/>
    <w:p w:rsidR="00F9271C" w:rsidRDefault="00F9271C"/>
    <w:p w:rsidR="00F9271C" w:rsidRDefault="00F9271C"/>
    <w:p w:rsidR="00F9271C" w:rsidRDefault="00F9271C" w:rsidP="00C31C23">
      <w:pPr>
        <w:pStyle w:val="BodyText"/>
        <w:sectPr w:rsidR="00F9271C" w:rsidSect="00397402">
          <w:footerReference w:type="default" r:id="rId20"/>
          <w:pgSz w:w="16840" w:h="11907" w:orient="landscape" w:code="9"/>
          <w:pgMar w:top="1418" w:right="2268" w:bottom="1417" w:left="1418" w:header="794" w:footer="567" w:gutter="0"/>
          <w:cols w:space="708"/>
          <w:docGrid w:linePitch="360"/>
        </w:sectPr>
      </w:pPr>
    </w:p>
    <w:p w:rsidR="00F9271C" w:rsidRDefault="00F9271C" w:rsidP="008238A7">
      <w:pPr>
        <w:pStyle w:val="TableCaption"/>
        <w:ind w:left="0" w:firstLine="720"/>
      </w:pPr>
      <w:r>
        <w:t>Table D.2: Predicted Demolition and Site Preparation Noise Levels with Envirowrap</w:t>
      </w:r>
    </w:p>
    <w:tbl>
      <w:tblPr>
        <w:tblW w:w="4560" w:type="pct"/>
        <w:tblInd w:w="959" w:type="dxa"/>
        <w:tblLook w:val="00A0"/>
      </w:tblPr>
      <w:tblGrid>
        <w:gridCol w:w="4235"/>
        <w:gridCol w:w="4236"/>
      </w:tblGrid>
      <w:tr w:rsidR="00F9271C" w:rsidRPr="00C7636D" w:rsidTr="00FB0D49">
        <w:trPr>
          <w:trHeight w:val="255"/>
          <w:tblHeader/>
        </w:trPr>
        <w:tc>
          <w:tcPr>
            <w:tcW w:w="4235" w:type="dxa"/>
            <w:tcBorders>
              <w:top w:val="single" w:sz="4" w:space="0" w:color="auto"/>
              <w:left w:val="single" w:sz="4" w:space="0" w:color="auto"/>
              <w:bottom w:val="nil"/>
              <w:right w:val="single" w:sz="4" w:space="0" w:color="auto"/>
            </w:tcBorders>
            <w:shd w:val="clear" w:color="auto" w:fill="D9D9D9"/>
            <w:noWrap/>
            <w:vAlign w:val="center"/>
          </w:tcPr>
          <w:p w:rsidR="00F9271C" w:rsidRPr="009C6A8B" w:rsidRDefault="00F9271C" w:rsidP="00390C9A">
            <w:pPr>
              <w:pStyle w:val="Tableheaders"/>
              <w:spacing w:before="120" w:after="120"/>
              <w:rPr>
                <w:lang w:eastAsia="en-GB"/>
              </w:rPr>
            </w:pPr>
            <w:r w:rsidRPr="009C6A8B">
              <w:rPr>
                <w:lang w:eastAsia="en-GB"/>
              </w:rPr>
              <w:t>Classroom</w:t>
            </w:r>
          </w:p>
        </w:tc>
        <w:tc>
          <w:tcPr>
            <w:tcW w:w="4236" w:type="dxa"/>
            <w:tcBorders>
              <w:top w:val="single" w:sz="4" w:space="0" w:color="auto"/>
              <w:left w:val="nil"/>
              <w:bottom w:val="nil"/>
              <w:right w:val="single" w:sz="4" w:space="0" w:color="auto"/>
            </w:tcBorders>
            <w:shd w:val="clear" w:color="auto" w:fill="D9D9D9"/>
            <w:noWrap/>
            <w:vAlign w:val="center"/>
          </w:tcPr>
          <w:p w:rsidR="00F9271C" w:rsidRPr="009C6A8B" w:rsidRDefault="00F9271C" w:rsidP="00390C9A">
            <w:pPr>
              <w:pStyle w:val="Tableheaders"/>
              <w:spacing w:before="120" w:after="120"/>
              <w:rPr>
                <w:lang w:eastAsia="en-GB"/>
              </w:rPr>
            </w:pPr>
            <w:r w:rsidRPr="009C6A8B">
              <w:rPr>
                <w:lang w:eastAsia="en-GB"/>
              </w:rPr>
              <w:t>L</w:t>
            </w:r>
            <w:r w:rsidRPr="009C6A8B">
              <w:rPr>
                <w:vertAlign w:val="subscript"/>
                <w:lang w:eastAsia="en-GB"/>
              </w:rPr>
              <w:t>Aeq,T</w:t>
            </w:r>
            <w:r w:rsidRPr="009C6A8B">
              <w:rPr>
                <w:lang w:eastAsia="en-GB"/>
              </w:rPr>
              <w:t xml:space="preserve"> (dB)</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E14AB">
            <w:pPr>
              <w:pStyle w:val="Tableheaders"/>
              <w:rPr>
                <w:lang w:eastAsia="en-GB"/>
              </w:rPr>
            </w:pPr>
          </w:p>
          <w:p w:rsidR="00F9271C" w:rsidRPr="009C6A8B" w:rsidRDefault="00F9271C" w:rsidP="004372B3">
            <w:pPr>
              <w:pStyle w:val="Tableheaders"/>
              <w:rPr>
                <w:lang w:eastAsia="en-GB"/>
              </w:rPr>
            </w:pPr>
            <w:r w:rsidRPr="009C6A8B">
              <w:rPr>
                <w:lang w:eastAsia="en-GB"/>
              </w:rPr>
              <w:t>Increase in existing internal noise levels with children in playground due to demolition noise level</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upper floors</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nil"/>
            </w:tcBorders>
            <w:noWrap/>
            <w:vAlign w:val="center"/>
          </w:tcPr>
          <w:p w:rsidR="00F9271C" w:rsidRPr="009C6A8B" w:rsidRDefault="00F9271C" w:rsidP="00C7636D">
            <w:pPr>
              <w:pStyle w:val="Tableheaders"/>
              <w:rPr>
                <w:lang w:eastAsia="en-GB"/>
              </w:rPr>
            </w:pPr>
            <w:r w:rsidRPr="009C6A8B">
              <w:rPr>
                <w:lang w:eastAsia="en-GB"/>
              </w:rPr>
              <w:t>Demolition on 1st floor</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nil"/>
            </w:tcBorders>
            <w:noWrap/>
            <w:vAlign w:val="center"/>
          </w:tcPr>
          <w:p w:rsidR="00F9271C" w:rsidRPr="009C6A8B" w:rsidRDefault="00F9271C" w:rsidP="00C7636D">
            <w:pPr>
              <w:pStyle w:val="Tableheaders"/>
              <w:rPr>
                <w:lang w:eastAsia="en-GB"/>
              </w:rPr>
            </w:pPr>
            <w:r w:rsidRPr="009C6A8B">
              <w:rPr>
                <w:lang w:eastAsia="en-GB"/>
              </w:rPr>
              <w:t>Demolition on ground floor</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Site preparation</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E14AB">
            <w:pPr>
              <w:pStyle w:val="Tableheaders"/>
              <w:rPr>
                <w:lang w:eastAsia="en-GB"/>
              </w:rPr>
            </w:pPr>
          </w:p>
          <w:p w:rsidR="00F9271C" w:rsidRPr="009C6A8B" w:rsidRDefault="00F9271C" w:rsidP="004372B3">
            <w:pPr>
              <w:pStyle w:val="Tableheaders"/>
              <w:rPr>
                <w:lang w:eastAsia="en-GB"/>
              </w:rPr>
            </w:pPr>
            <w:r w:rsidRPr="009C6A8B">
              <w:rPr>
                <w:lang w:eastAsia="en-GB"/>
              </w:rPr>
              <w:t>Increase in existing internal noise levels without children in playground due to demolition noise level</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upper floors</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1st floor</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F9271C" w:rsidRPr="009C6A8B" w:rsidRDefault="00F9271C" w:rsidP="00C7636D">
            <w:pPr>
              <w:pStyle w:val="Tabletext"/>
              <w:rPr>
                <w:lang w:eastAsia="en-GB"/>
              </w:rPr>
            </w:pPr>
            <w:r w:rsidRPr="009C6A8B">
              <w:rPr>
                <w:lang w:eastAsia="en-GB"/>
              </w:rPr>
              <w:t>6</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F9271C" w:rsidRPr="009C6A8B" w:rsidRDefault="00F9271C" w:rsidP="00C7636D">
            <w:pPr>
              <w:pStyle w:val="Tabletext"/>
              <w:rPr>
                <w:lang w:eastAsia="en-GB"/>
              </w:rPr>
            </w:pPr>
            <w:r w:rsidRPr="009C6A8B">
              <w:rPr>
                <w:lang w:eastAsia="en-GB"/>
              </w:rPr>
              <w:t>6</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F9271C" w:rsidRPr="009C6A8B" w:rsidRDefault="00F9271C" w:rsidP="00C7636D">
            <w:pPr>
              <w:pStyle w:val="Tabletext"/>
              <w:rPr>
                <w:lang w:eastAsia="en-GB"/>
              </w:rPr>
            </w:pPr>
            <w:r w:rsidRPr="009C6A8B">
              <w:rPr>
                <w:lang w:eastAsia="en-GB"/>
              </w:rPr>
              <w:t>6</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F9271C" w:rsidRPr="009C6A8B" w:rsidRDefault="00F9271C" w:rsidP="00C7636D">
            <w:pPr>
              <w:pStyle w:val="Tabletext"/>
              <w:rPr>
                <w:lang w:eastAsia="en-GB"/>
              </w:rPr>
            </w:pPr>
            <w:r w:rsidRPr="009C6A8B">
              <w:rPr>
                <w:lang w:eastAsia="en-GB"/>
              </w:rPr>
              <w:t>4</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ground floor</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Site preparation</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0</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nil"/>
            </w:tcBorders>
            <w:noWrap/>
            <w:vAlign w:val="center"/>
          </w:tcPr>
          <w:p w:rsidR="00F9271C" w:rsidRPr="009C6A8B" w:rsidRDefault="00F9271C" w:rsidP="00CE14AB">
            <w:pPr>
              <w:pStyle w:val="Tableheaders"/>
              <w:rPr>
                <w:lang w:eastAsia="en-GB"/>
              </w:rPr>
            </w:pPr>
          </w:p>
          <w:p w:rsidR="00F9271C" w:rsidRPr="009C6A8B" w:rsidRDefault="00F9271C" w:rsidP="00CE14AB">
            <w:pPr>
              <w:pStyle w:val="Tableheaders"/>
              <w:rPr>
                <w:lang w:eastAsia="en-GB"/>
              </w:rPr>
            </w:pPr>
          </w:p>
          <w:p w:rsidR="00F9271C" w:rsidRPr="009C6A8B" w:rsidRDefault="00F9271C" w:rsidP="00CE14AB">
            <w:pPr>
              <w:pStyle w:val="Tableheaders"/>
              <w:rPr>
                <w:lang w:eastAsia="en-GB"/>
              </w:rPr>
            </w:pPr>
          </w:p>
          <w:p w:rsidR="00F9271C" w:rsidRPr="009C6A8B" w:rsidRDefault="00F9271C" w:rsidP="00CE14AB">
            <w:pPr>
              <w:pStyle w:val="Tableheaders"/>
              <w:rPr>
                <w:lang w:eastAsia="en-GB"/>
              </w:rPr>
            </w:pPr>
            <w:r w:rsidRPr="009C6A8B">
              <w:rPr>
                <w:lang w:eastAsia="en-GB"/>
              </w:rPr>
              <w:t>Difference between predicted internal with demolition and no children and existing internal with children in playground</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upper floors</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-17</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-19</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-12</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-8</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1st floor</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-11</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-13</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-6</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Demolition on ground floor</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-16</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-19</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-11</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-6</w:t>
            </w:r>
          </w:p>
        </w:tc>
      </w:tr>
      <w:tr w:rsidR="00F9271C" w:rsidRPr="00C7636D" w:rsidTr="00FB0D49">
        <w:trPr>
          <w:trHeight w:val="255"/>
        </w:trPr>
        <w:tc>
          <w:tcPr>
            <w:tcW w:w="8471"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C7636D">
            <w:pPr>
              <w:pStyle w:val="Tableheaders"/>
              <w:rPr>
                <w:lang w:eastAsia="en-GB"/>
              </w:rPr>
            </w:pPr>
            <w:r w:rsidRPr="009C6A8B">
              <w:rPr>
                <w:lang w:eastAsia="en-GB"/>
              </w:rPr>
              <w:t>Site preparation</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-17</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-20</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3</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-15</w:t>
            </w:r>
          </w:p>
        </w:tc>
      </w:tr>
      <w:tr w:rsidR="00F9271C" w:rsidRPr="00C7636D" w:rsidTr="00FB0D49">
        <w:trPr>
          <w:trHeight w:val="255"/>
        </w:trPr>
        <w:tc>
          <w:tcPr>
            <w:tcW w:w="4235" w:type="dxa"/>
            <w:tcBorders>
              <w:top w:val="nil"/>
              <w:left w:val="single" w:sz="4" w:space="0" w:color="auto"/>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4</w:t>
            </w:r>
          </w:p>
        </w:tc>
        <w:tc>
          <w:tcPr>
            <w:tcW w:w="4236" w:type="dxa"/>
            <w:tcBorders>
              <w:top w:val="nil"/>
              <w:left w:val="nil"/>
              <w:bottom w:val="single" w:sz="4" w:space="0" w:color="auto"/>
              <w:right w:val="single" w:sz="4" w:space="0" w:color="auto"/>
            </w:tcBorders>
            <w:noWrap/>
            <w:vAlign w:val="center"/>
          </w:tcPr>
          <w:p w:rsidR="00F9271C" w:rsidRPr="009C6A8B" w:rsidRDefault="00F9271C" w:rsidP="00C7636D">
            <w:pPr>
              <w:pStyle w:val="Tabletext"/>
              <w:rPr>
                <w:lang w:eastAsia="en-GB"/>
              </w:rPr>
            </w:pPr>
            <w:r w:rsidRPr="009C6A8B">
              <w:rPr>
                <w:lang w:eastAsia="en-GB"/>
              </w:rPr>
              <w:t>-12</w:t>
            </w:r>
          </w:p>
        </w:tc>
      </w:tr>
    </w:tbl>
    <w:p w:rsidR="00F9271C" w:rsidRPr="00C7636D" w:rsidRDefault="00F9271C" w:rsidP="00C7636D">
      <w:pPr>
        <w:pStyle w:val="BodyText"/>
      </w:pPr>
    </w:p>
    <w:p w:rsidR="00F9271C" w:rsidRDefault="00F9271C" w:rsidP="00FB0D49">
      <w:pPr>
        <w:pStyle w:val="BodyText"/>
        <w:ind w:left="851" w:hanging="851"/>
      </w:pPr>
      <w:r>
        <w:t>D.1.3.</w:t>
      </w:r>
      <w:r>
        <w:tab/>
        <w:t>There is  no octave band frequency data for the Envirowrap, therefore predictions are based on the overall L</w:t>
      </w:r>
      <w:r>
        <w:rPr>
          <w:vertAlign w:val="subscript"/>
        </w:rPr>
        <w:t>Aeq,T</w:t>
      </w:r>
      <w:r>
        <w:t>. It is possible that the L</w:t>
      </w:r>
      <w:r>
        <w:rPr>
          <w:vertAlign w:val="subscript"/>
        </w:rPr>
        <w:t>Zeq,T</w:t>
      </w:r>
      <w:r>
        <w:t xml:space="preserve"> will be exceeded in some octave bands, therefore noise monitoring is recommended once demolition begins to establish whether this occurs and remedial action can be taken.</w:t>
      </w:r>
    </w:p>
    <w:p w:rsidR="00F9271C" w:rsidRDefault="00F9271C" w:rsidP="008238A7">
      <w:pPr>
        <w:pStyle w:val="TableCaption"/>
      </w:pPr>
      <w:r>
        <w:t>Table D.3: Predicted Demolition and Site Preparation Noise Levels when Demolition Reaches the First Floor with Envirowrap and Temporary Barriers</w:t>
      </w:r>
    </w:p>
    <w:tbl>
      <w:tblPr>
        <w:tblW w:w="4578" w:type="pct"/>
        <w:tblInd w:w="959" w:type="dxa"/>
        <w:tblLook w:val="00A0"/>
      </w:tblPr>
      <w:tblGrid>
        <w:gridCol w:w="4252"/>
        <w:gridCol w:w="4252"/>
      </w:tblGrid>
      <w:tr w:rsidR="00F9271C" w:rsidRPr="00FB0D49" w:rsidTr="00390C9A">
        <w:trPr>
          <w:trHeight w:val="327"/>
          <w:tblHeader/>
        </w:trPr>
        <w:tc>
          <w:tcPr>
            <w:tcW w:w="4252" w:type="dxa"/>
            <w:vMerge w:val="restart"/>
            <w:tcBorders>
              <w:top w:val="single" w:sz="4" w:space="0" w:color="auto"/>
              <w:left w:val="single" w:sz="4" w:space="0" w:color="auto"/>
              <w:bottom w:val="single" w:sz="4" w:space="0" w:color="000000"/>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Classroom</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BFBFBF"/>
            <w:noWrap/>
            <w:vAlign w:val="center"/>
          </w:tcPr>
          <w:p w:rsidR="00F9271C" w:rsidRPr="009C6A8B" w:rsidRDefault="00F9271C" w:rsidP="00390C9A">
            <w:pPr>
              <w:pStyle w:val="Tableheaders"/>
              <w:spacing w:before="120" w:after="120"/>
              <w:rPr>
                <w:lang w:eastAsia="en-GB"/>
              </w:rPr>
            </w:pPr>
            <w:r w:rsidRPr="009C6A8B">
              <w:rPr>
                <w:lang w:eastAsia="en-GB"/>
              </w:rPr>
              <w:t>L</w:t>
            </w:r>
            <w:r w:rsidRPr="009C6A8B">
              <w:rPr>
                <w:vertAlign w:val="subscript"/>
                <w:lang w:eastAsia="en-GB"/>
              </w:rPr>
              <w:t>Aeq,T</w:t>
            </w:r>
            <w:r w:rsidRPr="009C6A8B">
              <w:rPr>
                <w:lang w:eastAsia="en-GB"/>
              </w:rPr>
              <w:t xml:space="preserve"> (dB)</w:t>
            </w:r>
          </w:p>
        </w:tc>
      </w:tr>
      <w:tr w:rsidR="00F9271C" w:rsidRPr="00FB0D49" w:rsidTr="00FB0D49">
        <w:trPr>
          <w:trHeight w:val="255"/>
        </w:trPr>
        <w:tc>
          <w:tcPr>
            <w:tcW w:w="425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FB0D49" w:rsidRDefault="00F9271C" w:rsidP="00FB0D49">
            <w:pPr>
              <w:rPr>
                <w:rFonts w:cs="Arial"/>
                <w:b/>
                <w:bCs/>
                <w:color w:val="000000"/>
                <w:lang w:eastAsia="en-GB"/>
              </w:rPr>
            </w:pPr>
          </w:p>
        </w:tc>
        <w:tc>
          <w:tcPr>
            <w:tcW w:w="425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F9271C" w:rsidRPr="00FB0D49" w:rsidRDefault="00F9271C" w:rsidP="00FB0D49">
            <w:pPr>
              <w:rPr>
                <w:rFonts w:cs="Arial"/>
                <w:b/>
                <w:bCs/>
                <w:color w:val="000000"/>
                <w:lang w:eastAsia="en-GB"/>
              </w:rPr>
            </w:pPr>
          </w:p>
        </w:tc>
      </w:tr>
      <w:tr w:rsidR="00F9271C" w:rsidRPr="00FB0D49" w:rsidTr="00FB0D49">
        <w:trPr>
          <w:trHeight w:val="255"/>
        </w:trPr>
        <w:tc>
          <w:tcPr>
            <w:tcW w:w="8504"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4372B3">
            <w:pPr>
              <w:pStyle w:val="Tableheaders"/>
              <w:rPr>
                <w:lang w:eastAsia="en-GB"/>
              </w:rPr>
            </w:pPr>
          </w:p>
          <w:p w:rsidR="00F9271C" w:rsidRPr="009C6A8B" w:rsidRDefault="00F9271C" w:rsidP="004372B3">
            <w:pPr>
              <w:pStyle w:val="Tableheaders"/>
              <w:rPr>
                <w:lang w:eastAsia="en-GB"/>
              </w:rPr>
            </w:pPr>
            <w:r w:rsidRPr="009C6A8B">
              <w:rPr>
                <w:lang w:eastAsia="en-GB"/>
              </w:rPr>
              <w:t xml:space="preserve">Increase in existing internal noise levels with children in playground due to demolition noise level </w:t>
            </w:r>
          </w:p>
        </w:tc>
      </w:tr>
      <w:tr w:rsidR="00F9271C" w:rsidRPr="00FB0D49" w:rsidTr="00FB0D49">
        <w:trPr>
          <w:trHeight w:val="255"/>
        </w:trPr>
        <w:tc>
          <w:tcPr>
            <w:tcW w:w="8504"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headers"/>
              <w:rPr>
                <w:lang w:eastAsia="en-GB"/>
              </w:rPr>
            </w:pPr>
            <w:r w:rsidRPr="009C6A8B">
              <w:rPr>
                <w:lang w:eastAsia="en-GB"/>
              </w:rPr>
              <w:t>Demolition on 1st floor</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0</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2</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0</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3</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4</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w:t>
            </w:r>
          </w:p>
        </w:tc>
      </w:tr>
      <w:tr w:rsidR="00F9271C" w:rsidRPr="00FB0D49" w:rsidTr="00FB0D49">
        <w:trPr>
          <w:trHeight w:val="255"/>
        </w:trPr>
        <w:tc>
          <w:tcPr>
            <w:tcW w:w="8504"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4372B3">
            <w:pPr>
              <w:pStyle w:val="Tableheaders"/>
              <w:rPr>
                <w:lang w:eastAsia="en-GB"/>
              </w:rPr>
            </w:pPr>
            <w:r w:rsidRPr="009C6A8B">
              <w:rPr>
                <w:lang w:eastAsia="en-GB"/>
              </w:rPr>
              <w:t>I</w:t>
            </w:r>
          </w:p>
          <w:p w:rsidR="00F9271C" w:rsidRPr="009C6A8B" w:rsidRDefault="00F9271C" w:rsidP="004372B3">
            <w:pPr>
              <w:pStyle w:val="Tableheaders"/>
              <w:rPr>
                <w:lang w:eastAsia="en-GB"/>
              </w:rPr>
            </w:pPr>
            <w:r w:rsidRPr="009C6A8B">
              <w:rPr>
                <w:lang w:eastAsia="en-GB"/>
              </w:rPr>
              <w:t>ncrease in existing internal noise levels without children in playground due to demolition noise level</w:t>
            </w:r>
          </w:p>
        </w:tc>
      </w:tr>
      <w:tr w:rsidR="00F9271C" w:rsidRPr="00FB0D49" w:rsidTr="00FB0D49">
        <w:trPr>
          <w:trHeight w:val="255"/>
        </w:trPr>
        <w:tc>
          <w:tcPr>
            <w:tcW w:w="8504"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headers"/>
              <w:rPr>
                <w:lang w:eastAsia="en-GB"/>
              </w:rPr>
            </w:pPr>
            <w:r w:rsidRPr="009C6A8B">
              <w:rPr>
                <w:lang w:eastAsia="en-GB"/>
              </w:rPr>
              <w:t>Demolition on 1st floor</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2</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2</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2</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3</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3</w:t>
            </w:r>
          </w:p>
        </w:tc>
      </w:tr>
      <w:tr w:rsidR="00F9271C" w:rsidRPr="00FB0D49" w:rsidTr="002D5EDD">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4</w:t>
            </w:r>
          </w:p>
        </w:tc>
        <w:tc>
          <w:tcPr>
            <w:tcW w:w="4252"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F9271C" w:rsidRPr="009C6A8B" w:rsidRDefault="00F9271C" w:rsidP="00FB0D49">
            <w:pPr>
              <w:pStyle w:val="Tabletext"/>
              <w:rPr>
                <w:lang w:eastAsia="en-GB"/>
              </w:rPr>
            </w:pPr>
            <w:r w:rsidRPr="009C6A8B">
              <w:rPr>
                <w:lang w:eastAsia="en-GB"/>
              </w:rPr>
              <w:t>4</w:t>
            </w:r>
          </w:p>
        </w:tc>
      </w:tr>
      <w:tr w:rsidR="00F9271C" w:rsidRPr="00FB0D49" w:rsidTr="00FB0D49">
        <w:trPr>
          <w:trHeight w:val="255"/>
        </w:trPr>
        <w:tc>
          <w:tcPr>
            <w:tcW w:w="8504"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4372B3">
            <w:pPr>
              <w:pStyle w:val="Tableheaders"/>
              <w:rPr>
                <w:lang w:eastAsia="en-GB"/>
              </w:rPr>
            </w:pPr>
          </w:p>
          <w:p w:rsidR="00F9271C" w:rsidRPr="009C6A8B" w:rsidRDefault="00F9271C" w:rsidP="004372B3">
            <w:pPr>
              <w:pStyle w:val="Tableheaders"/>
              <w:rPr>
                <w:lang w:eastAsia="en-GB"/>
              </w:rPr>
            </w:pPr>
            <w:r w:rsidRPr="009C6A8B">
              <w:rPr>
                <w:lang w:eastAsia="en-GB"/>
              </w:rPr>
              <w:t>Difference between predicted internal with demolition and no children and existing internal with children in playground</w:t>
            </w:r>
          </w:p>
        </w:tc>
      </w:tr>
      <w:tr w:rsidR="00F9271C" w:rsidRPr="00FB0D49" w:rsidTr="00FB0D49">
        <w:trPr>
          <w:trHeight w:val="255"/>
        </w:trPr>
        <w:tc>
          <w:tcPr>
            <w:tcW w:w="8504" w:type="dxa"/>
            <w:gridSpan w:val="2"/>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headers"/>
              <w:rPr>
                <w:lang w:eastAsia="en-GB"/>
              </w:rPr>
            </w:pPr>
            <w:r w:rsidRPr="009C6A8B">
              <w:rPr>
                <w:lang w:eastAsia="en-GB"/>
              </w:rPr>
              <w:t>Demolition on 1st floor</w:t>
            </w:r>
          </w:p>
        </w:tc>
      </w:tr>
      <w:tr w:rsidR="00F9271C" w:rsidRPr="00FB0D49" w:rsidTr="00FB0D49">
        <w:trPr>
          <w:trHeight w:val="255"/>
        </w:trPr>
        <w:tc>
          <w:tcPr>
            <w:tcW w:w="4252" w:type="dxa"/>
            <w:tcBorders>
              <w:top w:val="single" w:sz="4" w:space="0" w:color="auto"/>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w:t>
            </w:r>
          </w:p>
        </w:tc>
        <w:tc>
          <w:tcPr>
            <w:tcW w:w="4252" w:type="dxa"/>
            <w:tcBorders>
              <w:top w:val="single" w:sz="4" w:space="0" w:color="auto"/>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-11</w:t>
            </w:r>
          </w:p>
        </w:tc>
      </w:tr>
      <w:tr w:rsidR="00F9271C" w:rsidRPr="00FB0D49" w:rsidTr="00FB0D49">
        <w:trPr>
          <w:trHeight w:val="255"/>
        </w:trPr>
        <w:tc>
          <w:tcPr>
            <w:tcW w:w="4252" w:type="dxa"/>
            <w:tcBorders>
              <w:top w:val="nil"/>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2</w:t>
            </w:r>
          </w:p>
        </w:tc>
        <w:tc>
          <w:tcPr>
            <w:tcW w:w="4252" w:type="dxa"/>
            <w:tcBorders>
              <w:top w:val="nil"/>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-13</w:t>
            </w:r>
          </w:p>
        </w:tc>
      </w:tr>
      <w:tr w:rsidR="00F9271C" w:rsidRPr="00FB0D49" w:rsidTr="00FB0D49">
        <w:trPr>
          <w:trHeight w:val="255"/>
        </w:trPr>
        <w:tc>
          <w:tcPr>
            <w:tcW w:w="4252" w:type="dxa"/>
            <w:tcBorders>
              <w:top w:val="nil"/>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3</w:t>
            </w:r>
          </w:p>
        </w:tc>
        <w:tc>
          <w:tcPr>
            <w:tcW w:w="4252" w:type="dxa"/>
            <w:tcBorders>
              <w:top w:val="nil"/>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-6</w:t>
            </w:r>
          </w:p>
        </w:tc>
      </w:tr>
      <w:tr w:rsidR="00F9271C" w:rsidRPr="00FB0D49" w:rsidTr="00FB0D49">
        <w:trPr>
          <w:trHeight w:val="255"/>
        </w:trPr>
        <w:tc>
          <w:tcPr>
            <w:tcW w:w="4252" w:type="dxa"/>
            <w:tcBorders>
              <w:top w:val="nil"/>
              <w:left w:val="single" w:sz="4" w:space="0" w:color="auto"/>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4</w:t>
            </w:r>
          </w:p>
        </w:tc>
        <w:tc>
          <w:tcPr>
            <w:tcW w:w="4252" w:type="dxa"/>
            <w:tcBorders>
              <w:top w:val="nil"/>
              <w:left w:val="nil"/>
              <w:bottom w:val="single" w:sz="4" w:space="0" w:color="auto"/>
              <w:right w:val="single" w:sz="4" w:space="0" w:color="auto"/>
            </w:tcBorders>
            <w:noWrap/>
            <w:vAlign w:val="center"/>
          </w:tcPr>
          <w:p w:rsidR="00F9271C" w:rsidRPr="009C6A8B" w:rsidRDefault="00F9271C" w:rsidP="00FB0D49">
            <w:pPr>
              <w:pStyle w:val="Tabletext"/>
              <w:rPr>
                <w:lang w:eastAsia="en-GB"/>
              </w:rPr>
            </w:pPr>
            <w:r w:rsidRPr="009C6A8B">
              <w:rPr>
                <w:lang w:eastAsia="en-GB"/>
              </w:rPr>
              <w:t>-4</w:t>
            </w:r>
          </w:p>
        </w:tc>
      </w:tr>
    </w:tbl>
    <w:p w:rsidR="00F9271C" w:rsidRPr="00FB0D49" w:rsidRDefault="00F9271C" w:rsidP="00FB0D49">
      <w:pPr>
        <w:pStyle w:val="BodyText"/>
      </w:pPr>
    </w:p>
    <w:sectPr w:rsidR="00F9271C" w:rsidRPr="00FB0D49" w:rsidSect="00F82FAB">
      <w:footerReference w:type="default" r:id="rId21"/>
      <w:pgSz w:w="11907" w:h="16840" w:code="9"/>
      <w:pgMar w:top="2268" w:right="1417" w:bottom="1418" w:left="1418"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1C" w:rsidRDefault="00F9271C" w:rsidP="00BF6715">
      <w:r>
        <w:separator/>
      </w:r>
    </w:p>
  </w:endnote>
  <w:endnote w:type="continuationSeparator" w:id="0">
    <w:p w:rsidR="00F9271C" w:rsidRDefault="00F9271C" w:rsidP="00BF6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Frutiger-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Pr="00660334" w:rsidRDefault="00F9271C" w:rsidP="00784F0C">
    <w:pPr>
      <w:pStyle w:val="Projectrefdate0"/>
      <w:rPr>
        <w:color w:val="003366"/>
      </w:rPr>
    </w:pPr>
    <w:r w:rsidRPr="00660334">
      <w:rPr>
        <w:color w:val="003366"/>
      </w:rPr>
      <w:t xml:space="preserve">Project Ref: </w:t>
    </w:r>
    <w:fldSimple w:instr=" DOCPROPERTY  ProjRef  \* MERGEFORMAT ">
      <w:r>
        <w:rPr>
          <w:color w:val="003366"/>
        </w:rPr>
        <w:t>27474/004</w:t>
      </w:r>
    </w:fldSimple>
  </w:p>
  <w:p w:rsidR="00F9271C" w:rsidRPr="00660334" w:rsidRDefault="00F9271C" w:rsidP="00784F0C">
    <w:pPr>
      <w:pStyle w:val="Projectrefdate0"/>
      <w:rPr>
        <w:color w:val="003366"/>
      </w:rPr>
    </w:pPr>
    <w:r w:rsidRPr="00660334">
      <w:rPr>
        <w:color w:val="003366"/>
      </w:rPr>
      <w:t xml:space="preserve">Doc Ref: </w:t>
    </w:r>
    <w:fldSimple w:instr=" DOCPROPERTY  DocRef  \* MERGEFORMAT ">
      <w:r>
        <w:rPr>
          <w:color w:val="003366"/>
        </w:rPr>
        <w:t>R001</w:t>
      </w:r>
    </w:fldSimple>
  </w:p>
  <w:p w:rsidR="00F9271C" w:rsidRDefault="00F9271C" w:rsidP="00784F0C">
    <w:pPr>
      <w:pStyle w:val="Projectrefdate0"/>
    </w:pPr>
    <w:r>
      <w:rPr>
        <w:color w:val="003366"/>
      </w:rPr>
      <w:fldChar w:fldCharType="begin"/>
    </w:r>
    <w:r>
      <w:rPr>
        <w:color w:val="003366"/>
      </w:rPr>
      <w:instrText xml:space="preserve"> DATE  \@ "dd MMMM yyyy"  \* MERGEFORMAT </w:instrText>
    </w:r>
    <w:r>
      <w:rPr>
        <w:color w:val="003366"/>
      </w:rPr>
      <w:fldChar w:fldCharType="separate"/>
    </w:r>
    <w:r>
      <w:rPr>
        <w:noProof/>
        <w:color w:val="003366"/>
      </w:rPr>
      <w:t>08 February 2013</w:t>
    </w:r>
    <w:r>
      <w:rPr>
        <w:color w:val="003366"/>
      </w:rPr>
      <w:fldChar w:fldCharType="end"/>
    </w:r>
  </w:p>
  <w:p w:rsidR="00F9271C" w:rsidRDefault="00F9271C" w:rsidP="004959E7">
    <w:pPr>
      <w:pStyle w:val="pbaaddress"/>
    </w:pPr>
    <w:r>
      <w:t>Peter Brett Associates LLP</w:t>
    </w:r>
  </w:p>
  <w:p w:rsidR="00F9271C" w:rsidRDefault="00F9271C" w:rsidP="004959E7">
    <w:pPr>
      <w:pStyle w:val="pbaaddress"/>
    </w:pPr>
    <w:fldSimple w:instr=" DOCPROPERTY  Address  \* MERGEFORMAT ">
      <w:r>
        <w:t>Caversham Bridge HouseWaterman PlaceReadingBerkshireRG1 8DNT: 0118 9500761F: 0118 9597498E: reading@peterbrett.com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Pr="00497D13" w:rsidRDefault="00F9271C" w:rsidP="00C41FD8">
    <w:pPr>
      <w:pStyle w:val="Footer"/>
      <w:tabs>
        <w:tab w:val="clear" w:pos="4320"/>
        <w:tab w:val="clear" w:pos="8640"/>
        <w:tab w:val="center" w:pos="4536"/>
        <w:tab w:val="right" w:pos="9072"/>
      </w:tabs>
      <w:rPr>
        <w:rStyle w:val="PageNumbe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50" type="#_x0000_t75" style="position:absolute;margin-left:388.75pt;margin-top:-28.65pt;width:61.25pt;height:36.8pt;z-index:-251661824;visibility:visible" wrapcoords="-263 0 -263 21159 21600 21159 21600 0 -263 0">
          <v:imagedata r:id="rId1" o:title=""/>
          <w10:wrap type="tight"/>
        </v:shape>
      </w:pict>
    </w:r>
    <w:r>
      <w:rPr>
        <w:noProof/>
        <w:lang w:eastAsia="en-GB"/>
      </w:rPr>
      <w:pict>
        <v:shapetype id="_x0000_t202" coordsize="21600,21600" o:spt="202" path="m,l,21600r21600,l21600,xe">
          <v:stroke joinstyle="miter"/>
          <v:path gradientshapeok="t" o:connecttype="rect"/>
        </v:shapetype>
        <v:shape id="Text Box 4" o:spid="_x0000_s2051" type="#_x0000_t202" style="position:absolute;margin-left:.2pt;margin-top:-.85pt;width:219.8pt;height:23.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" filled="f" stroked="f">
          <v:textbox inset="0,0,0,0">
            <w:txbxContent>
              <w:p w:rsidR="00F9271C" w:rsidRDefault="00F9271C" w:rsidP="00685317">
                <w:pPr>
                  <w:pStyle w:val="Footer"/>
                </w:pPr>
                <w:fldSimple w:instr=" FILENAME \p ">
                  <w:r>
                    <w:rPr>
                      <w:noProof/>
                    </w:rPr>
                    <w:t>C:\Documents and Settings\camap029\Local Settings\Temporary Internet Files\OLK9F\27474 Parker House Construction 21Jan13 draft.docx</w:t>
                  </w:r>
                </w:fldSimple>
              </w:p>
            </w:txbxContent>
          </v:textbox>
        </v:shape>
      </w:pict>
    </w:r>
    <w:r>
      <w:rPr>
        <w:noProof/>
        <w:lang w:val="en-US"/>
      </w:rPr>
      <w:t xml:space="preserve"> </w:t>
    </w:r>
    <w:r>
      <w:tab/>
    </w:r>
    <w:r w:rsidRPr="00497D13">
      <w:rPr>
        <w:rStyle w:val="PageNumber"/>
      </w:rPr>
      <w:fldChar w:fldCharType="begin"/>
    </w:r>
    <w:r w:rsidRPr="00497D13">
      <w:rPr>
        <w:rStyle w:val="PageNumber"/>
      </w:rPr>
      <w:instrText xml:space="preserve"> PAGE </w:instrText>
    </w:r>
    <w:r w:rsidRPr="00497D13">
      <w:rPr>
        <w:rStyle w:val="PageNumber"/>
      </w:rPr>
      <w:fldChar w:fldCharType="separate"/>
    </w:r>
    <w:r>
      <w:rPr>
        <w:rStyle w:val="PageNumber"/>
        <w:noProof/>
      </w:rPr>
      <w:t>ii</w:t>
    </w:r>
    <w:r w:rsidRPr="00497D13">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Pr="00497D13" w:rsidRDefault="00F9271C" w:rsidP="00C41FD8">
    <w:pPr>
      <w:pStyle w:val="Footer"/>
      <w:tabs>
        <w:tab w:val="clear" w:pos="4320"/>
        <w:tab w:val="clear" w:pos="8640"/>
        <w:tab w:val="center" w:pos="4536"/>
        <w:tab w:val="right" w:pos="9072"/>
      </w:tabs>
      <w:rPr>
        <w:rStyle w:val="PageNumbe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682.95pt;margin-top:-28.65pt;width:61.25pt;height:36.8pt;z-index:-251659776;visibility:visible">
          <v:imagedata r:id="rId1" o:title=""/>
          <w10:wrap type="tight"/>
        </v:shape>
      </w:pict>
    </w:r>
    <w:r>
      <w:rPr>
        <w:noProof/>
        <w:lang w:eastAsia="en-GB"/>
      </w:rPr>
      <w:pict>
        <v:shapetype id="_x0000_t202" coordsize="21600,21600" o:spt="202" path="m,l,21600r21600,l21600,xe">
          <v:stroke joinstyle="miter"/>
          <v:path gradientshapeok="t" o:connecttype="rect"/>
        </v:shapetype>
        <v:shape id="_x0000_s2055" type="#_x0000_t202" style="position:absolute;margin-left:.2pt;margin-top:-.85pt;width:219.8pt;height:2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jcsQ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" filled="f" stroked="f">
          <v:textbox inset="0,0,0,0">
            <w:txbxContent>
              <w:p w:rsidR="00F9271C" w:rsidRDefault="00F9271C" w:rsidP="00685317">
                <w:pPr>
                  <w:pStyle w:val="Footer"/>
                </w:pPr>
                <w:fldSimple w:instr=" FILENAME \p ">
                  <w:r>
                    <w:rPr>
                      <w:noProof/>
                    </w:rPr>
                    <w:t>C:\Documents and Settings\camap029\Local Settings\Temporary Internet Files\OLK9F\27474 Parker House Construction 21Jan13 draft.docx</w:t>
                  </w:r>
                </w:fldSimple>
              </w:p>
            </w:txbxContent>
          </v:textbox>
        </v:shape>
      </w:pict>
    </w:r>
    <w:r>
      <w:rPr>
        <w:noProof/>
        <w:lang w:val="en-US"/>
      </w:rPr>
      <w:t xml:space="preserve"> </w:t>
    </w:r>
    <w:r>
      <w:tab/>
    </w:r>
    <w:r w:rsidRPr="00497D13">
      <w:rPr>
        <w:rStyle w:val="PageNumber"/>
      </w:rPr>
      <w:fldChar w:fldCharType="begin"/>
    </w:r>
    <w:r w:rsidRPr="00497D13">
      <w:rPr>
        <w:rStyle w:val="PageNumber"/>
      </w:rPr>
      <w:instrText xml:space="preserve"> PAGE </w:instrText>
    </w:r>
    <w:r w:rsidRPr="00497D13">
      <w:rPr>
        <w:rStyle w:val="PageNumber"/>
      </w:rPr>
      <w:fldChar w:fldCharType="separate"/>
    </w:r>
    <w:r>
      <w:rPr>
        <w:rStyle w:val="PageNumber"/>
        <w:noProof/>
      </w:rPr>
      <w:t>21</w:t>
    </w:r>
    <w:r w:rsidRPr="00497D13">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Pr="00497D13" w:rsidRDefault="00F9271C" w:rsidP="00C41FD8">
    <w:pPr>
      <w:pStyle w:val="Footer"/>
      <w:tabs>
        <w:tab w:val="clear" w:pos="4320"/>
        <w:tab w:val="clear" w:pos="8640"/>
        <w:tab w:val="center" w:pos="4536"/>
        <w:tab w:val="right" w:pos="9072"/>
      </w:tabs>
      <w:rPr>
        <w:rStyle w:val="PageNumbe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88.75pt;margin-top:-28.65pt;width:61.25pt;height:36.8pt;z-index:-251657728;visibility:visible">
          <v:imagedata r:id="rId1" o:title=""/>
          <w10:wrap type="tight"/>
        </v:shape>
      </w:pict>
    </w:r>
    <w:r>
      <w:rPr>
        <w:noProof/>
        <w:lang w:eastAsia="en-GB"/>
      </w:rPr>
      <w:pict>
        <v:shapetype id="_x0000_t202" coordsize="21600,21600" o:spt="202" path="m,l,21600r21600,l21600,xe">
          <v:stroke joinstyle="miter"/>
          <v:path gradientshapeok="t" o:connecttype="rect"/>
        </v:shapetype>
        <v:shape id="_x0000_s2057" type="#_x0000_t202" style="position:absolute;margin-left:.2pt;margin-top:-.85pt;width:219.8pt;height:2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hUsg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" filled="f" stroked="f">
          <v:textbox inset="0,0,0,0">
            <w:txbxContent>
              <w:p w:rsidR="00F9271C" w:rsidRDefault="00F9271C" w:rsidP="00685317">
                <w:pPr>
                  <w:pStyle w:val="Footer"/>
                </w:pPr>
                <w:fldSimple w:instr=" FILENAME \p ">
                  <w:r>
                    <w:rPr>
                      <w:noProof/>
                    </w:rPr>
                    <w:t>C:\Documents and Settings\camap029\Local Settings\Temporary Internet Files\OLK9F\27474 Parker House Construction 21Jan13 draft.docx</w:t>
                  </w:r>
                </w:fldSimple>
              </w:p>
            </w:txbxContent>
          </v:textbox>
        </v:shape>
      </w:pict>
    </w:r>
    <w:r>
      <w:rPr>
        <w:noProof/>
        <w:lang w:val="en-US"/>
      </w:rPr>
      <w:t xml:space="preserve"> </w:t>
    </w:r>
    <w:r>
      <w:tab/>
    </w:r>
    <w:r w:rsidRPr="00497D13">
      <w:rPr>
        <w:rStyle w:val="PageNumber"/>
      </w:rPr>
      <w:fldChar w:fldCharType="begin"/>
    </w:r>
    <w:r w:rsidRPr="00497D13">
      <w:rPr>
        <w:rStyle w:val="PageNumber"/>
      </w:rPr>
      <w:instrText xml:space="preserve"> PAGE </w:instrText>
    </w:r>
    <w:r w:rsidRPr="00497D13">
      <w:rPr>
        <w:rStyle w:val="PageNumber"/>
      </w:rPr>
      <w:fldChar w:fldCharType="separate"/>
    </w:r>
    <w:r>
      <w:rPr>
        <w:rStyle w:val="PageNumber"/>
        <w:noProof/>
      </w:rPr>
      <w:t>22</w:t>
    </w:r>
    <w:r w:rsidRPr="00497D13">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Pr="00497D13" w:rsidRDefault="00F9271C" w:rsidP="00C41FD8">
    <w:pPr>
      <w:pStyle w:val="Footer"/>
      <w:tabs>
        <w:tab w:val="clear" w:pos="4320"/>
        <w:tab w:val="clear" w:pos="8640"/>
        <w:tab w:val="center" w:pos="4536"/>
        <w:tab w:val="right" w:pos="9072"/>
      </w:tabs>
      <w:rPr>
        <w:rStyle w:val="PageNumbe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58" type="#_x0000_t75" style="position:absolute;margin-left:669.05pt;margin-top:-28.65pt;width:61.25pt;height:36.8pt;z-index:-251652608;visibility:visible">
          <v:imagedata r:id="rId1" o:title=""/>
          <w10:wrap type="tight"/>
        </v:shape>
      </w:pict>
    </w:r>
    <w:r>
      <w:rPr>
        <w:noProof/>
        <w:lang w:eastAsia="en-GB"/>
      </w:rPr>
      <w:pict>
        <v:shapetype id="_x0000_t202" coordsize="21600,21600" o:spt="202" path="m,l,21600r21600,l21600,xe">
          <v:stroke joinstyle="miter"/>
          <v:path gradientshapeok="t" o:connecttype="rect"/>
        </v:shapetype>
        <v:shape id="_x0000_s2059" type="#_x0000_t202" style="position:absolute;margin-left:.2pt;margin-top:-.85pt;width:219.8pt;height:23.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qhsg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" filled="f" stroked="f">
          <v:textbox inset="0,0,0,0">
            <w:txbxContent>
              <w:p w:rsidR="00F9271C" w:rsidRDefault="00F9271C" w:rsidP="00685317">
                <w:pPr>
                  <w:pStyle w:val="Footer"/>
                </w:pPr>
                <w:fldSimple w:instr=" FILENAME \p ">
                  <w:r>
                    <w:rPr>
                      <w:noProof/>
                    </w:rPr>
                    <w:t>C:\Documents and Settings\camap029\Local Settings\Temporary Internet Files\OLK9F\27474 Parker House Construction 21Jan13 draft.docx</w:t>
                  </w:r>
                </w:fldSimple>
              </w:p>
            </w:txbxContent>
          </v:textbox>
        </v:shape>
      </w:pict>
    </w:r>
    <w:r>
      <w:rPr>
        <w:noProof/>
        <w:lang w:val="en-US"/>
      </w:rPr>
      <w:t xml:space="preserve"> </w:t>
    </w:r>
    <w:r>
      <w:tab/>
    </w:r>
    <w:r w:rsidRPr="00497D13">
      <w:rPr>
        <w:rStyle w:val="PageNumber"/>
      </w:rPr>
      <w:fldChar w:fldCharType="begin"/>
    </w:r>
    <w:r w:rsidRPr="00497D13">
      <w:rPr>
        <w:rStyle w:val="PageNumber"/>
      </w:rPr>
      <w:instrText xml:space="preserve"> PAGE </w:instrText>
    </w:r>
    <w:r w:rsidRPr="00497D13">
      <w:rPr>
        <w:rStyle w:val="PageNumber"/>
      </w:rPr>
      <w:fldChar w:fldCharType="separate"/>
    </w:r>
    <w:r>
      <w:rPr>
        <w:rStyle w:val="PageNumber"/>
        <w:noProof/>
      </w:rPr>
      <w:t>25</w:t>
    </w:r>
    <w:r w:rsidRPr="00497D13">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Pr="00497D13" w:rsidRDefault="00F9271C" w:rsidP="00C41FD8">
    <w:pPr>
      <w:pStyle w:val="Footer"/>
      <w:tabs>
        <w:tab w:val="clear" w:pos="4320"/>
        <w:tab w:val="clear" w:pos="8640"/>
        <w:tab w:val="center" w:pos="4536"/>
        <w:tab w:val="right" w:pos="9072"/>
      </w:tabs>
      <w:rPr>
        <w:rStyle w:val="PageNumbe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388.75pt;margin-top:-28.65pt;width:61.25pt;height:36.8pt;z-index:-251654656;visibility:visible">
          <v:imagedata r:id="rId1" o:title=""/>
          <w10:wrap type="tight"/>
        </v:shape>
      </w:pict>
    </w:r>
    <w:r>
      <w:rPr>
        <w:noProof/>
        <w:lang w:eastAsia="en-GB"/>
      </w:rPr>
      <w:pict>
        <v:shapetype id="_x0000_t202" coordsize="21600,21600" o:spt="202" path="m,l,21600r21600,l21600,xe">
          <v:stroke joinstyle="miter"/>
          <v:path gradientshapeok="t" o:connecttype="rect"/>
        </v:shapetype>
        <v:shape id="_x0000_s2061" type="#_x0000_t202" style="position:absolute;margin-left:.2pt;margin-top:-.85pt;width:219.8pt;height:2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8tsQ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" filled="f" stroked="f">
          <v:textbox inset="0,0,0,0">
            <w:txbxContent>
              <w:p w:rsidR="00F9271C" w:rsidRDefault="00F9271C" w:rsidP="00685317">
                <w:pPr>
                  <w:pStyle w:val="Footer"/>
                </w:pPr>
                <w:fldSimple w:instr=" FILENAME \p ">
                  <w:r>
                    <w:rPr>
                      <w:noProof/>
                    </w:rPr>
                    <w:t>C:\Documents and Settings\camap029\Local Settings\Temporary Internet Files\OLK9F\27474 Parker House Construction 21Jan13 draft.docx</w:t>
                  </w:r>
                </w:fldSimple>
              </w:p>
            </w:txbxContent>
          </v:textbox>
        </v:shape>
      </w:pict>
    </w:r>
    <w:r>
      <w:rPr>
        <w:noProof/>
        <w:lang w:val="en-US"/>
      </w:rPr>
      <w:t xml:space="preserve"> </w:t>
    </w:r>
    <w:r>
      <w:tab/>
    </w:r>
    <w:r w:rsidRPr="00497D13">
      <w:rPr>
        <w:rStyle w:val="PageNumber"/>
      </w:rPr>
      <w:fldChar w:fldCharType="begin"/>
    </w:r>
    <w:r w:rsidRPr="00497D13">
      <w:rPr>
        <w:rStyle w:val="PageNumber"/>
      </w:rPr>
      <w:instrText xml:space="preserve"> PAGE </w:instrText>
    </w:r>
    <w:r w:rsidRPr="00497D13">
      <w:rPr>
        <w:rStyle w:val="PageNumber"/>
      </w:rPr>
      <w:fldChar w:fldCharType="separate"/>
    </w:r>
    <w:r>
      <w:rPr>
        <w:rStyle w:val="PageNumber"/>
        <w:noProof/>
      </w:rPr>
      <w:t>28</w:t>
    </w:r>
    <w:r w:rsidRPr="00497D1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1C" w:rsidRDefault="00F9271C" w:rsidP="00BF6715">
      <w:r>
        <w:separator/>
      </w:r>
    </w:p>
  </w:footnote>
  <w:footnote w:type="continuationSeparator" w:id="0">
    <w:p w:rsidR="00F9271C" w:rsidRDefault="00F9271C" w:rsidP="00BF6715">
      <w:r>
        <w:continuationSeparator/>
      </w:r>
    </w:p>
  </w:footnote>
  <w:footnote w:id="1">
    <w:p w:rsidR="00F9271C" w:rsidRDefault="00F9271C" w:rsidP="00B7095E">
      <w:pPr>
        <w:pStyle w:val="FootnoteText"/>
      </w:pPr>
      <w:r>
        <w:rPr>
          <w:rStyle w:val="FootnoteReference"/>
        </w:rPr>
        <w:footnoteRef/>
      </w:r>
      <w:r>
        <w:t xml:space="preserve"> Hassall, JR; Zaveri, K “Acoustic Noise Measurements” Bruel and Kjaer 1988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rsidP="004959E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amdenlogo" style="position:absolute;margin-left:-561.3pt;margin-top:103.5pt;width:86.25pt;height:19.85pt;z-index:251652608;visibility:visible;mso-position-vertical-relative:page">
          <v:imagedata r:id="rId1" o:title=""/>
          <w10:wrap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rsidP="00DD5F11">
    <w:pPr>
      <w:framePr w:w="1985" w:h="397" w:hRule="exact" w:wrap="notBeside" w:vAnchor="page" w:hAnchor="page" w:x="8517" w:y="1192" w:anchorLock="1"/>
      <w:shd w:val="solid" w:color="FFFFFF" w:fill="FFFFFF"/>
    </w:pPr>
    <w:r w:rsidRPr="00426C2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92.25pt;height:20.25pt;visibility:visible">
          <v:imagedata r:id="rId1" o:title=""/>
        </v:shape>
      </w:pict>
    </w:r>
  </w:p>
  <w:p w:rsidR="00F9271C" w:rsidRPr="00660334" w:rsidRDefault="00F9271C" w:rsidP="00660334">
    <w:pPr>
      <w:pStyle w:val="Headermaintitle"/>
    </w:pPr>
    <w:fldSimple w:instr=" DOCPROPERTY  ProjectName  \* MERGEFORMAT ">
      <w:r>
        <w:t>Parker House</w:t>
      </w:r>
    </w:fldSimple>
  </w:p>
  <w:p w:rsidR="00F9271C" w:rsidRPr="004D4E94" w:rsidRDefault="00F9271C" w:rsidP="00660334">
    <w:pPr>
      <w:pStyle w:val="Headersubtitle"/>
    </w:pPr>
    <w:fldSimple w:instr=" DOCPROPERTY  Title  \* MERGEFORMAT ">
      <w:r>
        <w:t>Demolition and Construction Noise Assessment</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rsidP="00CF4D0D">
    <w:pPr>
      <w:framePr w:w="1985" w:h="397" w:hRule="exact" w:wrap="notBeside" w:vAnchor="page" w:hAnchor="page" w:x="8517" w:y="1192" w:anchorLock="1"/>
      <w:shd w:val="solid" w:color="FFFFFF" w:fill="FFFFFF"/>
    </w:pPr>
    <w:r w:rsidRPr="00426C2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9" type="#_x0000_t75" style="width:92.25pt;height:20.25pt;visibility:visible">
          <v:imagedata r:id="rId1" o:title=""/>
        </v:shape>
      </w:pict>
    </w:r>
  </w:p>
  <w:p w:rsidR="00F9271C" w:rsidRDefault="00F9271C" w:rsidP="00660334">
    <w:pPr>
      <w:pStyle w:val="Headermaintitle"/>
    </w:pPr>
    <w:fldSimple w:instr=" DOCPROPERTY  ProjectName  \* MERGEFORMAT ">
      <w:r>
        <w:t>Parker House</w:t>
      </w:r>
    </w:fldSimple>
  </w:p>
  <w:p w:rsidR="00F9271C" w:rsidRPr="004D4E94" w:rsidRDefault="00F9271C" w:rsidP="00660334">
    <w:pPr>
      <w:pStyle w:val="Headersubtitle"/>
    </w:pPr>
    <w:fldSimple w:instr=" DOCPROPERTY  Title  \* MERGEFORMAT ">
      <w:r>
        <w:t>Demolition and Construction Noise Assessment</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rsidP="00CF4D0D">
    <w:pPr>
      <w:framePr w:w="1985" w:h="397" w:hRule="exact" w:wrap="notBeside" w:vAnchor="page" w:hAnchor="page" w:x="8517" w:y="1192" w:anchorLock="1"/>
      <w:shd w:val="solid" w:color="FFFFFF" w:fill="FFFFFF"/>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92.1pt;height:47.35pt;rotation:315;z-index:-251662848;mso-position-horizontal:center;mso-position-horizontal-relative:margin;mso-position-vertical:center;mso-position-vertical-relative:margin" o:allowincell="f" fillcolor="silver" stroked="f">
          <v:fill opacity="45875f"/>
          <v:textpath style="font-family:&quot;Arial&quot;;font-size:1pt" string="This page is intentionally blank"/>
          <w10:wrap anchorx="margin" anchory="margin"/>
        </v:shape>
      </w:pict>
    </w:r>
    <w:r w:rsidRPr="00426C2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31" type="#_x0000_t75" style="width:92.25pt;height:20.25pt;visibility:visible">
          <v:imagedata r:id="rId1" o:title=""/>
        </v:shape>
      </w:pict>
    </w:r>
  </w:p>
  <w:p w:rsidR="00F9271C" w:rsidRDefault="00F9271C" w:rsidP="00660334">
    <w:pPr>
      <w:pStyle w:val="Headermaintitle"/>
    </w:pPr>
    <w:fldSimple w:instr=" DOCPROPERTY  ProjectName  \* MERGEFORMAT ">
      <w:r>
        <w:t>Parker House</w:t>
      </w:r>
    </w:fldSimple>
  </w:p>
  <w:p w:rsidR="00F9271C" w:rsidRPr="004D4E94" w:rsidRDefault="00F9271C" w:rsidP="00660334">
    <w:pPr>
      <w:pStyle w:val="Headersubtitle"/>
    </w:pPr>
    <w:fldSimple w:instr=" DOCPROPERTY  Title  \* MERGEFORMAT ">
      <w:r>
        <w:t>Demolition and Construction Noise Assessment</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1C" w:rsidRDefault="00F9271C" w:rsidP="00CF4D0D">
    <w:pPr>
      <w:framePr w:w="1985" w:h="397" w:hRule="exact" w:wrap="notBeside" w:vAnchor="page" w:hAnchor="page" w:x="8517" w:y="1192" w:anchorLock="1"/>
      <w:shd w:val="solid" w:color="FFFFFF" w:fill="FFFFFF"/>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426C2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3" type="#_x0000_t75" style="width:92.25pt;height:20.25pt;visibility:visible">
          <v:imagedata r:id="rId1" o:title=""/>
        </v:shape>
      </w:pict>
    </w:r>
  </w:p>
  <w:p w:rsidR="00F9271C" w:rsidRDefault="00F9271C" w:rsidP="00660334">
    <w:pPr>
      <w:pStyle w:val="Headermaintitle"/>
    </w:pPr>
    <w:fldSimple w:instr=" DOCPROPERTY  ProjectName  \* MERGEFORMAT ">
      <w:r>
        <w:t>Parker House</w:t>
      </w:r>
    </w:fldSimple>
  </w:p>
  <w:p w:rsidR="00F9271C" w:rsidRPr="004D4E94" w:rsidRDefault="00F9271C" w:rsidP="00660334">
    <w:pPr>
      <w:pStyle w:val="Headersubtitle"/>
    </w:pPr>
    <w:fldSimple w:instr=" DOCPROPERTY  Title  \* MERGEFORMAT ">
      <w:r>
        <w:t>Demolition and Construction Noise Assessment</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E0F6D0"/>
    <w:lvl w:ilvl="0">
      <w:start w:val="1"/>
      <w:numFmt w:val="bullet"/>
      <w:lvlText w:val=""/>
      <w:lvlJc w:val="left"/>
      <w:pPr>
        <w:tabs>
          <w:tab w:val="num" w:pos="643"/>
        </w:tabs>
        <w:ind w:left="643" w:hanging="360"/>
      </w:pPr>
      <w:rPr>
        <w:rFonts w:ascii="Symbol" w:hAnsi="Symbol" w:hint="default"/>
      </w:rPr>
    </w:lvl>
  </w:abstractNum>
  <w:abstractNum w:abstractNumId="1">
    <w:nsid w:val="1D643BC4"/>
    <w:multiLevelType w:val="hybridMultilevel"/>
    <w:tmpl w:val="11EA99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1F5526FE"/>
    <w:multiLevelType w:val="multilevel"/>
    <w:tmpl w:val="67801494"/>
    <w:lvl w:ilvl="0">
      <w:start w:val="3"/>
      <w:numFmt w:val="decimal"/>
      <w:lvlText w:val="%1."/>
      <w:lvlJc w:val="left"/>
      <w:pPr>
        <w:ind w:left="495" w:hanging="495"/>
      </w:pPr>
      <w:rPr>
        <w:rFonts w:cs="Times New Roman" w:hint="default"/>
      </w:rPr>
    </w:lvl>
    <w:lvl w:ilvl="1">
      <w:start w:val="1"/>
      <w:numFmt w:val="decimal"/>
      <w:lvlText w:val="%1.%2."/>
      <w:lvlJc w:val="left"/>
      <w:pPr>
        <w:ind w:left="922" w:hanging="495"/>
      </w:pPr>
      <w:rPr>
        <w:rFonts w:cs="Times New Roman" w:hint="default"/>
      </w:rPr>
    </w:lvl>
    <w:lvl w:ilvl="2">
      <w:start w:val="1"/>
      <w:numFmt w:val="decimal"/>
      <w:lvlText w:val="%1.%2.%3."/>
      <w:lvlJc w:val="left"/>
      <w:pPr>
        <w:ind w:left="1574" w:hanging="720"/>
      </w:pPr>
      <w:rPr>
        <w:rFonts w:cs="Times New Roman" w:hint="default"/>
      </w:rPr>
    </w:lvl>
    <w:lvl w:ilvl="3">
      <w:start w:val="1"/>
      <w:numFmt w:val="decimal"/>
      <w:lvlText w:val="%1.%2.%3.%4."/>
      <w:lvlJc w:val="left"/>
      <w:pPr>
        <w:ind w:left="2001" w:hanging="720"/>
      </w:pPr>
      <w:rPr>
        <w:rFonts w:cs="Times New Roman" w:hint="default"/>
      </w:rPr>
    </w:lvl>
    <w:lvl w:ilvl="4">
      <w:start w:val="1"/>
      <w:numFmt w:val="decimal"/>
      <w:lvlText w:val="%1.%2.%3.%4.%5."/>
      <w:lvlJc w:val="left"/>
      <w:pPr>
        <w:ind w:left="2788" w:hanging="1080"/>
      </w:pPr>
      <w:rPr>
        <w:rFonts w:cs="Times New Roman" w:hint="default"/>
      </w:rPr>
    </w:lvl>
    <w:lvl w:ilvl="5">
      <w:start w:val="1"/>
      <w:numFmt w:val="decimal"/>
      <w:lvlText w:val="%1.%2.%3.%4.%5.%6."/>
      <w:lvlJc w:val="left"/>
      <w:pPr>
        <w:ind w:left="3215" w:hanging="1080"/>
      </w:pPr>
      <w:rPr>
        <w:rFonts w:cs="Times New Roman" w:hint="default"/>
      </w:rPr>
    </w:lvl>
    <w:lvl w:ilvl="6">
      <w:start w:val="1"/>
      <w:numFmt w:val="decimal"/>
      <w:lvlText w:val="%1.%2.%3.%4.%5.%6.%7."/>
      <w:lvlJc w:val="left"/>
      <w:pPr>
        <w:ind w:left="4002" w:hanging="1440"/>
      </w:pPr>
      <w:rPr>
        <w:rFonts w:cs="Times New Roman" w:hint="default"/>
      </w:rPr>
    </w:lvl>
    <w:lvl w:ilvl="7">
      <w:start w:val="1"/>
      <w:numFmt w:val="decimal"/>
      <w:lvlText w:val="%1.%2.%3.%4.%5.%6.%7.%8."/>
      <w:lvlJc w:val="left"/>
      <w:pPr>
        <w:ind w:left="4429" w:hanging="1440"/>
      </w:pPr>
      <w:rPr>
        <w:rFonts w:cs="Times New Roman" w:hint="default"/>
      </w:rPr>
    </w:lvl>
    <w:lvl w:ilvl="8">
      <w:start w:val="1"/>
      <w:numFmt w:val="decimal"/>
      <w:lvlText w:val="%1.%2.%3.%4.%5.%6.%7.%8.%9."/>
      <w:lvlJc w:val="left"/>
      <w:pPr>
        <w:ind w:left="5216" w:hanging="1800"/>
      </w:pPr>
      <w:rPr>
        <w:rFonts w:cs="Times New Roman" w:hint="default"/>
      </w:rPr>
    </w:lvl>
  </w:abstractNum>
  <w:abstractNum w:abstractNumId="3">
    <w:nsid w:val="20DB1D57"/>
    <w:multiLevelType w:val="hybridMultilevel"/>
    <w:tmpl w:val="F8AEB08C"/>
    <w:lvl w:ilvl="0" w:tplc="94C4C674">
      <w:start w:val="1"/>
      <w:numFmt w:val="bullet"/>
      <w:pStyle w:val="SubBullets"/>
      <w:lvlText w:val="­"/>
      <w:lvlJc w:val="left"/>
      <w:pPr>
        <w:tabs>
          <w:tab w:val="num" w:pos="717"/>
        </w:tabs>
        <w:ind w:left="717" w:hanging="360"/>
      </w:pPr>
      <w:rPr>
        <w:rFonts w:ascii="Arial" w:hAnsi="Arial" w:hint="default"/>
        <w:color w:val="00336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AAA4934"/>
    <w:multiLevelType w:val="hybridMultilevel"/>
    <w:tmpl w:val="910289B4"/>
    <w:lvl w:ilvl="0" w:tplc="82E616BC">
      <w:start w:val="1"/>
      <w:numFmt w:val="bullet"/>
      <w:lvlText w:val=""/>
      <w:lvlJc w:val="left"/>
      <w:pPr>
        <w:tabs>
          <w:tab w:val="num" w:pos="357"/>
        </w:tabs>
        <w:ind w:left="357" w:hanging="357"/>
      </w:pPr>
      <w:rPr>
        <w:rFonts w:ascii="Wingdings 2" w:hAnsi="Wingdings 2" w:hint="default"/>
        <w:color w:val="00336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F0B3D89"/>
    <w:multiLevelType w:val="multilevel"/>
    <w:tmpl w:val="F49CAFEA"/>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25328A8"/>
    <w:multiLevelType w:val="multilevel"/>
    <w:tmpl w:val="A20887FC"/>
    <w:styleLink w:val="alpha"/>
    <w:lvl w:ilvl="0">
      <w:start w:val="1"/>
      <w:numFmt w:val="lowerLetter"/>
      <w:lvlText w:val="%1)"/>
      <w:lvlJc w:val="left"/>
      <w:pPr>
        <w:tabs>
          <w:tab w:val="num" w:pos="357"/>
        </w:tabs>
        <w:ind w:left="357" w:hanging="357"/>
      </w:pPr>
      <w:rPr>
        <w:rFonts w:ascii="Arial" w:hAnsi="Arial" w:cs="Times New Roman" w:hint="default"/>
        <w:color w:val="003366"/>
        <w:sz w:val="20"/>
      </w:rPr>
    </w:lvl>
    <w:lvl w:ilvl="1">
      <w:start w:val="1"/>
      <w:numFmt w:val="lowerLetter"/>
      <w:lvlText w:val="%2)"/>
      <w:lvlJc w:val="left"/>
      <w:pPr>
        <w:tabs>
          <w:tab w:val="num" w:pos="357"/>
        </w:tabs>
        <w:ind w:left="357" w:hanging="357"/>
      </w:pPr>
      <w:rPr>
        <w:rFonts w:ascii="Arial" w:hAnsi="Arial" w:cs="Times New Roman" w:hint="default"/>
        <w:color w:val="003366"/>
        <w:sz w:val="20"/>
      </w:rPr>
    </w:lvl>
    <w:lvl w:ilvl="2">
      <w:start w:val="1"/>
      <w:numFmt w:val="lowerLetter"/>
      <w:lvlText w:val="%3)"/>
      <w:lvlJc w:val="left"/>
      <w:pPr>
        <w:tabs>
          <w:tab w:val="num" w:pos="357"/>
        </w:tabs>
        <w:ind w:left="357" w:hanging="357"/>
      </w:pPr>
      <w:rPr>
        <w:rFonts w:ascii="Arial" w:hAnsi="Arial" w:cs="Times New Roman" w:hint="default"/>
        <w:color w:val="003366"/>
        <w:sz w:val="20"/>
      </w:rPr>
    </w:lvl>
    <w:lvl w:ilvl="3">
      <w:start w:val="1"/>
      <w:numFmt w:val="lowerLetter"/>
      <w:lvlText w:val="%4)"/>
      <w:lvlJc w:val="left"/>
      <w:pPr>
        <w:tabs>
          <w:tab w:val="num" w:pos="357"/>
        </w:tabs>
        <w:ind w:left="357" w:hanging="357"/>
      </w:pPr>
      <w:rPr>
        <w:rFonts w:ascii="Arial" w:hAnsi="Arial" w:cs="Times New Roman" w:hint="default"/>
        <w:color w:val="003366"/>
        <w:sz w:val="20"/>
      </w:rPr>
    </w:lvl>
    <w:lvl w:ilvl="4">
      <w:start w:val="1"/>
      <w:numFmt w:val="lowerLetter"/>
      <w:lvlText w:val="%5)"/>
      <w:lvlJc w:val="left"/>
      <w:pPr>
        <w:tabs>
          <w:tab w:val="num" w:pos="357"/>
        </w:tabs>
        <w:ind w:left="357" w:hanging="357"/>
      </w:pPr>
      <w:rPr>
        <w:rFonts w:ascii="Arial" w:hAnsi="Arial" w:cs="Times New Roman" w:hint="default"/>
        <w:color w:val="003366"/>
        <w:sz w:val="20"/>
      </w:rPr>
    </w:lvl>
    <w:lvl w:ilvl="5">
      <w:start w:val="1"/>
      <w:numFmt w:val="lowerLetter"/>
      <w:lvlText w:val="%6)"/>
      <w:lvlJc w:val="left"/>
      <w:pPr>
        <w:tabs>
          <w:tab w:val="num" w:pos="357"/>
        </w:tabs>
        <w:ind w:left="357" w:hanging="357"/>
      </w:pPr>
      <w:rPr>
        <w:rFonts w:ascii="Arial" w:hAnsi="Arial" w:cs="Times New Roman" w:hint="default"/>
        <w:color w:val="003366"/>
        <w:sz w:val="20"/>
      </w:rPr>
    </w:lvl>
    <w:lvl w:ilvl="6">
      <w:start w:val="1"/>
      <w:numFmt w:val="lowerLetter"/>
      <w:lvlText w:val="%7)"/>
      <w:lvlJc w:val="left"/>
      <w:pPr>
        <w:tabs>
          <w:tab w:val="num" w:pos="357"/>
        </w:tabs>
        <w:ind w:left="357" w:hanging="357"/>
      </w:pPr>
      <w:rPr>
        <w:rFonts w:ascii="Arial" w:hAnsi="Arial" w:cs="Times New Roman" w:hint="default"/>
        <w:color w:val="003366"/>
        <w:sz w:val="20"/>
      </w:rPr>
    </w:lvl>
    <w:lvl w:ilvl="7">
      <w:start w:val="1"/>
      <w:numFmt w:val="lowerLetter"/>
      <w:lvlText w:val="%8)"/>
      <w:lvlJc w:val="left"/>
      <w:pPr>
        <w:tabs>
          <w:tab w:val="num" w:pos="357"/>
        </w:tabs>
        <w:ind w:left="357" w:hanging="357"/>
      </w:pPr>
      <w:rPr>
        <w:rFonts w:ascii="Arial" w:hAnsi="Arial" w:cs="Times New Roman" w:hint="default"/>
        <w:color w:val="003366"/>
        <w:sz w:val="20"/>
      </w:rPr>
    </w:lvl>
    <w:lvl w:ilvl="8">
      <w:start w:val="1"/>
      <w:numFmt w:val="lowerLetter"/>
      <w:lvlText w:val="%9)"/>
      <w:lvlJc w:val="left"/>
      <w:pPr>
        <w:tabs>
          <w:tab w:val="num" w:pos="357"/>
        </w:tabs>
        <w:ind w:left="357" w:hanging="357"/>
      </w:pPr>
      <w:rPr>
        <w:rFonts w:ascii="Arial" w:hAnsi="Arial" w:cs="Times New Roman" w:hint="default"/>
        <w:color w:val="003366"/>
        <w:sz w:val="20"/>
      </w:rPr>
    </w:lvl>
  </w:abstractNum>
  <w:abstractNum w:abstractNumId="7">
    <w:nsid w:val="49CA1679"/>
    <w:multiLevelType w:val="hybridMultilevel"/>
    <w:tmpl w:val="1DEC32EA"/>
    <w:lvl w:ilvl="0" w:tplc="91002A02">
      <w:start w:val="1"/>
      <w:numFmt w:val="decimal"/>
      <w:pStyle w:val="Number"/>
      <w:lvlText w:val="%1"/>
      <w:lvlJc w:val="left"/>
      <w:pPr>
        <w:tabs>
          <w:tab w:val="num" w:pos="357"/>
        </w:tabs>
        <w:ind w:left="357" w:hanging="357"/>
      </w:pPr>
      <w:rPr>
        <w:rFonts w:cs="Times New Roman" w:hint="default"/>
        <w:color w:val="003366"/>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23174CE"/>
    <w:multiLevelType w:val="hybridMultilevel"/>
    <w:tmpl w:val="ABDA6E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55526087"/>
    <w:multiLevelType w:val="multilevel"/>
    <w:tmpl w:val="A66AA434"/>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8C75FC9"/>
    <w:multiLevelType w:val="multilevel"/>
    <w:tmpl w:val="85D22918"/>
    <w:lvl w:ilvl="0">
      <w:start w:val="1"/>
      <w:numFmt w:val="decimal"/>
      <w:pStyle w:val="Heading1"/>
      <w:isLgl/>
      <w:lvlText w:val="%1"/>
      <w:lvlJc w:val="left"/>
      <w:pPr>
        <w:tabs>
          <w:tab w:val="num" w:pos="851"/>
        </w:tabs>
        <w:ind w:left="851" w:hanging="851"/>
      </w:pPr>
      <w:rPr>
        <w:rFonts w:ascii="Arial" w:hAnsi="Arial" w:cs="Times New Roman" w:hint="default"/>
        <w:b/>
        <w:i w:val="0"/>
        <w:color w:val="003366"/>
        <w:sz w:val="28"/>
        <w:szCs w:val="28"/>
      </w:rPr>
    </w:lvl>
    <w:lvl w:ilvl="1">
      <w:start w:val="1"/>
      <w:numFmt w:val="decimal"/>
      <w:pStyle w:val="Heading2"/>
      <w:isLgl/>
      <w:lvlText w:val="%1.%2"/>
      <w:lvlJc w:val="left"/>
      <w:pPr>
        <w:tabs>
          <w:tab w:val="num" w:pos="851"/>
        </w:tabs>
        <w:ind w:left="851" w:hanging="851"/>
      </w:pPr>
      <w:rPr>
        <w:rFonts w:ascii="Arial" w:hAnsi="Arial" w:cs="Times New Roman" w:hint="default"/>
        <w:b/>
        <w:i w:val="0"/>
        <w:color w:val="003366"/>
        <w:sz w:val="24"/>
        <w:szCs w:val="24"/>
      </w:rPr>
    </w:lvl>
    <w:lvl w:ilvl="2">
      <w:start w:val="1"/>
      <w:numFmt w:val="decimal"/>
      <w:lvlText w:val="%1.%2.%3"/>
      <w:lvlJc w:val="left"/>
      <w:pPr>
        <w:tabs>
          <w:tab w:val="num" w:pos="851"/>
        </w:tabs>
        <w:ind w:left="851" w:hanging="851"/>
      </w:pPr>
      <w:rPr>
        <w:rFonts w:ascii="Arial" w:hAnsi="Arial" w:cs="Times New Roman" w:hint="default"/>
        <w:b/>
        <w:i w:val="0"/>
        <w:color w:val="003366"/>
        <w:sz w:val="20"/>
        <w:szCs w:val="20"/>
      </w:rPr>
    </w:lvl>
    <w:lvl w:ilvl="3">
      <w:start w:val="1"/>
      <w:numFmt w:val="decimal"/>
      <w:lvlText w:val="%1.%2.%3.%4"/>
      <w:lvlJc w:val="left"/>
      <w:pPr>
        <w:tabs>
          <w:tab w:val="num" w:pos="851"/>
        </w:tabs>
        <w:ind w:left="851" w:hanging="851"/>
      </w:pPr>
      <w:rPr>
        <w:rFonts w:ascii="Arial" w:hAnsi="Arial" w:cs="Times New Roman" w:hint="default"/>
        <w:b/>
        <w:i w:val="0"/>
        <w:color w:val="003366"/>
        <w:sz w:val="20"/>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324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4320"/>
        </w:tabs>
        <w:ind w:left="3600" w:hanging="1440"/>
      </w:pPr>
      <w:rPr>
        <w:rFonts w:cs="Times New Roman" w:hint="default"/>
      </w:rPr>
    </w:lvl>
  </w:abstractNum>
  <w:num w:numId="1">
    <w:abstractNumId w:val="0"/>
  </w:num>
  <w:num w:numId="2">
    <w:abstractNumId w:val="0"/>
  </w:num>
  <w:num w:numId="3">
    <w:abstractNumId w:val="6"/>
  </w:num>
  <w:num w:numId="4">
    <w:abstractNumId w:val="4"/>
  </w:num>
  <w:num w:numId="5">
    <w:abstractNumId w:val="3"/>
  </w:num>
  <w:num w:numId="6">
    <w:abstractNumId w:val="10"/>
  </w:num>
  <w:num w:numId="7">
    <w:abstractNumId w:val="7"/>
  </w:num>
  <w:num w:numId="8">
    <w:abstractNumId w:val="9"/>
  </w:num>
  <w:num w:numId="9">
    <w:abstractNumId w:val="1"/>
  </w:num>
  <w:num w:numId="10">
    <w:abstractNumId w:val="8"/>
  </w:num>
  <w:num w:numId="11">
    <w:abstractNumId w:val="4"/>
  </w:num>
  <w:num w:numId="12">
    <w:abstractNumId w:val="4"/>
  </w:num>
  <w:num w:numId="13">
    <w:abstractNumId w:val="5"/>
  </w:num>
  <w:num w:numId="14">
    <w:abstractNumId w:val="2"/>
  </w:num>
  <w:num w:numId="15">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attachedTemplate r:id="rId1"/>
  <w:stylePaneFormatFilter w:val="2001"/>
  <w:defaultTabStop w:val="720"/>
  <w:drawingGridHorizontalSpacing w:val="100"/>
  <w:drawingGridVerticalSpacing w:val="181"/>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F8C"/>
    <w:rsid w:val="00000B14"/>
    <w:rsid w:val="00002D55"/>
    <w:rsid w:val="00010CD5"/>
    <w:rsid w:val="00011347"/>
    <w:rsid w:val="000128A7"/>
    <w:rsid w:val="00014211"/>
    <w:rsid w:val="00016E43"/>
    <w:rsid w:val="000171FB"/>
    <w:rsid w:val="0001755C"/>
    <w:rsid w:val="000250F0"/>
    <w:rsid w:val="00026423"/>
    <w:rsid w:val="00026A89"/>
    <w:rsid w:val="00032CA6"/>
    <w:rsid w:val="00033F2D"/>
    <w:rsid w:val="00034054"/>
    <w:rsid w:val="00036A79"/>
    <w:rsid w:val="00040322"/>
    <w:rsid w:val="0004039F"/>
    <w:rsid w:val="00042DA6"/>
    <w:rsid w:val="000444BE"/>
    <w:rsid w:val="00047350"/>
    <w:rsid w:val="0005223C"/>
    <w:rsid w:val="0005582C"/>
    <w:rsid w:val="0006482C"/>
    <w:rsid w:val="00064FC0"/>
    <w:rsid w:val="00065E88"/>
    <w:rsid w:val="00080566"/>
    <w:rsid w:val="00080EE0"/>
    <w:rsid w:val="00085CBC"/>
    <w:rsid w:val="00091083"/>
    <w:rsid w:val="00092381"/>
    <w:rsid w:val="00092EC7"/>
    <w:rsid w:val="000949C6"/>
    <w:rsid w:val="00097443"/>
    <w:rsid w:val="00097CA2"/>
    <w:rsid w:val="000A2540"/>
    <w:rsid w:val="000A5D6E"/>
    <w:rsid w:val="000A7301"/>
    <w:rsid w:val="000B005D"/>
    <w:rsid w:val="000B088A"/>
    <w:rsid w:val="000B08E5"/>
    <w:rsid w:val="000B0AAB"/>
    <w:rsid w:val="000B1178"/>
    <w:rsid w:val="000B5584"/>
    <w:rsid w:val="000B74CB"/>
    <w:rsid w:val="000C0538"/>
    <w:rsid w:val="000C1AA8"/>
    <w:rsid w:val="000D0575"/>
    <w:rsid w:val="000D34C1"/>
    <w:rsid w:val="000D4763"/>
    <w:rsid w:val="000D4C17"/>
    <w:rsid w:val="000D4CBA"/>
    <w:rsid w:val="000E38EA"/>
    <w:rsid w:val="000E6332"/>
    <w:rsid w:val="000E668D"/>
    <w:rsid w:val="000F0467"/>
    <w:rsid w:val="000F17AC"/>
    <w:rsid w:val="000F2853"/>
    <w:rsid w:val="000F434D"/>
    <w:rsid w:val="001010F4"/>
    <w:rsid w:val="00101A80"/>
    <w:rsid w:val="00101B06"/>
    <w:rsid w:val="00102911"/>
    <w:rsid w:val="0010556F"/>
    <w:rsid w:val="00106B2E"/>
    <w:rsid w:val="00106C1C"/>
    <w:rsid w:val="00111A97"/>
    <w:rsid w:val="001127B7"/>
    <w:rsid w:val="00113D7D"/>
    <w:rsid w:val="00116F37"/>
    <w:rsid w:val="0011784D"/>
    <w:rsid w:val="00125B6E"/>
    <w:rsid w:val="0013080D"/>
    <w:rsid w:val="00131B73"/>
    <w:rsid w:val="001454FA"/>
    <w:rsid w:val="001456C2"/>
    <w:rsid w:val="00151BC5"/>
    <w:rsid w:val="00154355"/>
    <w:rsid w:val="00154C75"/>
    <w:rsid w:val="0016105D"/>
    <w:rsid w:val="00161E6B"/>
    <w:rsid w:val="001629E4"/>
    <w:rsid w:val="00165E10"/>
    <w:rsid w:val="00167D35"/>
    <w:rsid w:val="00170768"/>
    <w:rsid w:val="00170B5D"/>
    <w:rsid w:val="00172824"/>
    <w:rsid w:val="001730CB"/>
    <w:rsid w:val="00173985"/>
    <w:rsid w:val="001751EE"/>
    <w:rsid w:val="00176260"/>
    <w:rsid w:val="00180AC9"/>
    <w:rsid w:val="00182511"/>
    <w:rsid w:val="001841F3"/>
    <w:rsid w:val="00185000"/>
    <w:rsid w:val="001851DE"/>
    <w:rsid w:val="001853F0"/>
    <w:rsid w:val="001910C7"/>
    <w:rsid w:val="001918F0"/>
    <w:rsid w:val="00192D7C"/>
    <w:rsid w:val="00193BDA"/>
    <w:rsid w:val="00194448"/>
    <w:rsid w:val="001A00C8"/>
    <w:rsid w:val="001A5E3C"/>
    <w:rsid w:val="001A60C9"/>
    <w:rsid w:val="001B2D34"/>
    <w:rsid w:val="001B3A42"/>
    <w:rsid w:val="001B3D6F"/>
    <w:rsid w:val="001B4431"/>
    <w:rsid w:val="001B52A0"/>
    <w:rsid w:val="001B5D14"/>
    <w:rsid w:val="001C1807"/>
    <w:rsid w:val="001C4D50"/>
    <w:rsid w:val="001C6FD4"/>
    <w:rsid w:val="001D1392"/>
    <w:rsid w:val="001D56F7"/>
    <w:rsid w:val="001D5DE1"/>
    <w:rsid w:val="001D66C1"/>
    <w:rsid w:val="001D7882"/>
    <w:rsid w:val="001E0988"/>
    <w:rsid w:val="001E15C4"/>
    <w:rsid w:val="001E1694"/>
    <w:rsid w:val="001E77EA"/>
    <w:rsid w:val="001F2EC8"/>
    <w:rsid w:val="001F3603"/>
    <w:rsid w:val="001F4377"/>
    <w:rsid w:val="001F65DB"/>
    <w:rsid w:val="0020008C"/>
    <w:rsid w:val="002022D8"/>
    <w:rsid w:val="00202D71"/>
    <w:rsid w:val="00203215"/>
    <w:rsid w:val="002063EB"/>
    <w:rsid w:val="002106B3"/>
    <w:rsid w:val="0021096A"/>
    <w:rsid w:val="0021326A"/>
    <w:rsid w:val="00213CC1"/>
    <w:rsid w:val="0021536D"/>
    <w:rsid w:val="0023153D"/>
    <w:rsid w:val="00232D70"/>
    <w:rsid w:val="0023307E"/>
    <w:rsid w:val="0023362C"/>
    <w:rsid w:val="00233B7A"/>
    <w:rsid w:val="00233C82"/>
    <w:rsid w:val="00233D5A"/>
    <w:rsid w:val="0023663B"/>
    <w:rsid w:val="00236A5E"/>
    <w:rsid w:val="002426DE"/>
    <w:rsid w:val="00244113"/>
    <w:rsid w:val="0024539D"/>
    <w:rsid w:val="00250D22"/>
    <w:rsid w:val="00252326"/>
    <w:rsid w:val="00253D11"/>
    <w:rsid w:val="00256FCC"/>
    <w:rsid w:val="00261504"/>
    <w:rsid w:val="002616C5"/>
    <w:rsid w:val="00263152"/>
    <w:rsid w:val="0026391A"/>
    <w:rsid w:val="002676EA"/>
    <w:rsid w:val="00270232"/>
    <w:rsid w:val="002731BA"/>
    <w:rsid w:val="00275D6B"/>
    <w:rsid w:val="00277CA7"/>
    <w:rsid w:val="00277F04"/>
    <w:rsid w:val="002807DC"/>
    <w:rsid w:val="00282834"/>
    <w:rsid w:val="00282876"/>
    <w:rsid w:val="00284C50"/>
    <w:rsid w:val="00287767"/>
    <w:rsid w:val="00291345"/>
    <w:rsid w:val="00293311"/>
    <w:rsid w:val="00295020"/>
    <w:rsid w:val="00295F3C"/>
    <w:rsid w:val="00296222"/>
    <w:rsid w:val="002962AE"/>
    <w:rsid w:val="002964A2"/>
    <w:rsid w:val="00296756"/>
    <w:rsid w:val="002A1CBB"/>
    <w:rsid w:val="002A2D12"/>
    <w:rsid w:val="002A6396"/>
    <w:rsid w:val="002B2188"/>
    <w:rsid w:val="002B46FC"/>
    <w:rsid w:val="002B4EF1"/>
    <w:rsid w:val="002C02A4"/>
    <w:rsid w:val="002C30F4"/>
    <w:rsid w:val="002C4CCC"/>
    <w:rsid w:val="002C505B"/>
    <w:rsid w:val="002C66AA"/>
    <w:rsid w:val="002D0E0C"/>
    <w:rsid w:val="002D110D"/>
    <w:rsid w:val="002D4E43"/>
    <w:rsid w:val="002D5EDD"/>
    <w:rsid w:val="002E1DD6"/>
    <w:rsid w:val="002F3167"/>
    <w:rsid w:val="002F494E"/>
    <w:rsid w:val="0030085B"/>
    <w:rsid w:val="003028D2"/>
    <w:rsid w:val="00310AB0"/>
    <w:rsid w:val="00311FDD"/>
    <w:rsid w:val="0031286A"/>
    <w:rsid w:val="00313376"/>
    <w:rsid w:val="00313EB2"/>
    <w:rsid w:val="003147D0"/>
    <w:rsid w:val="0031762F"/>
    <w:rsid w:val="00320356"/>
    <w:rsid w:val="0032096B"/>
    <w:rsid w:val="00322FA9"/>
    <w:rsid w:val="00324F41"/>
    <w:rsid w:val="00325127"/>
    <w:rsid w:val="003258F5"/>
    <w:rsid w:val="00335E38"/>
    <w:rsid w:val="00340408"/>
    <w:rsid w:val="0034097B"/>
    <w:rsid w:val="0034441F"/>
    <w:rsid w:val="00347B1A"/>
    <w:rsid w:val="003526D9"/>
    <w:rsid w:val="00357369"/>
    <w:rsid w:val="00357DC4"/>
    <w:rsid w:val="0036155E"/>
    <w:rsid w:val="003705E5"/>
    <w:rsid w:val="00370BB6"/>
    <w:rsid w:val="00372017"/>
    <w:rsid w:val="00372B07"/>
    <w:rsid w:val="003776C6"/>
    <w:rsid w:val="0038219F"/>
    <w:rsid w:val="00382EE3"/>
    <w:rsid w:val="003833E4"/>
    <w:rsid w:val="00387685"/>
    <w:rsid w:val="00390C9A"/>
    <w:rsid w:val="00391FE1"/>
    <w:rsid w:val="00393DF8"/>
    <w:rsid w:val="00397402"/>
    <w:rsid w:val="00397411"/>
    <w:rsid w:val="003A307F"/>
    <w:rsid w:val="003A4ABD"/>
    <w:rsid w:val="003A7754"/>
    <w:rsid w:val="003B0AE8"/>
    <w:rsid w:val="003B133B"/>
    <w:rsid w:val="003B3E65"/>
    <w:rsid w:val="003B5273"/>
    <w:rsid w:val="003B5459"/>
    <w:rsid w:val="003B6383"/>
    <w:rsid w:val="003B66BE"/>
    <w:rsid w:val="003C0CE9"/>
    <w:rsid w:val="003C73A2"/>
    <w:rsid w:val="003D0DA8"/>
    <w:rsid w:val="003D15E5"/>
    <w:rsid w:val="003D26ED"/>
    <w:rsid w:val="003D6908"/>
    <w:rsid w:val="003E0F7B"/>
    <w:rsid w:val="003E1037"/>
    <w:rsid w:val="003E1579"/>
    <w:rsid w:val="003E2E97"/>
    <w:rsid w:val="003E78A9"/>
    <w:rsid w:val="003F2AB4"/>
    <w:rsid w:val="00402257"/>
    <w:rsid w:val="0040631A"/>
    <w:rsid w:val="00410B94"/>
    <w:rsid w:val="004137D5"/>
    <w:rsid w:val="00414D62"/>
    <w:rsid w:val="00416C49"/>
    <w:rsid w:val="00416E5B"/>
    <w:rsid w:val="004170A7"/>
    <w:rsid w:val="004172F3"/>
    <w:rsid w:val="00420B4B"/>
    <w:rsid w:val="00421B94"/>
    <w:rsid w:val="00422635"/>
    <w:rsid w:val="00422F09"/>
    <w:rsid w:val="00423BEC"/>
    <w:rsid w:val="0042417A"/>
    <w:rsid w:val="00425AD3"/>
    <w:rsid w:val="00426137"/>
    <w:rsid w:val="00426C28"/>
    <w:rsid w:val="0043265B"/>
    <w:rsid w:val="00433218"/>
    <w:rsid w:val="00433864"/>
    <w:rsid w:val="00436FE6"/>
    <w:rsid w:val="004372B3"/>
    <w:rsid w:val="00437678"/>
    <w:rsid w:val="0043770F"/>
    <w:rsid w:val="00437ACC"/>
    <w:rsid w:val="004436D3"/>
    <w:rsid w:val="00444B59"/>
    <w:rsid w:val="00446B1C"/>
    <w:rsid w:val="004514AC"/>
    <w:rsid w:val="0045178D"/>
    <w:rsid w:val="00454B4E"/>
    <w:rsid w:val="004633F3"/>
    <w:rsid w:val="00470D23"/>
    <w:rsid w:val="00481DE0"/>
    <w:rsid w:val="00485F1B"/>
    <w:rsid w:val="00487FC3"/>
    <w:rsid w:val="004917F0"/>
    <w:rsid w:val="004931F7"/>
    <w:rsid w:val="004939A7"/>
    <w:rsid w:val="00494917"/>
    <w:rsid w:val="004959E7"/>
    <w:rsid w:val="00497D13"/>
    <w:rsid w:val="004A36B1"/>
    <w:rsid w:val="004A5073"/>
    <w:rsid w:val="004A61C1"/>
    <w:rsid w:val="004B0E08"/>
    <w:rsid w:val="004B1B4F"/>
    <w:rsid w:val="004B2FCD"/>
    <w:rsid w:val="004B350F"/>
    <w:rsid w:val="004B38AD"/>
    <w:rsid w:val="004B4101"/>
    <w:rsid w:val="004B41CD"/>
    <w:rsid w:val="004B5445"/>
    <w:rsid w:val="004C213D"/>
    <w:rsid w:val="004C256A"/>
    <w:rsid w:val="004C2AB3"/>
    <w:rsid w:val="004C73F1"/>
    <w:rsid w:val="004D2CCF"/>
    <w:rsid w:val="004D30DC"/>
    <w:rsid w:val="004D4E94"/>
    <w:rsid w:val="004D79F8"/>
    <w:rsid w:val="004D7E2A"/>
    <w:rsid w:val="004E062D"/>
    <w:rsid w:val="004E1DB2"/>
    <w:rsid w:val="004E593D"/>
    <w:rsid w:val="004E6C17"/>
    <w:rsid w:val="004E7B0A"/>
    <w:rsid w:val="004F0FAA"/>
    <w:rsid w:val="004F176D"/>
    <w:rsid w:val="004F1C5B"/>
    <w:rsid w:val="004F2B53"/>
    <w:rsid w:val="004F38E1"/>
    <w:rsid w:val="004F6AFF"/>
    <w:rsid w:val="004F7C1A"/>
    <w:rsid w:val="005018E4"/>
    <w:rsid w:val="00503190"/>
    <w:rsid w:val="00504E38"/>
    <w:rsid w:val="00507618"/>
    <w:rsid w:val="0051014D"/>
    <w:rsid w:val="00511BBD"/>
    <w:rsid w:val="00512668"/>
    <w:rsid w:val="0051568C"/>
    <w:rsid w:val="00517944"/>
    <w:rsid w:val="0052061B"/>
    <w:rsid w:val="00523832"/>
    <w:rsid w:val="00526207"/>
    <w:rsid w:val="00527DF6"/>
    <w:rsid w:val="00532191"/>
    <w:rsid w:val="00532FF1"/>
    <w:rsid w:val="00533F85"/>
    <w:rsid w:val="0053420A"/>
    <w:rsid w:val="00535151"/>
    <w:rsid w:val="00541C7B"/>
    <w:rsid w:val="0054487A"/>
    <w:rsid w:val="005448B3"/>
    <w:rsid w:val="005457E2"/>
    <w:rsid w:val="00547ACC"/>
    <w:rsid w:val="00547EFA"/>
    <w:rsid w:val="00552198"/>
    <w:rsid w:val="00553E80"/>
    <w:rsid w:val="0055756A"/>
    <w:rsid w:val="00562E71"/>
    <w:rsid w:val="00563530"/>
    <w:rsid w:val="0056415D"/>
    <w:rsid w:val="00565469"/>
    <w:rsid w:val="005656CE"/>
    <w:rsid w:val="005657C6"/>
    <w:rsid w:val="00567C9C"/>
    <w:rsid w:val="00570096"/>
    <w:rsid w:val="00570560"/>
    <w:rsid w:val="005724A6"/>
    <w:rsid w:val="00572D8D"/>
    <w:rsid w:val="0057306F"/>
    <w:rsid w:val="00575235"/>
    <w:rsid w:val="00575AA8"/>
    <w:rsid w:val="005832A4"/>
    <w:rsid w:val="005911F5"/>
    <w:rsid w:val="0059502F"/>
    <w:rsid w:val="005952E1"/>
    <w:rsid w:val="00595E90"/>
    <w:rsid w:val="0059780F"/>
    <w:rsid w:val="005A00A8"/>
    <w:rsid w:val="005A1270"/>
    <w:rsid w:val="005A1530"/>
    <w:rsid w:val="005A30ED"/>
    <w:rsid w:val="005A40D4"/>
    <w:rsid w:val="005A6083"/>
    <w:rsid w:val="005B2980"/>
    <w:rsid w:val="005B6CB0"/>
    <w:rsid w:val="005C095D"/>
    <w:rsid w:val="005C3E4F"/>
    <w:rsid w:val="005C4364"/>
    <w:rsid w:val="005C47E4"/>
    <w:rsid w:val="005C7861"/>
    <w:rsid w:val="005D3B2E"/>
    <w:rsid w:val="005D74EE"/>
    <w:rsid w:val="005E0736"/>
    <w:rsid w:val="005E0AAA"/>
    <w:rsid w:val="005E14E4"/>
    <w:rsid w:val="005E26A2"/>
    <w:rsid w:val="005E35CC"/>
    <w:rsid w:val="005E4221"/>
    <w:rsid w:val="005E4399"/>
    <w:rsid w:val="005E741C"/>
    <w:rsid w:val="005F084A"/>
    <w:rsid w:val="005F093B"/>
    <w:rsid w:val="005F3888"/>
    <w:rsid w:val="005F40CA"/>
    <w:rsid w:val="005F4827"/>
    <w:rsid w:val="005F51F1"/>
    <w:rsid w:val="005F6656"/>
    <w:rsid w:val="005F6AC3"/>
    <w:rsid w:val="00600444"/>
    <w:rsid w:val="00601EDD"/>
    <w:rsid w:val="00605726"/>
    <w:rsid w:val="006119A0"/>
    <w:rsid w:val="0061431F"/>
    <w:rsid w:val="0061569D"/>
    <w:rsid w:val="00620108"/>
    <w:rsid w:val="00620C85"/>
    <w:rsid w:val="00620F69"/>
    <w:rsid w:val="00621088"/>
    <w:rsid w:val="006226F6"/>
    <w:rsid w:val="00622F77"/>
    <w:rsid w:val="00623A16"/>
    <w:rsid w:val="00627A80"/>
    <w:rsid w:val="00631BE3"/>
    <w:rsid w:val="00633603"/>
    <w:rsid w:val="00634D65"/>
    <w:rsid w:val="006355D6"/>
    <w:rsid w:val="006357EA"/>
    <w:rsid w:val="00635A1B"/>
    <w:rsid w:val="0063657D"/>
    <w:rsid w:val="00646B18"/>
    <w:rsid w:val="00646B6C"/>
    <w:rsid w:val="00646F30"/>
    <w:rsid w:val="006478B5"/>
    <w:rsid w:val="00647E3A"/>
    <w:rsid w:val="006511A5"/>
    <w:rsid w:val="00651DCD"/>
    <w:rsid w:val="00652AA3"/>
    <w:rsid w:val="006541CD"/>
    <w:rsid w:val="00655FCF"/>
    <w:rsid w:val="00657BCC"/>
    <w:rsid w:val="00660334"/>
    <w:rsid w:val="0066067E"/>
    <w:rsid w:val="006617D4"/>
    <w:rsid w:val="00664F7A"/>
    <w:rsid w:val="0066536F"/>
    <w:rsid w:val="00665655"/>
    <w:rsid w:val="006658E6"/>
    <w:rsid w:val="0066746B"/>
    <w:rsid w:val="00667C61"/>
    <w:rsid w:val="00672779"/>
    <w:rsid w:val="0067494C"/>
    <w:rsid w:val="006756A8"/>
    <w:rsid w:val="00680A27"/>
    <w:rsid w:val="00680D06"/>
    <w:rsid w:val="0068164A"/>
    <w:rsid w:val="0068178A"/>
    <w:rsid w:val="00685317"/>
    <w:rsid w:val="006861BF"/>
    <w:rsid w:val="0069692B"/>
    <w:rsid w:val="006A0D83"/>
    <w:rsid w:val="006A2FEA"/>
    <w:rsid w:val="006B102F"/>
    <w:rsid w:val="006B1C27"/>
    <w:rsid w:val="006B1CDF"/>
    <w:rsid w:val="006B2F90"/>
    <w:rsid w:val="006B4576"/>
    <w:rsid w:val="006B500C"/>
    <w:rsid w:val="006B7FF3"/>
    <w:rsid w:val="006C4BD0"/>
    <w:rsid w:val="006C70B2"/>
    <w:rsid w:val="006D2F1C"/>
    <w:rsid w:val="006D447C"/>
    <w:rsid w:val="006D76D6"/>
    <w:rsid w:val="006E0B0C"/>
    <w:rsid w:val="006E0C9B"/>
    <w:rsid w:val="006E1332"/>
    <w:rsid w:val="006E35A8"/>
    <w:rsid w:val="006E5211"/>
    <w:rsid w:val="006E6264"/>
    <w:rsid w:val="006E7934"/>
    <w:rsid w:val="006E7C07"/>
    <w:rsid w:val="006F757F"/>
    <w:rsid w:val="0070043A"/>
    <w:rsid w:val="00701378"/>
    <w:rsid w:val="00701F8C"/>
    <w:rsid w:val="00704045"/>
    <w:rsid w:val="00705EE6"/>
    <w:rsid w:val="007060E0"/>
    <w:rsid w:val="00706121"/>
    <w:rsid w:val="007069BA"/>
    <w:rsid w:val="00710802"/>
    <w:rsid w:val="007116AC"/>
    <w:rsid w:val="00711A8A"/>
    <w:rsid w:val="007120A9"/>
    <w:rsid w:val="007125B1"/>
    <w:rsid w:val="007174E0"/>
    <w:rsid w:val="00726915"/>
    <w:rsid w:val="00727542"/>
    <w:rsid w:val="00730302"/>
    <w:rsid w:val="00735D35"/>
    <w:rsid w:val="00736C72"/>
    <w:rsid w:val="00742A70"/>
    <w:rsid w:val="00743F82"/>
    <w:rsid w:val="007471E7"/>
    <w:rsid w:val="00750975"/>
    <w:rsid w:val="00750BDC"/>
    <w:rsid w:val="0075102E"/>
    <w:rsid w:val="007523F2"/>
    <w:rsid w:val="007530C5"/>
    <w:rsid w:val="00756C96"/>
    <w:rsid w:val="007601AD"/>
    <w:rsid w:val="00760C15"/>
    <w:rsid w:val="00761F35"/>
    <w:rsid w:val="00761FBB"/>
    <w:rsid w:val="0076446F"/>
    <w:rsid w:val="0076785C"/>
    <w:rsid w:val="00770D5A"/>
    <w:rsid w:val="00770EA0"/>
    <w:rsid w:val="00782EC6"/>
    <w:rsid w:val="00783B83"/>
    <w:rsid w:val="00784F0C"/>
    <w:rsid w:val="00787013"/>
    <w:rsid w:val="00792F3C"/>
    <w:rsid w:val="007957AB"/>
    <w:rsid w:val="00795AD6"/>
    <w:rsid w:val="00795E4D"/>
    <w:rsid w:val="00796D3D"/>
    <w:rsid w:val="007A03FE"/>
    <w:rsid w:val="007A2EC2"/>
    <w:rsid w:val="007A44C2"/>
    <w:rsid w:val="007B07FD"/>
    <w:rsid w:val="007B2746"/>
    <w:rsid w:val="007B2F69"/>
    <w:rsid w:val="007B669B"/>
    <w:rsid w:val="007B79AC"/>
    <w:rsid w:val="007C1D81"/>
    <w:rsid w:val="007C2C75"/>
    <w:rsid w:val="007C3B0E"/>
    <w:rsid w:val="007C6938"/>
    <w:rsid w:val="007D110F"/>
    <w:rsid w:val="007D284E"/>
    <w:rsid w:val="007D731C"/>
    <w:rsid w:val="007D76EF"/>
    <w:rsid w:val="007D7EC9"/>
    <w:rsid w:val="007E5594"/>
    <w:rsid w:val="007F61DB"/>
    <w:rsid w:val="008004E2"/>
    <w:rsid w:val="00801065"/>
    <w:rsid w:val="00801A2F"/>
    <w:rsid w:val="00801AE5"/>
    <w:rsid w:val="00805830"/>
    <w:rsid w:val="00812087"/>
    <w:rsid w:val="00812128"/>
    <w:rsid w:val="00812358"/>
    <w:rsid w:val="00814828"/>
    <w:rsid w:val="00815A6D"/>
    <w:rsid w:val="00817022"/>
    <w:rsid w:val="00820111"/>
    <w:rsid w:val="008220BB"/>
    <w:rsid w:val="008238A7"/>
    <w:rsid w:val="00825BAF"/>
    <w:rsid w:val="00826321"/>
    <w:rsid w:val="00830AD5"/>
    <w:rsid w:val="00831F5A"/>
    <w:rsid w:val="008322C9"/>
    <w:rsid w:val="008325AE"/>
    <w:rsid w:val="00832997"/>
    <w:rsid w:val="008364B8"/>
    <w:rsid w:val="00842B9A"/>
    <w:rsid w:val="008432AF"/>
    <w:rsid w:val="00843497"/>
    <w:rsid w:val="008437AD"/>
    <w:rsid w:val="00843D50"/>
    <w:rsid w:val="008473C7"/>
    <w:rsid w:val="00856404"/>
    <w:rsid w:val="00860CB4"/>
    <w:rsid w:val="0086501D"/>
    <w:rsid w:val="00867183"/>
    <w:rsid w:val="00872FAC"/>
    <w:rsid w:val="008738D0"/>
    <w:rsid w:val="00873C2B"/>
    <w:rsid w:val="00875D7B"/>
    <w:rsid w:val="008866E0"/>
    <w:rsid w:val="00887700"/>
    <w:rsid w:val="0089074B"/>
    <w:rsid w:val="00892E14"/>
    <w:rsid w:val="00893AE0"/>
    <w:rsid w:val="00895185"/>
    <w:rsid w:val="008A205D"/>
    <w:rsid w:val="008A376C"/>
    <w:rsid w:val="008A4247"/>
    <w:rsid w:val="008A45DC"/>
    <w:rsid w:val="008A4AC0"/>
    <w:rsid w:val="008A7D1E"/>
    <w:rsid w:val="008A7EC5"/>
    <w:rsid w:val="008B4587"/>
    <w:rsid w:val="008B4E10"/>
    <w:rsid w:val="008B6B6E"/>
    <w:rsid w:val="008B6E4F"/>
    <w:rsid w:val="008C0C1C"/>
    <w:rsid w:val="008C1B29"/>
    <w:rsid w:val="008C4E8B"/>
    <w:rsid w:val="008C5CB2"/>
    <w:rsid w:val="008D079F"/>
    <w:rsid w:val="008D1720"/>
    <w:rsid w:val="008D4689"/>
    <w:rsid w:val="008E0E1F"/>
    <w:rsid w:val="008E539D"/>
    <w:rsid w:val="008E569E"/>
    <w:rsid w:val="008E5BF1"/>
    <w:rsid w:val="008F0763"/>
    <w:rsid w:val="008F1BDA"/>
    <w:rsid w:val="008F46D5"/>
    <w:rsid w:val="008F5A74"/>
    <w:rsid w:val="008F6917"/>
    <w:rsid w:val="009035D3"/>
    <w:rsid w:val="00904A06"/>
    <w:rsid w:val="00910E78"/>
    <w:rsid w:val="009142C4"/>
    <w:rsid w:val="009158D4"/>
    <w:rsid w:val="00916693"/>
    <w:rsid w:val="00922289"/>
    <w:rsid w:val="00923E43"/>
    <w:rsid w:val="00924E61"/>
    <w:rsid w:val="009306D5"/>
    <w:rsid w:val="00930B29"/>
    <w:rsid w:val="00931445"/>
    <w:rsid w:val="00933827"/>
    <w:rsid w:val="0093488B"/>
    <w:rsid w:val="00941AA7"/>
    <w:rsid w:val="00941FE7"/>
    <w:rsid w:val="00944958"/>
    <w:rsid w:val="009450A6"/>
    <w:rsid w:val="009464E8"/>
    <w:rsid w:val="0095353F"/>
    <w:rsid w:val="00953877"/>
    <w:rsid w:val="00955849"/>
    <w:rsid w:val="00956B4A"/>
    <w:rsid w:val="00960F84"/>
    <w:rsid w:val="0096272B"/>
    <w:rsid w:val="00964136"/>
    <w:rsid w:val="0096630B"/>
    <w:rsid w:val="00966527"/>
    <w:rsid w:val="00966978"/>
    <w:rsid w:val="00972F1F"/>
    <w:rsid w:val="00975A9D"/>
    <w:rsid w:val="00977EBC"/>
    <w:rsid w:val="00980379"/>
    <w:rsid w:val="00980501"/>
    <w:rsid w:val="009809A3"/>
    <w:rsid w:val="00980F67"/>
    <w:rsid w:val="00981AD8"/>
    <w:rsid w:val="00984F25"/>
    <w:rsid w:val="00985F1A"/>
    <w:rsid w:val="00986284"/>
    <w:rsid w:val="0099688A"/>
    <w:rsid w:val="009A0C1A"/>
    <w:rsid w:val="009A135A"/>
    <w:rsid w:val="009A4A1E"/>
    <w:rsid w:val="009A50E9"/>
    <w:rsid w:val="009A52AB"/>
    <w:rsid w:val="009A5B05"/>
    <w:rsid w:val="009A6692"/>
    <w:rsid w:val="009B5618"/>
    <w:rsid w:val="009B6B84"/>
    <w:rsid w:val="009C02CE"/>
    <w:rsid w:val="009C2164"/>
    <w:rsid w:val="009C21F3"/>
    <w:rsid w:val="009C493D"/>
    <w:rsid w:val="009C52F9"/>
    <w:rsid w:val="009C5E4F"/>
    <w:rsid w:val="009C6A8B"/>
    <w:rsid w:val="009D0F07"/>
    <w:rsid w:val="009D1349"/>
    <w:rsid w:val="009D24A9"/>
    <w:rsid w:val="009D2B00"/>
    <w:rsid w:val="009D3D0C"/>
    <w:rsid w:val="009D4EE9"/>
    <w:rsid w:val="009D5BB8"/>
    <w:rsid w:val="009D7CEC"/>
    <w:rsid w:val="009D7F1C"/>
    <w:rsid w:val="009E169C"/>
    <w:rsid w:val="009E1E69"/>
    <w:rsid w:val="009E337F"/>
    <w:rsid w:val="009E3AC9"/>
    <w:rsid w:val="009E53F6"/>
    <w:rsid w:val="009E761C"/>
    <w:rsid w:val="009F392A"/>
    <w:rsid w:val="009F4BFC"/>
    <w:rsid w:val="009F55F6"/>
    <w:rsid w:val="009F6CCA"/>
    <w:rsid w:val="009F7987"/>
    <w:rsid w:val="00A009EC"/>
    <w:rsid w:val="00A019DD"/>
    <w:rsid w:val="00A03496"/>
    <w:rsid w:val="00A04255"/>
    <w:rsid w:val="00A04584"/>
    <w:rsid w:val="00A06999"/>
    <w:rsid w:val="00A07DFF"/>
    <w:rsid w:val="00A113F4"/>
    <w:rsid w:val="00A11F7B"/>
    <w:rsid w:val="00A12885"/>
    <w:rsid w:val="00A2162C"/>
    <w:rsid w:val="00A27427"/>
    <w:rsid w:val="00A30329"/>
    <w:rsid w:val="00A308B1"/>
    <w:rsid w:val="00A34DF7"/>
    <w:rsid w:val="00A37CAC"/>
    <w:rsid w:val="00A4049E"/>
    <w:rsid w:val="00A41E74"/>
    <w:rsid w:val="00A421F4"/>
    <w:rsid w:val="00A45806"/>
    <w:rsid w:val="00A46745"/>
    <w:rsid w:val="00A535AF"/>
    <w:rsid w:val="00A55B2B"/>
    <w:rsid w:val="00A5632A"/>
    <w:rsid w:val="00A56E00"/>
    <w:rsid w:val="00A57D33"/>
    <w:rsid w:val="00A60898"/>
    <w:rsid w:val="00A613C1"/>
    <w:rsid w:val="00A62032"/>
    <w:rsid w:val="00A66B71"/>
    <w:rsid w:val="00A6777B"/>
    <w:rsid w:val="00A679EE"/>
    <w:rsid w:val="00A7379A"/>
    <w:rsid w:val="00A7487D"/>
    <w:rsid w:val="00A75FAF"/>
    <w:rsid w:val="00A77088"/>
    <w:rsid w:val="00A83565"/>
    <w:rsid w:val="00A85810"/>
    <w:rsid w:val="00A8689A"/>
    <w:rsid w:val="00A87073"/>
    <w:rsid w:val="00A90A26"/>
    <w:rsid w:val="00A93693"/>
    <w:rsid w:val="00A9424D"/>
    <w:rsid w:val="00A9462A"/>
    <w:rsid w:val="00A95490"/>
    <w:rsid w:val="00A96536"/>
    <w:rsid w:val="00A9746B"/>
    <w:rsid w:val="00A97ADA"/>
    <w:rsid w:val="00AA34FB"/>
    <w:rsid w:val="00AA3692"/>
    <w:rsid w:val="00AA3888"/>
    <w:rsid w:val="00AA3B77"/>
    <w:rsid w:val="00AA52E5"/>
    <w:rsid w:val="00AA623F"/>
    <w:rsid w:val="00AA7635"/>
    <w:rsid w:val="00AA7D92"/>
    <w:rsid w:val="00AB12AF"/>
    <w:rsid w:val="00AB34EF"/>
    <w:rsid w:val="00AB37C6"/>
    <w:rsid w:val="00AB5692"/>
    <w:rsid w:val="00AB7A29"/>
    <w:rsid w:val="00AC1787"/>
    <w:rsid w:val="00AC1C1C"/>
    <w:rsid w:val="00AC280A"/>
    <w:rsid w:val="00AC5F11"/>
    <w:rsid w:val="00AC676A"/>
    <w:rsid w:val="00AC70ED"/>
    <w:rsid w:val="00AC7740"/>
    <w:rsid w:val="00AD0B8A"/>
    <w:rsid w:val="00AD2795"/>
    <w:rsid w:val="00AD6F21"/>
    <w:rsid w:val="00AD74CF"/>
    <w:rsid w:val="00AD7F94"/>
    <w:rsid w:val="00AE04E4"/>
    <w:rsid w:val="00AE0945"/>
    <w:rsid w:val="00AE4986"/>
    <w:rsid w:val="00AE581F"/>
    <w:rsid w:val="00AE77DE"/>
    <w:rsid w:val="00AF19CE"/>
    <w:rsid w:val="00AF362A"/>
    <w:rsid w:val="00AF7B44"/>
    <w:rsid w:val="00B00C5A"/>
    <w:rsid w:val="00B11215"/>
    <w:rsid w:val="00B13342"/>
    <w:rsid w:val="00B16097"/>
    <w:rsid w:val="00B1679B"/>
    <w:rsid w:val="00B212AF"/>
    <w:rsid w:val="00B215A9"/>
    <w:rsid w:val="00B21DA8"/>
    <w:rsid w:val="00B24356"/>
    <w:rsid w:val="00B24362"/>
    <w:rsid w:val="00B27224"/>
    <w:rsid w:val="00B33F1C"/>
    <w:rsid w:val="00B354B1"/>
    <w:rsid w:val="00B37445"/>
    <w:rsid w:val="00B3768D"/>
    <w:rsid w:val="00B4056A"/>
    <w:rsid w:val="00B4514A"/>
    <w:rsid w:val="00B4569A"/>
    <w:rsid w:val="00B535C8"/>
    <w:rsid w:val="00B55016"/>
    <w:rsid w:val="00B61A75"/>
    <w:rsid w:val="00B6319B"/>
    <w:rsid w:val="00B64F77"/>
    <w:rsid w:val="00B66688"/>
    <w:rsid w:val="00B704E8"/>
    <w:rsid w:val="00B7095E"/>
    <w:rsid w:val="00B74B09"/>
    <w:rsid w:val="00B7534E"/>
    <w:rsid w:val="00B810B0"/>
    <w:rsid w:val="00B8188B"/>
    <w:rsid w:val="00B81C10"/>
    <w:rsid w:val="00B83D89"/>
    <w:rsid w:val="00B84C51"/>
    <w:rsid w:val="00B85DAD"/>
    <w:rsid w:val="00B901BC"/>
    <w:rsid w:val="00B943E4"/>
    <w:rsid w:val="00B94E9C"/>
    <w:rsid w:val="00B95EFE"/>
    <w:rsid w:val="00BA2F2D"/>
    <w:rsid w:val="00BA4DEA"/>
    <w:rsid w:val="00BA4FF6"/>
    <w:rsid w:val="00BA5B52"/>
    <w:rsid w:val="00BB3E1E"/>
    <w:rsid w:val="00BB6D80"/>
    <w:rsid w:val="00BB70C7"/>
    <w:rsid w:val="00BC6041"/>
    <w:rsid w:val="00BC620F"/>
    <w:rsid w:val="00BC78A8"/>
    <w:rsid w:val="00BD02D1"/>
    <w:rsid w:val="00BD07F6"/>
    <w:rsid w:val="00BD318C"/>
    <w:rsid w:val="00BE2676"/>
    <w:rsid w:val="00BE26FF"/>
    <w:rsid w:val="00BE29D4"/>
    <w:rsid w:val="00BE2D11"/>
    <w:rsid w:val="00BE7365"/>
    <w:rsid w:val="00BF105A"/>
    <w:rsid w:val="00BF1770"/>
    <w:rsid w:val="00BF177D"/>
    <w:rsid w:val="00BF389F"/>
    <w:rsid w:val="00BF46DE"/>
    <w:rsid w:val="00BF6715"/>
    <w:rsid w:val="00BF7959"/>
    <w:rsid w:val="00C0291E"/>
    <w:rsid w:val="00C02B0C"/>
    <w:rsid w:val="00C03905"/>
    <w:rsid w:val="00C07639"/>
    <w:rsid w:val="00C07A81"/>
    <w:rsid w:val="00C116E7"/>
    <w:rsid w:val="00C14131"/>
    <w:rsid w:val="00C2121B"/>
    <w:rsid w:val="00C21377"/>
    <w:rsid w:val="00C2339E"/>
    <w:rsid w:val="00C31C23"/>
    <w:rsid w:val="00C3278A"/>
    <w:rsid w:val="00C34E5F"/>
    <w:rsid w:val="00C35068"/>
    <w:rsid w:val="00C36934"/>
    <w:rsid w:val="00C41FD8"/>
    <w:rsid w:val="00C446B3"/>
    <w:rsid w:val="00C46139"/>
    <w:rsid w:val="00C462BC"/>
    <w:rsid w:val="00C5137A"/>
    <w:rsid w:val="00C5700A"/>
    <w:rsid w:val="00C57972"/>
    <w:rsid w:val="00C611E2"/>
    <w:rsid w:val="00C61C7E"/>
    <w:rsid w:val="00C62A02"/>
    <w:rsid w:val="00C63FD2"/>
    <w:rsid w:val="00C66777"/>
    <w:rsid w:val="00C70657"/>
    <w:rsid w:val="00C71D93"/>
    <w:rsid w:val="00C71E12"/>
    <w:rsid w:val="00C723B5"/>
    <w:rsid w:val="00C75F52"/>
    <w:rsid w:val="00C7636D"/>
    <w:rsid w:val="00C77239"/>
    <w:rsid w:val="00C77478"/>
    <w:rsid w:val="00C82A1C"/>
    <w:rsid w:val="00C84250"/>
    <w:rsid w:val="00C84E74"/>
    <w:rsid w:val="00C850B6"/>
    <w:rsid w:val="00C869C1"/>
    <w:rsid w:val="00C91888"/>
    <w:rsid w:val="00C930E8"/>
    <w:rsid w:val="00C939A8"/>
    <w:rsid w:val="00C95AA4"/>
    <w:rsid w:val="00CA0287"/>
    <w:rsid w:val="00CA27FC"/>
    <w:rsid w:val="00CA796B"/>
    <w:rsid w:val="00CB313F"/>
    <w:rsid w:val="00CB3B9E"/>
    <w:rsid w:val="00CC1869"/>
    <w:rsid w:val="00CC7FC2"/>
    <w:rsid w:val="00CD4419"/>
    <w:rsid w:val="00CD6CDE"/>
    <w:rsid w:val="00CE14AB"/>
    <w:rsid w:val="00CE35DA"/>
    <w:rsid w:val="00CE5430"/>
    <w:rsid w:val="00CF0301"/>
    <w:rsid w:val="00CF4D0D"/>
    <w:rsid w:val="00CF52AD"/>
    <w:rsid w:val="00CF7B2D"/>
    <w:rsid w:val="00D02CCA"/>
    <w:rsid w:val="00D03E7A"/>
    <w:rsid w:val="00D12682"/>
    <w:rsid w:val="00D1329A"/>
    <w:rsid w:val="00D1347E"/>
    <w:rsid w:val="00D13714"/>
    <w:rsid w:val="00D13AB8"/>
    <w:rsid w:val="00D17117"/>
    <w:rsid w:val="00D23E51"/>
    <w:rsid w:val="00D25A7D"/>
    <w:rsid w:val="00D30E33"/>
    <w:rsid w:val="00D334B5"/>
    <w:rsid w:val="00D400E6"/>
    <w:rsid w:val="00D40D25"/>
    <w:rsid w:val="00D42C07"/>
    <w:rsid w:val="00D43101"/>
    <w:rsid w:val="00D442D6"/>
    <w:rsid w:val="00D456BD"/>
    <w:rsid w:val="00D45FE3"/>
    <w:rsid w:val="00D5334C"/>
    <w:rsid w:val="00D540B5"/>
    <w:rsid w:val="00D5554C"/>
    <w:rsid w:val="00D572DC"/>
    <w:rsid w:val="00D573FE"/>
    <w:rsid w:val="00D5746A"/>
    <w:rsid w:val="00D57F64"/>
    <w:rsid w:val="00D67AAC"/>
    <w:rsid w:val="00D70993"/>
    <w:rsid w:val="00D70FDE"/>
    <w:rsid w:val="00D74C8D"/>
    <w:rsid w:val="00D76382"/>
    <w:rsid w:val="00D80C60"/>
    <w:rsid w:val="00D84E6A"/>
    <w:rsid w:val="00D85B8C"/>
    <w:rsid w:val="00D87287"/>
    <w:rsid w:val="00D9123B"/>
    <w:rsid w:val="00D955D4"/>
    <w:rsid w:val="00DA262C"/>
    <w:rsid w:val="00DA2C75"/>
    <w:rsid w:val="00DA3495"/>
    <w:rsid w:val="00DA51E6"/>
    <w:rsid w:val="00DA55EE"/>
    <w:rsid w:val="00DA7265"/>
    <w:rsid w:val="00DB26A4"/>
    <w:rsid w:val="00DB3A61"/>
    <w:rsid w:val="00DB4592"/>
    <w:rsid w:val="00DB7029"/>
    <w:rsid w:val="00DC2356"/>
    <w:rsid w:val="00DC322B"/>
    <w:rsid w:val="00DC46B0"/>
    <w:rsid w:val="00DC5497"/>
    <w:rsid w:val="00DC5FC9"/>
    <w:rsid w:val="00DD091D"/>
    <w:rsid w:val="00DD17DD"/>
    <w:rsid w:val="00DD19DF"/>
    <w:rsid w:val="00DD23D6"/>
    <w:rsid w:val="00DD5F11"/>
    <w:rsid w:val="00DD6454"/>
    <w:rsid w:val="00DD6579"/>
    <w:rsid w:val="00DE03F1"/>
    <w:rsid w:val="00DE3C38"/>
    <w:rsid w:val="00DE41F1"/>
    <w:rsid w:val="00DF09CF"/>
    <w:rsid w:val="00DF0BAA"/>
    <w:rsid w:val="00DF1082"/>
    <w:rsid w:val="00DF290F"/>
    <w:rsid w:val="00DF3274"/>
    <w:rsid w:val="00DF3810"/>
    <w:rsid w:val="00DF4155"/>
    <w:rsid w:val="00DF7B97"/>
    <w:rsid w:val="00E04499"/>
    <w:rsid w:val="00E0532A"/>
    <w:rsid w:val="00E10544"/>
    <w:rsid w:val="00E105BC"/>
    <w:rsid w:val="00E11877"/>
    <w:rsid w:val="00E11B70"/>
    <w:rsid w:val="00E1282F"/>
    <w:rsid w:val="00E150D6"/>
    <w:rsid w:val="00E167C2"/>
    <w:rsid w:val="00E20B68"/>
    <w:rsid w:val="00E21097"/>
    <w:rsid w:val="00E23421"/>
    <w:rsid w:val="00E24B3F"/>
    <w:rsid w:val="00E26669"/>
    <w:rsid w:val="00E270CE"/>
    <w:rsid w:val="00E309A9"/>
    <w:rsid w:val="00E30E4C"/>
    <w:rsid w:val="00E31251"/>
    <w:rsid w:val="00E31EB7"/>
    <w:rsid w:val="00E31F4B"/>
    <w:rsid w:val="00E33155"/>
    <w:rsid w:val="00E34554"/>
    <w:rsid w:val="00E35F73"/>
    <w:rsid w:val="00E363C2"/>
    <w:rsid w:val="00E44064"/>
    <w:rsid w:val="00E44D94"/>
    <w:rsid w:val="00E52392"/>
    <w:rsid w:val="00E52C03"/>
    <w:rsid w:val="00E54793"/>
    <w:rsid w:val="00E557E0"/>
    <w:rsid w:val="00E62434"/>
    <w:rsid w:val="00E63115"/>
    <w:rsid w:val="00E64221"/>
    <w:rsid w:val="00E707F6"/>
    <w:rsid w:val="00E731D8"/>
    <w:rsid w:val="00E75406"/>
    <w:rsid w:val="00E774DC"/>
    <w:rsid w:val="00E80CF7"/>
    <w:rsid w:val="00E810AF"/>
    <w:rsid w:val="00E81BF3"/>
    <w:rsid w:val="00E830FC"/>
    <w:rsid w:val="00E83112"/>
    <w:rsid w:val="00E87C61"/>
    <w:rsid w:val="00E87DE2"/>
    <w:rsid w:val="00E90EBC"/>
    <w:rsid w:val="00E92351"/>
    <w:rsid w:val="00E938E8"/>
    <w:rsid w:val="00E93996"/>
    <w:rsid w:val="00E959CE"/>
    <w:rsid w:val="00E96D7A"/>
    <w:rsid w:val="00EA2F58"/>
    <w:rsid w:val="00EA3E1A"/>
    <w:rsid w:val="00EA3F5A"/>
    <w:rsid w:val="00EA4EBF"/>
    <w:rsid w:val="00EB01F3"/>
    <w:rsid w:val="00EB0BE7"/>
    <w:rsid w:val="00EB5ACD"/>
    <w:rsid w:val="00EB5F55"/>
    <w:rsid w:val="00EC2552"/>
    <w:rsid w:val="00EC309F"/>
    <w:rsid w:val="00EC64AE"/>
    <w:rsid w:val="00EC652C"/>
    <w:rsid w:val="00ED0818"/>
    <w:rsid w:val="00ED2042"/>
    <w:rsid w:val="00ED6D17"/>
    <w:rsid w:val="00ED6FC6"/>
    <w:rsid w:val="00EE22B7"/>
    <w:rsid w:val="00EE32CA"/>
    <w:rsid w:val="00EE4CD3"/>
    <w:rsid w:val="00EE6433"/>
    <w:rsid w:val="00EE66B3"/>
    <w:rsid w:val="00EE7E46"/>
    <w:rsid w:val="00EF1008"/>
    <w:rsid w:val="00EF1281"/>
    <w:rsid w:val="00EF2BCE"/>
    <w:rsid w:val="00EF4D34"/>
    <w:rsid w:val="00F0160F"/>
    <w:rsid w:val="00F02BDF"/>
    <w:rsid w:val="00F031CE"/>
    <w:rsid w:val="00F0369D"/>
    <w:rsid w:val="00F04A2F"/>
    <w:rsid w:val="00F05BFF"/>
    <w:rsid w:val="00F07CF7"/>
    <w:rsid w:val="00F13CF5"/>
    <w:rsid w:val="00F20ECC"/>
    <w:rsid w:val="00F20F55"/>
    <w:rsid w:val="00F22EA8"/>
    <w:rsid w:val="00F23134"/>
    <w:rsid w:val="00F26348"/>
    <w:rsid w:val="00F31C16"/>
    <w:rsid w:val="00F32CC2"/>
    <w:rsid w:val="00F36144"/>
    <w:rsid w:val="00F36466"/>
    <w:rsid w:val="00F41D0B"/>
    <w:rsid w:val="00F42082"/>
    <w:rsid w:val="00F45709"/>
    <w:rsid w:val="00F462E2"/>
    <w:rsid w:val="00F53324"/>
    <w:rsid w:val="00F548D3"/>
    <w:rsid w:val="00F56068"/>
    <w:rsid w:val="00F62549"/>
    <w:rsid w:val="00F63EFE"/>
    <w:rsid w:val="00F67CF1"/>
    <w:rsid w:val="00F74731"/>
    <w:rsid w:val="00F7741B"/>
    <w:rsid w:val="00F80387"/>
    <w:rsid w:val="00F80D97"/>
    <w:rsid w:val="00F80E56"/>
    <w:rsid w:val="00F82FAB"/>
    <w:rsid w:val="00F83E12"/>
    <w:rsid w:val="00F8411D"/>
    <w:rsid w:val="00F9163D"/>
    <w:rsid w:val="00F9271C"/>
    <w:rsid w:val="00F9332E"/>
    <w:rsid w:val="00F9418E"/>
    <w:rsid w:val="00F95039"/>
    <w:rsid w:val="00F9512A"/>
    <w:rsid w:val="00F97073"/>
    <w:rsid w:val="00F978B3"/>
    <w:rsid w:val="00F97E87"/>
    <w:rsid w:val="00F97F9B"/>
    <w:rsid w:val="00FA09E5"/>
    <w:rsid w:val="00FA1C70"/>
    <w:rsid w:val="00FA3044"/>
    <w:rsid w:val="00FA56EC"/>
    <w:rsid w:val="00FA5B19"/>
    <w:rsid w:val="00FA69F2"/>
    <w:rsid w:val="00FA7335"/>
    <w:rsid w:val="00FB0D49"/>
    <w:rsid w:val="00FB21E3"/>
    <w:rsid w:val="00FB322A"/>
    <w:rsid w:val="00FB3600"/>
    <w:rsid w:val="00FB50A6"/>
    <w:rsid w:val="00FB5165"/>
    <w:rsid w:val="00FC14CF"/>
    <w:rsid w:val="00FC5069"/>
    <w:rsid w:val="00FC556E"/>
    <w:rsid w:val="00FC77CE"/>
    <w:rsid w:val="00FD23DF"/>
    <w:rsid w:val="00FD4F43"/>
    <w:rsid w:val="00FE1C8E"/>
    <w:rsid w:val="00FF0462"/>
    <w:rsid w:val="00FF1421"/>
    <w:rsid w:val="00FF254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locked="1" w:semiHidden="0" w:uiPriority="0"/>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E2E97"/>
    <w:rPr>
      <w:rFonts w:ascii="Arial" w:hAnsi="Arial"/>
      <w:sz w:val="20"/>
      <w:szCs w:val="20"/>
      <w:lang w:eastAsia="en-US"/>
    </w:rPr>
  </w:style>
  <w:style w:type="paragraph" w:styleId="Heading1">
    <w:name w:val="heading 1"/>
    <w:aliases w:val="Heading,Chapter Heading,Bullet,Oscar Faber 1,Section Heading,Section,Section 1,Heading 1 Char,Oscar Faber 1 Char,Section Heading Char,Section Char,Section 1 Char,Tomhead 1,Outline1,a,Title Name Char Char Char Char,1 ghost,g,L1,ADVICE 1,h1,CH"/>
    <w:basedOn w:val="Normal"/>
    <w:next w:val="BodyText"/>
    <w:link w:val="Heading1Char1"/>
    <w:autoRedefine/>
    <w:uiPriority w:val="99"/>
    <w:qFormat/>
    <w:rsid w:val="00B00C5A"/>
    <w:pPr>
      <w:keepNext/>
      <w:numPr>
        <w:numId w:val="6"/>
      </w:numPr>
      <w:spacing w:before="480" w:after="240"/>
      <w:outlineLvl w:val="0"/>
    </w:pPr>
    <w:rPr>
      <w:rFonts w:cs="Arial"/>
      <w:b/>
      <w:bCs/>
      <w:color w:val="003366"/>
      <w:kern w:val="32"/>
      <w:sz w:val="28"/>
      <w:szCs w:val="32"/>
    </w:rPr>
  </w:style>
  <w:style w:type="paragraph" w:styleId="Heading2">
    <w:name w:val="heading 2"/>
    <w:aliases w:val="Char,Heading 2 Char Char Char,Heading 2 Char Char,Oscar Faber 2,Numbered 2 + Left:  ...,Numbered 2 Char,Numbered 2,First Sub Heading,Heading 2 Left,Heading 2 Char1,Char Char,Heading 2 Char Char Char Char,Heading 2 Char Char Char1,Text,L2,h2,*"/>
    <w:basedOn w:val="Normal"/>
    <w:next w:val="BodyText"/>
    <w:link w:val="Heading2Char"/>
    <w:uiPriority w:val="99"/>
    <w:qFormat/>
    <w:rsid w:val="00B00C5A"/>
    <w:pPr>
      <w:keepNext/>
      <w:numPr>
        <w:ilvl w:val="1"/>
        <w:numId w:val="6"/>
      </w:numPr>
      <w:spacing w:before="240" w:after="120" w:line="280" w:lineRule="exact"/>
      <w:outlineLvl w:val="1"/>
    </w:pPr>
    <w:rPr>
      <w:b/>
      <w:bCs/>
      <w:iCs/>
      <w:color w:val="003366"/>
      <w:sz w:val="24"/>
      <w:szCs w:val="28"/>
    </w:rPr>
  </w:style>
  <w:style w:type="paragraph" w:styleId="Heading3">
    <w:name w:val="heading 3"/>
    <w:aliases w:val="Numbered Body Text,L3 Char,L3,Charnew,Char1,Body Copy,Second Sub Heading,Charne,Char11,level 3"/>
    <w:basedOn w:val="Normal"/>
    <w:next w:val="BodyText"/>
    <w:link w:val="Heading3Char"/>
    <w:autoRedefine/>
    <w:uiPriority w:val="99"/>
    <w:qFormat/>
    <w:rsid w:val="007C1D81"/>
    <w:pPr>
      <w:spacing w:before="240" w:after="120" w:line="280" w:lineRule="exact"/>
      <w:ind w:left="851"/>
      <w:outlineLvl w:val="2"/>
    </w:pPr>
    <w:rPr>
      <w:bCs/>
      <w:i/>
      <w:szCs w:val="26"/>
    </w:rPr>
  </w:style>
  <w:style w:type="paragraph" w:styleId="Heading4">
    <w:name w:val="heading 4"/>
    <w:basedOn w:val="Normal"/>
    <w:next w:val="BodyText"/>
    <w:link w:val="Heading4Char"/>
    <w:autoRedefine/>
    <w:uiPriority w:val="99"/>
    <w:qFormat/>
    <w:rsid w:val="002A1CBB"/>
    <w:pPr>
      <w:keepNext/>
      <w:spacing w:line="280" w:lineRule="exact"/>
      <w:outlineLvl w:val="3"/>
    </w:pPr>
    <w:rPr>
      <w:b/>
      <w:bCs/>
      <w:color w:val="003C67"/>
      <w:szCs w:val="28"/>
    </w:rPr>
  </w:style>
  <w:style w:type="paragraph" w:styleId="Heading5">
    <w:name w:val="heading 5"/>
    <w:basedOn w:val="Normal"/>
    <w:next w:val="Normal"/>
    <w:link w:val="Heading5Char"/>
    <w:uiPriority w:val="99"/>
    <w:qFormat/>
    <w:rsid w:val="00422635"/>
    <w:pPr>
      <w:spacing w:before="240" w:after="60"/>
      <w:outlineLvl w:val="4"/>
    </w:pPr>
    <w:rPr>
      <w:b/>
      <w:bCs/>
      <w:i/>
      <w:iCs/>
      <w:sz w:val="26"/>
      <w:szCs w:val="26"/>
    </w:rPr>
  </w:style>
  <w:style w:type="paragraph" w:styleId="Heading6">
    <w:name w:val="heading 6"/>
    <w:basedOn w:val="Normal"/>
    <w:next w:val="Normal"/>
    <w:link w:val="Heading6Char"/>
    <w:uiPriority w:val="99"/>
    <w:qFormat/>
    <w:rsid w:val="003E2E97"/>
    <w:pPr>
      <w:spacing w:before="240" w:after="60"/>
      <w:outlineLvl w:val="5"/>
    </w:pPr>
    <w:rPr>
      <w:b/>
      <w:bCs/>
      <w:sz w:val="22"/>
      <w:szCs w:val="22"/>
    </w:rPr>
  </w:style>
  <w:style w:type="paragraph" w:styleId="Heading7">
    <w:name w:val="heading 7"/>
    <w:basedOn w:val="Normal"/>
    <w:next w:val="Normal"/>
    <w:link w:val="Heading7Char"/>
    <w:uiPriority w:val="99"/>
    <w:qFormat/>
    <w:rsid w:val="003E2E97"/>
    <w:pPr>
      <w:spacing w:before="240" w:after="60"/>
      <w:outlineLvl w:val="6"/>
    </w:pPr>
    <w:rPr>
      <w:sz w:val="24"/>
      <w:szCs w:val="24"/>
    </w:rPr>
  </w:style>
  <w:style w:type="paragraph" w:styleId="Heading8">
    <w:name w:val="heading 8"/>
    <w:basedOn w:val="Normal"/>
    <w:next w:val="Normal"/>
    <w:link w:val="Heading8Char"/>
    <w:uiPriority w:val="99"/>
    <w:qFormat/>
    <w:rsid w:val="003E2E97"/>
    <w:pPr>
      <w:spacing w:before="240" w:after="60"/>
      <w:outlineLvl w:val="7"/>
    </w:pPr>
    <w:rPr>
      <w:i/>
      <w:iCs/>
      <w:sz w:val="24"/>
      <w:szCs w:val="24"/>
    </w:rPr>
  </w:style>
  <w:style w:type="paragraph" w:styleId="Heading9">
    <w:name w:val="heading 9"/>
    <w:basedOn w:val="Normal"/>
    <w:next w:val="Normal"/>
    <w:link w:val="Heading9Char"/>
    <w:uiPriority w:val="99"/>
    <w:qFormat/>
    <w:rsid w:val="00422635"/>
    <w:p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Char,Chapter Heading Char,Bullet Char,Oscar Faber 1 Char1,Section Heading Char1,Section Char1,Section 1 Char1,Heading 1 Char Char,Oscar Faber 1 Char Char,Section Heading Char Char,Section Char Char,Section 1 Char Char,a Char"/>
    <w:basedOn w:val="DefaultParagraphFont"/>
    <w:link w:val="Heading1"/>
    <w:uiPriority w:val="99"/>
    <w:rsid w:val="006E3040"/>
    <w:rPr>
      <w:rFonts w:ascii="Arial" w:hAnsi="Arial" w:cs="Arial"/>
      <w:b/>
      <w:bCs/>
      <w:color w:val="003366"/>
      <w:kern w:val="32"/>
      <w:sz w:val="28"/>
      <w:szCs w:val="32"/>
      <w:lang w:eastAsia="en-US"/>
    </w:rPr>
  </w:style>
  <w:style w:type="character" w:customStyle="1" w:styleId="Heading2Char">
    <w:name w:val="Heading 2 Char"/>
    <w:aliases w:val="Char Char1,Heading 2 Char Char Char Char1,Heading 2 Char Char Char2,Oscar Faber 2 Char,Numbered 2 + Left:  ... Char,Numbered 2 Char Char,Numbered 2 Char1,First Sub Heading Char,Heading 2 Left Char,Heading 2 Char1 Char,Char Char Char"/>
    <w:basedOn w:val="DefaultParagraphFont"/>
    <w:link w:val="Heading2"/>
    <w:uiPriority w:val="99"/>
    <w:locked/>
    <w:rsid w:val="00033F2D"/>
    <w:rPr>
      <w:rFonts w:ascii="Arial" w:hAnsi="Arial"/>
      <w:b/>
      <w:bCs/>
      <w:iCs/>
      <w:color w:val="003366"/>
      <w:sz w:val="24"/>
      <w:szCs w:val="28"/>
      <w:lang w:eastAsia="en-US"/>
    </w:rPr>
  </w:style>
  <w:style w:type="character" w:customStyle="1" w:styleId="Heading3Char">
    <w:name w:val="Heading 3 Char"/>
    <w:aliases w:val="Numbered Body Text Char,L3 Char Char,L3 Char1,Charnew Char,Char1 Char,Body Copy Char,Second Sub Heading Char,Charne Char,Char11 Char,level 3 Char"/>
    <w:basedOn w:val="DefaultParagraphFont"/>
    <w:link w:val="Heading3"/>
    <w:uiPriority w:val="9"/>
    <w:semiHidden/>
    <w:rsid w:val="006E304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E304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E304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E3040"/>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6E3040"/>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E3040"/>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6E3040"/>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423BEC"/>
    <w:rPr>
      <w:rFonts w:ascii="Tahoma" w:hAnsi="Tahoma" w:cs="Tahoma"/>
      <w:sz w:val="16"/>
      <w:szCs w:val="16"/>
    </w:rPr>
  </w:style>
  <w:style w:type="character" w:customStyle="1" w:styleId="BalloonTextChar">
    <w:name w:val="Balloon Text Char"/>
    <w:basedOn w:val="DefaultParagraphFont"/>
    <w:link w:val="BalloonText"/>
    <w:uiPriority w:val="99"/>
    <w:semiHidden/>
    <w:rsid w:val="006E3040"/>
    <w:rPr>
      <w:sz w:val="0"/>
      <w:szCs w:val="0"/>
      <w:lang w:eastAsia="en-US"/>
    </w:rPr>
  </w:style>
  <w:style w:type="paragraph" w:styleId="Footer">
    <w:name w:val="footer"/>
    <w:basedOn w:val="Normal"/>
    <w:link w:val="FooterChar"/>
    <w:uiPriority w:val="99"/>
    <w:semiHidden/>
    <w:rsid w:val="003E2E97"/>
    <w:pPr>
      <w:tabs>
        <w:tab w:val="center" w:pos="4320"/>
        <w:tab w:val="right" w:pos="8640"/>
      </w:tabs>
    </w:pPr>
    <w:rPr>
      <w:sz w:val="14"/>
    </w:rPr>
  </w:style>
  <w:style w:type="character" w:customStyle="1" w:styleId="FooterChar">
    <w:name w:val="Footer Char"/>
    <w:basedOn w:val="DefaultParagraphFont"/>
    <w:link w:val="Footer"/>
    <w:uiPriority w:val="99"/>
    <w:semiHidden/>
    <w:rsid w:val="006E3040"/>
    <w:rPr>
      <w:rFonts w:ascii="Arial" w:hAnsi="Arial"/>
      <w:sz w:val="20"/>
      <w:szCs w:val="20"/>
      <w:lang w:eastAsia="en-US"/>
    </w:rPr>
  </w:style>
  <w:style w:type="paragraph" w:customStyle="1" w:styleId="Headermaintitle">
    <w:name w:val="Header main title"/>
    <w:basedOn w:val="Normal"/>
    <w:next w:val="Headersubtitle"/>
    <w:autoRedefine/>
    <w:uiPriority w:val="99"/>
    <w:semiHidden/>
    <w:rsid w:val="00660334"/>
    <w:pPr>
      <w:spacing w:before="420" w:line="180" w:lineRule="exact"/>
    </w:pPr>
    <w:rPr>
      <w:color w:val="003366"/>
      <w:sz w:val="22"/>
    </w:rPr>
  </w:style>
  <w:style w:type="paragraph" w:customStyle="1" w:styleId="Headersubtitle">
    <w:name w:val="Header sub title"/>
    <w:basedOn w:val="Headermaintitle"/>
    <w:autoRedefine/>
    <w:uiPriority w:val="99"/>
    <w:semiHidden/>
    <w:rsid w:val="004D4E94"/>
    <w:pPr>
      <w:spacing w:before="80"/>
    </w:pPr>
    <w:rPr>
      <w:color w:val="auto"/>
      <w:sz w:val="20"/>
    </w:rPr>
  </w:style>
  <w:style w:type="character" w:styleId="CommentReference">
    <w:name w:val="annotation reference"/>
    <w:basedOn w:val="DefaultParagraphFont"/>
    <w:uiPriority w:val="99"/>
    <w:semiHidden/>
    <w:rsid w:val="00423BEC"/>
    <w:rPr>
      <w:rFonts w:cs="Times New Roman"/>
      <w:sz w:val="16"/>
    </w:rPr>
  </w:style>
  <w:style w:type="paragraph" w:styleId="CommentText">
    <w:name w:val="annotation text"/>
    <w:basedOn w:val="Normal"/>
    <w:link w:val="CommentTextChar"/>
    <w:uiPriority w:val="99"/>
    <w:semiHidden/>
    <w:rsid w:val="00423BEC"/>
  </w:style>
  <w:style w:type="character" w:customStyle="1" w:styleId="CommentTextChar">
    <w:name w:val="Comment Text Char"/>
    <w:basedOn w:val="DefaultParagraphFont"/>
    <w:link w:val="CommentText"/>
    <w:uiPriority w:val="99"/>
    <w:semiHidden/>
    <w:rsid w:val="006E3040"/>
    <w:rPr>
      <w:rFonts w:ascii="Arial" w:hAnsi="Arial"/>
      <w:sz w:val="20"/>
      <w:szCs w:val="20"/>
      <w:lang w:eastAsia="en-US"/>
    </w:rPr>
  </w:style>
  <w:style w:type="paragraph" w:customStyle="1" w:styleId="Bullets">
    <w:name w:val="Bullets"/>
    <w:basedOn w:val="Normal"/>
    <w:uiPriority w:val="99"/>
    <w:rsid w:val="00A93693"/>
    <w:pPr>
      <w:numPr>
        <w:numId w:val="3"/>
      </w:numPr>
      <w:spacing w:after="240"/>
    </w:pPr>
  </w:style>
  <w:style w:type="paragraph" w:styleId="CommentSubject">
    <w:name w:val="annotation subject"/>
    <w:basedOn w:val="CommentText"/>
    <w:next w:val="CommentText"/>
    <w:link w:val="CommentSubjectChar"/>
    <w:uiPriority w:val="99"/>
    <w:semiHidden/>
    <w:rsid w:val="00423BEC"/>
    <w:rPr>
      <w:b/>
      <w:bCs/>
    </w:rPr>
  </w:style>
  <w:style w:type="character" w:customStyle="1" w:styleId="CommentSubjectChar">
    <w:name w:val="Comment Subject Char"/>
    <w:basedOn w:val="CommentTextChar"/>
    <w:link w:val="CommentSubject"/>
    <w:uiPriority w:val="99"/>
    <w:semiHidden/>
    <w:rsid w:val="006E3040"/>
    <w:rPr>
      <w:b/>
      <w:bCs/>
    </w:rPr>
  </w:style>
  <w:style w:type="paragraph" w:customStyle="1" w:styleId="Appendix">
    <w:name w:val="Appendix"/>
    <w:basedOn w:val="Normal"/>
    <w:next w:val="BodyText"/>
    <w:uiPriority w:val="99"/>
    <w:rsid w:val="00660334"/>
    <w:pPr>
      <w:spacing w:before="720" w:after="480"/>
    </w:pPr>
    <w:rPr>
      <w:b/>
      <w:color w:val="003366"/>
      <w:kern w:val="32"/>
      <w:sz w:val="28"/>
    </w:rPr>
  </w:style>
  <w:style w:type="paragraph" w:customStyle="1" w:styleId="NonTOCHeader">
    <w:name w:val="Non TOC Header"/>
    <w:basedOn w:val="Normal"/>
    <w:next w:val="BodyText"/>
    <w:uiPriority w:val="99"/>
    <w:semiHidden/>
    <w:rsid w:val="00291345"/>
  </w:style>
  <w:style w:type="paragraph" w:styleId="DocumentMap">
    <w:name w:val="Document Map"/>
    <w:basedOn w:val="Normal"/>
    <w:link w:val="DocumentMapChar"/>
    <w:uiPriority w:val="99"/>
    <w:semiHidden/>
    <w:rsid w:val="00423BE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E3040"/>
    <w:rPr>
      <w:sz w:val="0"/>
      <w:szCs w:val="0"/>
      <w:lang w:eastAsia="en-US"/>
    </w:rPr>
  </w:style>
  <w:style w:type="paragraph" w:customStyle="1" w:styleId="Heading1nonumber">
    <w:name w:val="Heading 1 no number"/>
    <w:basedOn w:val="Heading1"/>
    <w:next w:val="BodyText"/>
    <w:autoRedefine/>
    <w:uiPriority w:val="99"/>
    <w:rsid w:val="00667C61"/>
    <w:pPr>
      <w:numPr>
        <w:numId w:val="0"/>
      </w:numPr>
      <w:spacing w:before="0" w:after="120"/>
    </w:pPr>
  </w:style>
  <w:style w:type="paragraph" w:customStyle="1" w:styleId="Heading2nonumber">
    <w:name w:val="Heading 2 no number"/>
    <w:basedOn w:val="Heading2"/>
    <w:next w:val="BodyText"/>
    <w:autoRedefine/>
    <w:uiPriority w:val="99"/>
    <w:rsid w:val="002A1CBB"/>
    <w:pPr>
      <w:numPr>
        <w:ilvl w:val="0"/>
        <w:numId w:val="0"/>
      </w:numPr>
      <w:ind w:left="851" w:hanging="851"/>
    </w:pPr>
  </w:style>
  <w:style w:type="paragraph" w:customStyle="1" w:styleId="Heading3nonumber">
    <w:name w:val="Heading 3 no number"/>
    <w:basedOn w:val="Normal"/>
    <w:next w:val="BodyText"/>
    <w:link w:val="Heading3nonumberChar1"/>
    <w:autoRedefine/>
    <w:uiPriority w:val="99"/>
    <w:rsid w:val="00D57F64"/>
    <w:pPr>
      <w:keepNext/>
      <w:spacing w:before="240" w:after="120" w:line="280" w:lineRule="exact"/>
      <w:ind w:left="851"/>
      <w:outlineLvl w:val="2"/>
    </w:pPr>
    <w:rPr>
      <w:b/>
      <w:color w:val="003366"/>
      <w:kern w:val="32"/>
      <w:szCs w:val="26"/>
    </w:rPr>
  </w:style>
  <w:style w:type="paragraph" w:styleId="Header">
    <w:name w:val="header"/>
    <w:basedOn w:val="Normal"/>
    <w:link w:val="HeaderChar"/>
    <w:uiPriority w:val="99"/>
    <w:semiHidden/>
    <w:rsid w:val="00E938E8"/>
    <w:pPr>
      <w:tabs>
        <w:tab w:val="center" w:pos="4320"/>
        <w:tab w:val="right" w:pos="8640"/>
      </w:tabs>
    </w:pPr>
  </w:style>
  <w:style w:type="character" w:customStyle="1" w:styleId="HeaderChar">
    <w:name w:val="Header Char"/>
    <w:basedOn w:val="DefaultParagraphFont"/>
    <w:link w:val="Header"/>
    <w:uiPriority w:val="99"/>
    <w:semiHidden/>
    <w:rsid w:val="006E3040"/>
    <w:rPr>
      <w:rFonts w:ascii="Arial" w:hAnsi="Arial"/>
      <w:sz w:val="20"/>
      <w:szCs w:val="20"/>
      <w:lang w:eastAsia="en-US"/>
    </w:rPr>
  </w:style>
  <w:style w:type="character" w:styleId="EndnoteReference">
    <w:name w:val="endnote reference"/>
    <w:basedOn w:val="DefaultParagraphFont"/>
    <w:uiPriority w:val="99"/>
    <w:semiHidden/>
    <w:rsid w:val="00423BEC"/>
    <w:rPr>
      <w:rFonts w:cs="Times New Roman"/>
      <w:vertAlign w:val="superscript"/>
    </w:rPr>
  </w:style>
  <w:style w:type="paragraph" w:customStyle="1" w:styleId="TableTitle">
    <w:name w:val="Table Title"/>
    <w:basedOn w:val="Normal"/>
    <w:next w:val="BodyText"/>
    <w:autoRedefine/>
    <w:uiPriority w:val="99"/>
    <w:rsid w:val="00660334"/>
    <w:pPr>
      <w:spacing w:after="120"/>
    </w:pPr>
    <w:rPr>
      <w:b/>
      <w:color w:val="003366"/>
    </w:rPr>
  </w:style>
  <w:style w:type="paragraph" w:customStyle="1" w:styleId="Tabletext">
    <w:name w:val="Table text"/>
    <w:basedOn w:val="Normal"/>
    <w:link w:val="TabletextChar"/>
    <w:autoRedefine/>
    <w:uiPriority w:val="99"/>
    <w:rsid w:val="009306D5"/>
    <w:rPr>
      <w:sz w:val="18"/>
    </w:rPr>
  </w:style>
  <w:style w:type="paragraph" w:customStyle="1" w:styleId="Tableheaders">
    <w:name w:val="Table headers"/>
    <w:basedOn w:val="Tabletext"/>
    <w:link w:val="TableheadersChar"/>
    <w:autoRedefine/>
    <w:uiPriority w:val="99"/>
    <w:rsid w:val="00DA3495"/>
    <w:rPr>
      <w:b/>
      <w:color w:val="003366"/>
    </w:rPr>
  </w:style>
  <w:style w:type="paragraph" w:styleId="EndnoteText">
    <w:name w:val="endnote text"/>
    <w:basedOn w:val="Normal"/>
    <w:link w:val="EndnoteTextChar"/>
    <w:uiPriority w:val="99"/>
    <w:semiHidden/>
    <w:rsid w:val="00423BEC"/>
  </w:style>
  <w:style w:type="character" w:customStyle="1" w:styleId="EndnoteTextChar">
    <w:name w:val="Endnote Text Char"/>
    <w:basedOn w:val="DefaultParagraphFont"/>
    <w:link w:val="EndnoteText"/>
    <w:uiPriority w:val="99"/>
    <w:semiHidden/>
    <w:rsid w:val="006E3040"/>
    <w:rPr>
      <w:rFonts w:ascii="Arial" w:hAnsi="Arial"/>
      <w:sz w:val="20"/>
      <w:szCs w:val="20"/>
      <w:lang w:eastAsia="en-US"/>
    </w:rPr>
  </w:style>
  <w:style w:type="paragraph" w:styleId="Caption">
    <w:name w:val="caption"/>
    <w:basedOn w:val="Normal"/>
    <w:next w:val="BodyText"/>
    <w:uiPriority w:val="99"/>
    <w:qFormat/>
    <w:rsid w:val="00660334"/>
    <w:rPr>
      <w:rFonts w:ascii="Arial Narrow" w:hAnsi="Arial Narrow"/>
      <w:b/>
      <w:bCs/>
      <w:color w:val="003366"/>
      <w:sz w:val="18"/>
    </w:rPr>
  </w:style>
  <w:style w:type="character" w:styleId="FootnoteReference">
    <w:name w:val="footnote reference"/>
    <w:basedOn w:val="DefaultParagraphFont"/>
    <w:uiPriority w:val="99"/>
    <w:semiHidden/>
    <w:rsid w:val="00423BEC"/>
    <w:rPr>
      <w:rFonts w:cs="Times New Roman"/>
      <w:vertAlign w:val="superscript"/>
    </w:rPr>
  </w:style>
  <w:style w:type="paragraph" w:styleId="FootnoteText">
    <w:name w:val="footnote text"/>
    <w:basedOn w:val="Normal"/>
    <w:link w:val="FootnoteTextChar"/>
    <w:uiPriority w:val="99"/>
    <w:semiHidden/>
    <w:rsid w:val="00423BEC"/>
  </w:style>
  <w:style w:type="character" w:customStyle="1" w:styleId="FootnoteTextChar">
    <w:name w:val="Footnote Text Char"/>
    <w:basedOn w:val="DefaultParagraphFont"/>
    <w:link w:val="FootnoteText"/>
    <w:uiPriority w:val="99"/>
    <w:semiHidden/>
    <w:rsid w:val="006E3040"/>
    <w:rPr>
      <w:rFonts w:ascii="Arial" w:hAnsi="Arial"/>
      <w:sz w:val="20"/>
      <w:szCs w:val="20"/>
      <w:lang w:eastAsia="en-US"/>
    </w:rPr>
  </w:style>
  <w:style w:type="paragraph" w:customStyle="1" w:styleId="pbaaddress">
    <w:name w:val="pba address"/>
    <w:basedOn w:val="Normal"/>
    <w:uiPriority w:val="99"/>
    <w:semiHidden/>
    <w:rsid w:val="0020008C"/>
    <w:pPr>
      <w:tabs>
        <w:tab w:val="left" w:pos="425"/>
        <w:tab w:val="left" w:pos="709"/>
      </w:tabs>
      <w:spacing w:line="320" w:lineRule="exact"/>
    </w:pPr>
    <w:rPr>
      <w:sz w:val="18"/>
    </w:rPr>
  </w:style>
  <w:style w:type="paragraph" w:customStyle="1" w:styleId="projectrefdate">
    <w:name w:val="project ref / date"/>
    <w:basedOn w:val="pbaaddress"/>
    <w:uiPriority w:val="99"/>
    <w:semiHidden/>
    <w:rsid w:val="0020008C"/>
    <w:pPr>
      <w:spacing w:after="240"/>
    </w:pPr>
    <w:rPr>
      <w:b/>
      <w:color w:val="003C67"/>
      <w:sz w:val="20"/>
    </w:rPr>
  </w:style>
  <w:style w:type="paragraph" w:customStyle="1" w:styleId="Projectrefdate0">
    <w:name w:val="Project ref / date"/>
    <w:basedOn w:val="pbaaddress"/>
    <w:autoRedefine/>
    <w:uiPriority w:val="99"/>
    <w:semiHidden/>
    <w:rsid w:val="00784F0C"/>
    <w:pPr>
      <w:tabs>
        <w:tab w:val="clear" w:pos="425"/>
        <w:tab w:val="left" w:pos="426"/>
      </w:tabs>
      <w:spacing w:after="240"/>
    </w:pPr>
    <w:rPr>
      <w:b/>
      <w:color w:val="003C67"/>
      <w:sz w:val="20"/>
    </w:rPr>
  </w:style>
  <w:style w:type="paragraph" w:styleId="Index1">
    <w:name w:val="index 1"/>
    <w:basedOn w:val="Normal"/>
    <w:next w:val="Normal"/>
    <w:autoRedefine/>
    <w:uiPriority w:val="99"/>
    <w:semiHidden/>
    <w:rsid w:val="00423BEC"/>
    <w:pPr>
      <w:ind w:left="200" w:hanging="200"/>
    </w:pPr>
  </w:style>
  <w:style w:type="paragraph" w:customStyle="1" w:styleId="NonTOCHeading">
    <w:name w:val="Non TOC Heading"/>
    <w:basedOn w:val="Normal"/>
    <w:link w:val="NonTOCHeadingCharChar"/>
    <w:uiPriority w:val="99"/>
    <w:semiHidden/>
    <w:rsid w:val="00660334"/>
    <w:pPr>
      <w:spacing w:before="240" w:after="240"/>
    </w:pPr>
    <w:rPr>
      <w:rFonts w:cs="Arial"/>
      <w:b/>
      <w:bCs/>
      <w:color w:val="003366"/>
      <w:kern w:val="32"/>
      <w:sz w:val="28"/>
      <w:szCs w:val="32"/>
    </w:rPr>
  </w:style>
  <w:style w:type="character" w:customStyle="1" w:styleId="NonTOCHeadingCharChar">
    <w:name w:val="Non TOC Heading Char Char"/>
    <w:link w:val="NonTOCHeading"/>
    <w:uiPriority w:val="99"/>
    <w:locked/>
    <w:rsid w:val="00660334"/>
    <w:rPr>
      <w:rFonts w:ascii="Arial" w:hAnsi="Arial"/>
      <w:b/>
      <w:color w:val="003366"/>
      <w:kern w:val="32"/>
      <w:sz w:val="32"/>
      <w:lang w:val="en-GB" w:eastAsia="en-US"/>
    </w:rPr>
  </w:style>
  <w:style w:type="paragraph" w:styleId="Index2">
    <w:name w:val="index 2"/>
    <w:basedOn w:val="Normal"/>
    <w:next w:val="Normal"/>
    <w:autoRedefine/>
    <w:uiPriority w:val="99"/>
    <w:semiHidden/>
    <w:rsid w:val="00423BEC"/>
    <w:pPr>
      <w:ind w:left="400" w:hanging="200"/>
    </w:pPr>
  </w:style>
  <w:style w:type="paragraph" w:styleId="TOC1">
    <w:name w:val="toc 1"/>
    <w:basedOn w:val="Normal"/>
    <w:next w:val="Normal"/>
    <w:autoRedefine/>
    <w:uiPriority w:val="99"/>
    <w:rsid w:val="0021326A"/>
    <w:pPr>
      <w:spacing w:before="120"/>
    </w:pPr>
    <w:rPr>
      <w:b/>
    </w:rPr>
  </w:style>
  <w:style w:type="paragraph" w:styleId="TOC2">
    <w:name w:val="toc 2"/>
    <w:basedOn w:val="Normal"/>
    <w:next w:val="Normal"/>
    <w:autoRedefine/>
    <w:uiPriority w:val="99"/>
    <w:rsid w:val="0021326A"/>
    <w:pPr>
      <w:ind w:left="709"/>
    </w:pPr>
  </w:style>
  <w:style w:type="paragraph" w:styleId="TOC3">
    <w:name w:val="toc 3"/>
    <w:basedOn w:val="Normal"/>
    <w:next w:val="Normal"/>
    <w:autoRedefine/>
    <w:uiPriority w:val="99"/>
    <w:semiHidden/>
    <w:rsid w:val="0021326A"/>
    <w:pPr>
      <w:ind w:left="1418"/>
    </w:pPr>
  </w:style>
  <w:style w:type="paragraph" w:styleId="TOC4">
    <w:name w:val="toc 4"/>
    <w:basedOn w:val="Normal"/>
    <w:next w:val="Normal"/>
    <w:autoRedefine/>
    <w:uiPriority w:val="99"/>
    <w:semiHidden/>
    <w:rsid w:val="0021326A"/>
    <w:pPr>
      <w:ind w:left="1418"/>
    </w:pPr>
  </w:style>
  <w:style w:type="paragraph" w:styleId="TOC5">
    <w:name w:val="toc 5"/>
    <w:basedOn w:val="Normal"/>
    <w:next w:val="Normal"/>
    <w:autoRedefine/>
    <w:uiPriority w:val="99"/>
    <w:semiHidden/>
    <w:rsid w:val="008F5A74"/>
    <w:pPr>
      <w:spacing w:line="280" w:lineRule="exact"/>
      <w:ind w:left="1020" w:right="-3969" w:hanging="1020"/>
    </w:pPr>
  </w:style>
  <w:style w:type="paragraph" w:styleId="TOC6">
    <w:name w:val="toc 6"/>
    <w:basedOn w:val="Normal"/>
    <w:next w:val="Normal"/>
    <w:autoRedefine/>
    <w:uiPriority w:val="99"/>
    <w:semiHidden/>
    <w:rsid w:val="008F5A74"/>
    <w:pPr>
      <w:spacing w:line="280" w:lineRule="exact"/>
      <w:ind w:left="1020" w:right="-3969" w:hanging="1020"/>
    </w:pPr>
  </w:style>
  <w:style w:type="paragraph" w:styleId="TOC7">
    <w:name w:val="toc 7"/>
    <w:basedOn w:val="Normal"/>
    <w:next w:val="Normal"/>
    <w:autoRedefine/>
    <w:uiPriority w:val="99"/>
    <w:semiHidden/>
    <w:rsid w:val="008F5A74"/>
    <w:pPr>
      <w:spacing w:line="280" w:lineRule="exact"/>
      <w:ind w:left="1020" w:right="-3969" w:hanging="1020"/>
    </w:pPr>
  </w:style>
  <w:style w:type="paragraph" w:styleId="TOC8">
    <w:name w:val="toc 8"/>
    <w:basedOn w:val="Normal"/>
    <w:next w:val="Normal"/>
    <w:autoRedefine/>
    <w:uiPriority w:val="99"/>
    <w:semiHidden/>
    <w:rsid w:val="008F5A74"/>
    <w:pPr>
      <w:spacing w:line="280" w:lineRule="exact"/>
      <w:ind w:left="1020" w:right="-3969" w:hanging="1020"/>
    </w:pPr>
  </w:style>
  <w:style w:type="paragraph" w:styleId="TOC9">
    <w:name w:val="toc 9"/>
    <w:basedOn w:val="Normal"/>
    <w:next w:val="Normal"/>
    <w:autoRedefine/>
    <w:uiPriority w:val="99"/>
    <w:semiHidden/>
    <w:rsid w:val="008F5A74"/>
    <w:pPr>
      <w:spacing w:line="280" w:lineRule="exact"/>
      <w:ind w:left="1020" w:right="-3969" w:hanging="1020"/>
    </w:pPr>
  </w:style>
  <w:style w:type="paragraph" w:customStyle="1" w:styleId="SubBullets">
    <w:name w:val="Sub Bullets"/>
    <w:basedOn w:val="Normal"/>
    <w:uiPriority w:val="99"/>
    <w:rsid w:val="00A93693"/>
    <w:pPr>
      <w:numPr>
        <w:numId w:val="5"/>
      </w:numPr>
      <w:spacing w:after="240"/>
    </w:pPr>
  </w:style>
  <w:style w:type="character" w:styleId="PageNumber">
    <w:name w:val="page number"/>
    <w:basedOn w:val="DefaultParagraphFont"/>
    <w:uiPriority w:val="99"/>
    <w:semiHidden/>
    <w:rsid w:val="001B5D14"/>
    <w:rPr>
      <w:rFonts w:cs="Times New Roman"/>
    </w:rPr>
  </w:style>
  <w:style w:type="paragraph" w:customStyle="1" w:styleId="PicCaption">
    <w:name w:val="PicCaption"/>
    <w:basedOn w:val="Normal"/>
    <w:next w:val="BodyText"/>
    <w:autoRedefine/>
    <w:uiPriority w:val="99"/>
    <w:rsid w:val="00660334"/>
    <w:pPr>
      <w:keepLines/>
      <w:spacing w:line="240" w:lineRule="exact"/>
    </w:pPr>
    <w:rPr>
      <w:rFonts w:ascii="Arial Narrow" w:hAnsi="Arial Narrow"/>
      <w:color w:val="003366"/>
      <w:sz w:val="18"/>
    </w:rPr>
  </w:style>
  <w:style w:type="paragraph" w:styleId="Index3">
    <w:name w:val="index 3"/>
    <w:basedOn w:val="Normal"/>
    <w:next w:val="Normal"/>
    <w:autoRedefine/>
    <w:uiPriority w:val="99"/>
    <w:semiHidden/>
    <w:rsid w:val="00423BEC"/>
    <w:pPr>
      <w:ind w:left="600" w:hanging="200"/>
    </w:pPr>
  </w:style>
  <w:style w:type="paragraph" w:styleId="Index4">
    <w:name w:val="index 4"/>
    <w:basedOn w:val="Normal"/>
    <w:next w:val="Normal"/>
    <w:autoRedefine/>
    <w:uiPriority w:val="99"/>
    <w:semiHidden/>
    <w:rsid w:val="00423BEC"/>
    <w:pPr>
      <w:ind w:left="800" w:hanging="200"/>
    </w:pPr>
  </w:style>
  <w:style w:type="paragraph" w:styleId="Index5">
    <w:name w:val="index 5"/>
    <w:basedOn w:val="Normal"/>
    <w:next w:val="Normal"/>
    <w:autoRedefine/>
    <w:uiPriority w:val="99"/>
    <w:semiHidden/>
    <w:rsid w:val="00423BEC"/>
    <w:pPr>
      <w:ind w:left="1000" w:hanging="200"/>
    </w:pPr>
  </w:style>
  <w:style w:type="paragraph" w:customStyle="1" w:styleId="TableCaption">
    <w:name w:val="TableCaption"/>
    <w:basedOn w:val="PicCaption"/>
    <w:next w:val="BodyText"/>
    <w:link w:val="TableCaptionChar1"/>
    <w:autoRedefine/>
    <w:uiPriority w:val="99"/>
    <w:rsid w:val="001E15C4"/>
    <w:pPr>
      <w:spacing w:after="120"/>
      <w:ind w:left="851"/>
    </w:pPr>
  </w:style>
  <w:style w:type="paragraph" w:styleId="Index6">
    <w:name w:val="index 6"/>
    <w:basedOn w:val="Normal"/>
    <w:next w:val="Normal"/>
    <w:autoRedefine/>
    <w:uiPriority w:val="99"/>
    <w:semiHidden/>
    <w:rsid w:val="00423BEC"/>
    <w:pPr>
      <w:ind w:left="1200" w:hanging="200"/>
    </w:pPr>
  </w:style>
  <w:style w:type="paragraph" w:styleId="Index7">
    <w:name w:val="index 7"/>
    <w:basedOn w:val="Normal"/>
    <w:next w:val="Normal"/>
    <w:autoRedefine/>
    <w:uiPriority w:val="99"/>
    <w:semiHidden/>
    <w:rsid w:val="00423BEC"/>
    <w:pPr>
      <w:ind w:left="1400" w:hanging="200"/>
    </w:pPr>
  </w:style>
  <w:style w:type="paragraph" w:styleId="BodyText">
    <w:name w:val="Body Text"/>
    <w:basedOn w:val="Normal"/>
    <w:link w:val="BodyTextChar"/>
    <w:uiPriority w:val="99"/>
    <w:rsid w:val="00263152"/>
    <w:pPr>
      <w:tabs>
        <w:tab w:val="left" w:pos="851"/>
      </w:tabs>
      <w:spacing w:after="240"/>
    </w:pPr>
  </w:style>
  <w:style w:type="character" w:customStyle="1" w:styleId="BodyTextChar">
    <w:name w:val="Body Text Char"/>
    <w:basedOn w:val="DefaultParagraphFont"/>
    <w:link w:val="BodyText"/>
    <w:uiPriority w:val="99"/>
    <w:locked/>
    <w:rsid w:val="00730302"/>
    <w:rPr>
      <w:rFonts w:ascii="Arial" w:hAnsi="Arial"/>
      <w:lang w:eastAsia="en-US"/>
    </w:rPr>
  </w:style>
  <w:style w:type="paragraph" w:styleId="Index8">
    <w:name w:val="index 8"/>
    <w:basedOn w:val="Normal"/>
    <w:next w:val="Normal"/>
    <w:autoRedefine/>
    <w:uiPriority w:val="99"/>
    <w:semiHidden/>
    <w:rsid w:val="00423BEC"/>
    <w:pPr>
      <w:ind w:left="1600" w:hanging="200"/>
    </w:pPr>
  </w:style>
  <w:style w:type="paragraph" w:styleId="Index9">
    <w:name w:val="index 9"/>
    <w:basedOn w:val="Normal"/>
    <w:next w:val="Normal"/>
    <w:autoRedefine/>
    <w:uiPriority w:val="99"/>
    <w:semiHidden/>
    <w:rsid w:val="00423BEC"/>
    <w:pPr>
      <w:ind w:left="1800" w:hanging="200"/>
    </w:pPr>
  </w:style>
  <w:style w:type="paragraph" w:styleId="IndexHeading">
    <w:name w:val="index heading"/>
    <w:basedOn w:val="Normal"/>
    <w:next w:val="Index1"/>
    <w:uiPriority w:val="99"/>
    <w:semiHidden/>
    <w:rsid w:val="00423BEC"/>
    <w:rPr>
      <w:rFonts w:cs="Arial"/>
      <w:b/>
      <w:bCs/>
    </w:rPr>
  </w:style>
  <w:style w:type="paragraph" w:styleId="MacroText">
    <w:name w:val="macro"/>
    <w:link w:val="MacroTextChar"/>
    <w:uiPriority w:val="99"/>
    <w:semiHidden/>
    <w:rsid w:val="00423B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sid w:val="006E3040"/>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23BEC"/>
    <w:pPr>
      <w:ind w:left="200" w:hanging="200"/>
    </w:pPr>
  </w:style>
  <w:style w:type="paragraph" w:styleId="TableofFigures">
    <w:name w:val="table of figures"/>
    <w:basedOn w:val="Normal"/>
    <w:next w:val="Normal"/>
    <w:uiPriority w:val="99"/>
    <w:rsid w:val="00D43101"/>
  </w:style>
  <w:style w:type="paragraph" w:customStyle="1" w:styleId="Highlightedtext">
    <w:name w:val="Highlighted text"/>
    <w:basedOn w:val="Normal"/>
    <w:next w:val="BodyText"/>
    <w:link w:val="HighlightedtextChar"/>
    <w:uiPriority w:val="99"/>
    <w:rsid w:val="00701378"/>
    <w:rPr>
      <w:b/>
      <w:color w:val="003366"/>
    </w:rPr>
  </w:style>
  <w:style w:type="paragraph" w:styleId="Date">
    <w:name w:val="Date"/>
    <w:basedOn w:val="Normal"/>
    <w:next w:val="Normal"/>
    <w:link w:val="DateChar"/>
    <w:uiPriority w:val="99"/>
    <w:semiHidden/>
    <w:rsid w:val="009F55F6"/>
  </w:style>
  <w:style w:type="character" w:customStyle="1" w:styleId="DateChar">
    <w:name w:val="Date Char"/>
    <w:basedOn w:val="DefaultParagraphFont"/>
    <w:link w:val="Date"/>
    <w:uiPriority w:val="99"/>
    <w:semiHidden/>
    <w:rsid w:val="006E3040"/>
    <w:rPr>
      <w:rFonts w:ascii="Arial" w:hAnsi="Arial"/>
      <w:sz w:val="20"/>
      <w:szCs w:val="20"/>
      <w:lang w:eastAsia="en-US"/>
    </w:rPr>
  </w:style>
  <w:style w:type="character" w:customStyle="1" w:styleId="HighlightedtextChar">
    <w:name w:val="Highlighted text Char"/>
    <w:link w:val="Highlightedtext"/>
    <w:uiPriority w:val="99"/>
    <w:locked/>
    <w:rsid w:val="00701378"/>
    <w:rPr>
      <w:rFonts w:ascii="Arial" w:hAnsi="Arial"/>
      <w:b/>
      <w:color w:val="003366"/>
      <w:lang w:val="en-GB" w:eastAsia="en-US"/>
    </w:rPr>
  </w:style>
  <w:style w:type="paragraph" w:customStyle="1" w:styleId="Number">
    <w:name w:val="Number"/>
    <w:basedOn w:val="Normal"/>
    <w:uiPriority w:val="99"/>
    <w:rsid w:val="00A93693"/>
    <w:pPr>
      <w:numPr>
        <w:numId w:val="7"/>
      </w:numPr>
      <w:spacing w:after="240"/>
    </w:pPr>
  </w:style>
  <w:style w:type="table" w:customStyle="1" w:styleId="57">
    <w:name w:val="57"/>
    <w:uiPriority w:val="99"/>
    <w:pPr>
      <w:widowControl w:val="0"/>
      <w:autoSpaceDE w:val="0"/>
      <w:autoSpaceDN w:val="0"/>
      <w:adjustRightInd w:val="0"/>
    </w:pPr>
    <w:rPr>
      <w:sz w:val="24"/>
      <w:szCs w:val="24"/>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9F55F6"/>
    <w:rPr>
      <w:rFonts w:cs="Times New Roman"/>
      <w:color w:val="800080"/>
      <w:u w:val="single"/>
    </w:rPr>
  </w:style>
  <w:style w:type="character" w:styleId="Hyperlink">
    <w:name w:val="Hyperlink"/>
    <w:basedOn w:val="DefaultParagraphFont"/>
    <w:uiPriority w:val="99"/>
    <w:rsid w:val="009F55F6"/>
    <w:rPr>
      <w:rFonts w:cs="Times New Roman"/>
      <w:color w:val="0000FF"/>
      <w:u w:val="single"/>
    </w:rPr>
  </w:style>
  <w:style w:type="paragraph" w:styleId="PlainText">
    <w:name w:val="Plain Text"/>
    <w:basedOn w:val="Normal"/>
    <w:link w:val="PlainTextChar"/>
    <w:uiPriority w:val="99"/>
    <w:semiHidden/>
    <w:rsid w:val="009F55F6"/>
    <w:rPr>
      <w:rFonts w:ascii="Courier New" w:hAnsi="Courier New" w:cs="Courier New"/>
    </w:rPr>
  </w:style>
  <w:style w:type="character" w:customStyle="1" w:styleId="PlainTextChar">
    <w:name w:val="Plain Text Char"/>
    <w:basedOn w:val="DefaultParagraphFont"/>
    <w:link w:val="PlainText"/>
    <w:uiPriority w:val="99"/>
    <w:semiHidden/>
    <w:rsid w:val="006E3040"/>
    <w:rPr>
      <w:rFonts w:ascii="Courier New" w:hAnsi="Courier New" w:cs="Courier New"/>
      <w:sz w:val="20"/>
      <w:szCs w:val="20"/>
      <w:lang w:eastAsia="en-US"/>
    </w:rPr>
  </w:style>
  <w:style w:type="paragraph" w:styleId="Subtitle">
    <w:name w:val="Subtitle"/>
    <w:basedOn w:val="Normal"/>
    <w:link w:val="SubtitleChar"/>
    <w:uiPriority w:val="99"/>
    <w:qFormat/>
    <w:rsid w:val="009F55F6"/>
    <w:pPr>
      <w:spacing w:after="60"/>
      <w:jc w:val="center"/>
      <w:outlineLvl w:val="1"/>
    </w:pPr>
    <w:rPr>
      <w:rFonts w:cs="Arial"/>
      <w:sz w:val="24"/>
      <w:szCs w:val="24"/>
    </w:rPr>
  </w:style>
  <w:style w:type="character" w:customStyle="1" w:styleId="SubtitleChar">
    <w:name w:val="Subtitle Char"/>
    <w:basedOn w:val="DefaultParagraphFont"/>
    <w:link w:val="Subtitle"/>
    <w:uiPriority w:val="11"/>
    <w:rsid w:val="006E3040"/>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9F55F6"/>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6E3040"/>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rsid w:val="003B0AE8"/>
    <w:pPr>
      <w:spacing w:before="120"/>
    </w:pPr>
    <w:rPr>
      <w:rFonts w:cs="Arial"/>
      <w:b/>
      <w:bCs/>
      <w:sz w:val="24"/>
      <w:szCs w:val="24"/>
    </w:rPr>
  </w:style>
  <w:style w:type="paragraph" w:styleId="ListParagraph">
    <w:name w:val="List Paragraph"/>
    <w:basedOn w:val="Normal"/>
    <w:uiPriority w:val="99"/>
    <w:qFormat/>
    <w:rsid w:val="00010CD5"/>
    <w:pPr>
      <w:ind w:left="720"/>
      <w:contextualSpacing/>
    </w:pPr>
  </w:style>
  <w:style w:type="character" w:customStyle="1" w:styleId="TableCaptionChar1">
    <w:name w:val="TableCaption Char1"/>
    <w:link w:val="TableCaption"/>
    <w:uiPriority w:val="99"/>
    <w:locked/>
    <w:rsid w:val="001E15C4"/>
    <w:rPr>
      <w:rFonts w:ascii="Arial Narrow" w:hAnsi="Arial Narrow"/>
      <w:color w:val="003366"/>
      <w:sz w:val="18"/>
      <w:lang w:eastAsia="en-US"/>
    </w:rPr>
  </w:style>
  <w:style w:type="character" w:customStyle="1" w:styleId="TabletextChar">
    <w:name w:val="Table text Char"/>
    <w:link w:val="Tabletext"/>
    <w:uiPriority w:val="99"/>
    <w:locked/>
    <w:rsid w:val="00DA2C75"/>
    <w:rPr>
      <w:rFonts w:ascii="Arial" w:hAnsi="Arial"/>
      <w:sz w:val="18"/>
      <w:lang w:eastAsia="en-US"/>
    </w:rPr>
  </w:style>
  <w:style w:type="character" w:customStyle="1" w:styleId="TableheadersChar">
    <w:name w:val="Table headers Char"/>
    <w:link w:val="Tableheaders"/>
    <w:uiPriority w:val="99"/>
    <w:locked/>
    <w:rsid w:val="00DA2C75"/>
    <w:rPr>
      <w:rFonts w:ascii="Arial" w:hAnsi="Arial"/>
      <w:b/>
      <w:color w:val="003366"/>
      <w:sz w:val="18"/>
      <w:lang w:eastAsia="en-US"/>
    </w:rPr>
  </w:style>
  <w:style w:type="character" w:customStyle="1" w:styleId="Heading3nonumberChar1">
    <w:name w:val="Heading 3 no number Char1"/>
    <w:link w:val="Heading3nonumber"/>
    <w:uiPriority w:val="99"/>
    <w:locked/>
    <w:rsid w:val="00033F2D"/>
    <w:rPr>
      <w:rFonts w:ascii="Arial" w:hAnsi="Arial"/>
      <w:b/>
      <w:color w:val="003366"/>
      <w:kern w:val="32"/>
      <w:sz w:val="26"/>
      <w:lang w:eastAsia="en-US"/>
    </w:rPr>
  </w:style>
  <w:style w:type="paragraph" w:styleId="ListBullet2">
    <w:name w:val="List Bullet 2"/>
    <w:basedOn w:val="Normal"/>
    <w:autoRedefine/>
    <w:uiPriority w:val="99"/>
    <w:rsid w:val="00922289"/>
    <w:pPr>
      <w:numPr>
        <w:numId w:val="14"/>
      </w:numPr>
      <w:tabs>
        <w:tab w:val="num" w:pos="709"/>
      </w:tabs>
      <w:spacing w:before="240"/>
      <w:ind w:left="1985" w:hanging="1985"/>
      <w:contextualSpacing/>
      <w:jc w:val="both"/>
    </w:pPr>
    <w:rPr>
      <w:rFonts w:cs="Arial"/>
      <w:sz w:val="22"/>
      <w:szCs w:val="22"/>
    </w:rPr>
  </w:style>
  <w:style w:type="numbering" w:customStyle="1" w:styleId="alpha">
    <w:name w:val="alpha"/>
    <w:rsid w:val="006E3040"/>
    <w:pPr>
      <w:numPr>
        <w:numId w:val="3"/>
      </w:numPr>
    </w:pPr>
  </w:style>
</w:styles>
</file>

<file path=word/webSettings.xml><?xml version="1.0" encoding="utf-8"?>
<w:webSettings xmlns:r="http://schemas.openxmlformats.org/officeDocument/2006/relationships" xmlns:w="http://schemas.openxmlformats.org/wordprocessingml/2006/main">
  <w:divs>
    <w:div w:id="271789873">
      <w:marLeft w:val="0"/>
      <w:marRight w:val="0"/>
      <w:marTop w:val="0"/>
      <w:marBottom w:val="0"/>
      <w:divBdr>
        <w:top w:val="none" w:sz="0" w:space="0" w:color="auto"/>
        <w:left w:val="none" w:sz="0" w:space="0" w:color="auto"/>
        <w:bottom w:val="none" w:sz="0" w:space="0" w:color="auto"/>
        <w:right w:val="none" w:sz="0" w:space="0" w:color="auto"/>
      </w:divBdr>
    </w:div>
    <w:div w:id="271789874">
      <w:marLeft w:val="0"/>
      <w:marRight w:val="0"/>
      <w:marTop w:val="0"/>
      <w:marBottom w:val="0"/>
      <w:divBdr>
        <w:top w:val="none" w:sz="0" w:space="0" w:color="auto"/>
        <w:left w:val="none" w:sz="0" w:space="0" w:color="auto"/>
        <w:bottom w:val="none" w:sz="0" w:space="0" w:color="auto"/>
        <w:right w:val="none" w:sz="0" w:space="0" w:color="auto"/>
      </w:divBdr>
    </w:div>
    <w:div w:id="271789875">
      <w:marLeft w:val="0"/>
      <w:marRight w:val="0"/>
      <w:marTop w:val="0"/>
      <w:marBottom w:val="0"/>
      <w:divBdr>
        <w:top w:val="none" w:sz="0" w:space="0" w:color="auto"/>
        <w:left w:val="none" w:sz="0" w:space="0" w:color="auto"/>
        <w:bottom w:val="none" w:sz="0" w:space="0" w:color="auto"/>
        <w:right w:val="none" w:sz="0" w:space="0" w:color="auto"/>
      </w:divBdr>
    </w:div>
    <w:div w:id="271789876">
      <w:marLeft w:val="0"/>
      <w:marRight w:val="0"/>
      <w:marTop w:val="0"/>
      <w:marBottom w:val="0"/>
      <w:divBdr>
        <w:top w:val="none" w:sz="0" w:space="0" w:color="auto"/>
        <w:left w:val="none" w:sz="0" w:space="0" w:color="auto"/>
        <w:bottom w:val="none" w:sz="0" w:space="0" w:color="auto"/>
        <w:right w:val="none" w:sz="0" w:space="0" w:color="auto"/>
      </w:divBdr>
    </w:div>
    <w:div w:id="271789877">
      <w:marLeft w:val="0"/>
      <w:marRight w:val="0"/>
      <w:marTop w:val="0"/>
      <w:marBottom w:val="0"/>
      <w:divBdr>
        <w:top w:val="none" w:sz="0" w:space="0" w:color="auto"/>
        <w:left w:val="none" w:sz="0" w:space="0" w:color="auto"/>
        <w:bottom w:val="none" w:sz="0" w:space="0" w:color="auto"/>
        <w:right w:val="none" w:sz="0" w:space="0" w:color="auto"/>
      </w:divBdr>
    </w:div>
    <w:div w:id="271789878">
      <w:marLeft w:val="0"/>
      <w:marRight w:val="0"/>
      <w:marTop w:val="0"/>
      <w:marBottom w:val="0"/>
      <w:divBdr>
        <w:top w:val="none" w:sz="0" w:space="0" w:color="auto"/>
        <w:left w:val="none" w:sz="0" w:space="0" w:color="auto"/>
        <w:bottom w:val="none" w:sz="0" w:space="0" w:color="auto"/>
        <w:right w:val="none" w:sz="0" w:space="0" w:color="auto"/>
      </w:divBdr>
    </w:div>
    <w:div w:id="271789879">
      <w:marLeft w:val="0"/>
      <w:marRight w:val="0"/>
      <w:marTop w:val="0"/>
      <w:marBottom w:val="0"/>
      <w:divBdr>
        <w:top w:val="none" w:sz="0" w:space="0" w:color="auto"/>
        <w:left w:val="none" w:sz="0" w:space="0" w:color="auto"/>
        <w:bottom w:val="none" w:sz="0" w:space="0" w:color="auto"/>
        <w:right w:val="none" w:sz="0" w:space="0" w:color="auto"/>
      </w:divBdr>
    </w:div>
    <w:div w:id="271789880">
      <w:marLeft w:val="0"/>
      <w:marRight w:val="0"/>
      <w:marTop w:val="0"/>
      <w:marBottom w:val="0"/>
      <w:divBdr>
        <w:top w:val="none" w:sz="0" w:space="0" w:color="auto"/>
        <w:left w:val="none" w:sz="0" w:space="0" w:color="auto"/>
        <w:bottom w:val="none" w:sz="0" w:space="0" w:color="auto"/>
        <w:right w:val="none" w:sz="0" w:space="0" w:color="auto"/>
      </w:divBdr>
    </w:div>
    <w:div w:id="271789881">
      <w:marLeft w:val="0"/>
      <w:marRight w:val="0"/>
      <w:marTop w:val="0"/>
      <w:marBottom w:val="0"/>
      <w:divBdr>
        <w:top w:val="none" w:sz="0" w:space="0" w:color="auto"/>
        <w:left w:val="none" w:sz="0" w:space="0" w:color="auto"/>
        <w:bottom w:val="none" w:sz="0" w:space="0" w:color="auto"/>
        <w:right w:val="none" w:sz="0" w:space="0" w:color="auto"/>
      </w:divBdr>
    </w:div>
    <w:div w:id="271789882">
      <w:marLeft w:val="0"/>
      <w:marRight w:val="0"/>
      <w:marTop w:val="0"/>
      <w:marBottom w:val="0"/>
      <w:divBdr>
        <w:top w:val="none" w:sz="0" w:space="0" w:color="auto"/>
        <w:left w:val="none" w:sz="0" w:space="0" w:color="auto"/>
        <w:bottom w:val="none" w:sz="0" w:space="0" w:color="auto"/>
        <w:right w:val="none" w:sz="0" w:space="0" w:color="auto"/>
      </w:divBdr>
    </w:div>
    <w:div w:id="271789883">
      <w:marLeft w:val="0"/>
      <w:marRight w:val="0"/>
      <w:marTop w:val="0"/>
      <w:marBottom w:val="0"/>
      <w:divBdr>
        <w:top w:val="none" w:sz="0" w:space="0" w:color="auto"/>
        <w:left w:val="none" w:sz="0" w:space="0" w:color="auto"/>
        <w:bottom w:val="none" w:sz="0" w:space="0" w:color="auto"/>
        <w:right w:val="none" w:sz="0" w:space="0" w:color="auto"/>
      </w:divBdr>
    </w:div>
    <w:div w:id="271789884">
      <w:marLeft w:val="0"/>
      <w:marRight w:val="0"/>
      <w:marTop w:val="0"/>
      <w:marBottom w:val="0"/>
      <w:divBdr>
        <w:top w:val="none" w:sz="0" w:space="0" w:color="auto"/>
        <w:left w:val="none" w:sz="0" w:space="0" w:color="auto"/>
        <w:bottom w:val="none" w:sz="0" w:space="0" w:color="auto"/>
        <w:right w:val="none" w:sz="0" w:space="0" w:color="auto"/>
      </w:divBdr>
    </w:div>
    <w:div w:id="271789885">
      <w:marLeft w:val="0"/>
      <w:marRight w:val="0"/>
      <w:marTop w:val="0"/>
      <w:marBottom w:val="0"/>
      <w:divBdr>
        <w:top w:val="none" w:sz="0" w:space="0" w:color="auto"/>
        <w:left w:val="none" w:sz="0" w:space="0" w:color="auto"/>
        <w:bottom w:val="none" w:sz="0" w:space="0" w:color="auto"/>
        <w:right w:val="none" w:sz="0" w:space="0" w:color="auto"/>
      </w:divBdr>
    </w:div>
    <w:div w:id="271789886">
      <w:marLeft w:val="0"/>
      <w:marRight w:val="0"/>
      <w:marTop w:val="0"/>
      <w:marBottom w:val="0"/>
      <w:divBdr>
        <w:top w:val="none" w:sz="0" w:space="0" w:color="auto"/>
        <w:left w:val="none" w:sz="0" w:space="0" w:color="auto"/>
        <w:bottom w:val="none" w:sz="0" w:space="0" w:color="auto"/>
        <w:right w:val="none" w:sz="0" w:space="0" w:color="auto"/>
      </w:divBdr>
    </w:div>
    <w:div w:id="271789887">
      <w:marLeft w:val="0"/>
      <w:marRight w:val="0"/>
      <w:marTop w:val="0"/>
      <w:marBottom w:val="0"/>
      <w:divBdr>
        <w:top w:val="none" w:sz="0" w:space="0" w:color="auto"/>
        <w:left w:val="none" w:sz="0" w:space="0" w:color="auto"/>
        <w:bottom w:val="none" w:sz="0" w:space="0" w:color="auto"/>
        <w:right w:val="none" w:sz="0" w:space="0" w:color="auto"/>
      </w:divBdr>
    </w:div>
    <w:div w:id="271789888">
      <w:marLeft w:val="0"/>
      <w:marRight w:val="0"/>
      <w:marTop w:val="0"/>
      <w:marBottom w:val="0"/>
      <w:divBdr>
        <w:top w:val="none" w:sz="0" w:space="0" w:color="auto"/>
        <w:left w:val="none" w:sz="0" w:space="0" w:color="auto"/>
        <w:bottom w:val="none" w:sz="0" w:space="0" w:color="auto"/>
        <w:right w:val="none" w:sz="0" w:space="0" w:color="auto"/>
      </w:divBdr>
    </w:div>
    <w:div w:id="271789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BA\ReportTemplate_v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ReportTemplate_v2.1</Template>
  <TotalTime>0</TotalTime>
  <Pages>3</Pages>
  <Words>7399</Words>
  <Characters>-32766</Characters>
  <Application>Microsoft Office Outlook</Application>
  <DocSecurity>0</DocSecurity>
  <Lines>0</Lines>
  <Paragraphs>0</Paragraphs>
  <ScaleCrop>false</ScaleCrop>
  <Company>Peter Brett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and Construction Noise Assessment</dc:title>
  <dc:subject/>
  <dc:creator>Angela Lamacraft</dc:creator>
  <cp:keywords/>
  <dc:description/>
  <cp:lastModifiedBy>camap029</cp:lastModifiedBy>
  <cp:revision>2</cp:revision>
  <cp:lastPrinted>2008-03-25T11:07:00Z</cp:lastPrinted>
  <dcterms:created xsi:type="dcterms:W3CDTF">2013-02-08T13:46:00Z</dcterms:created>
  <dcterms:modified xsi:type="dcterms:W3CDTF">2013-02-08T13:46:00Z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he">
    <vt:lpwstr>0</vt:lpwstr>
  </property>
  <property fmtid="{D5CDD505-2E9C-101B-9397-08002B2CF9AE}" pid="3" name="Client">
    <vt:lpwstr>London Borough of Camden</vt:lpwstr>
  </property>
  <property fmtid="{D5CDD505-2E9C-101B-9397-08002B2CF9AE}" pid="4" name="ProjectName">
    <vt:lpwstr>Parker House</vt:lpwstr>
  </property>
  <property fmtid="{D5CDD505-2E9C-101B-9397-08002B2CF9AE}" pid="5" name="ProjRef">
    <vt:lpwstr>27474/004</vt:lpwstr>
  </property>
  <property fmtid="{D5CDD505-2E9C-101B-9397-08002B2CF9AE}" pid="6" name="Address">
    <vt:lpwstr>Caversham Bridge HouseWaterman PlaceReadingBerkshireRG1 8DNT: 0118 9500761F: 0118 9597498E: reading@peterbrett.com</vt:lpwstr>
  </property>
  <property fmtid="{D5CDD505-2E9C-101B-9397-08002B2CF9AE}" pid="7" name="Office">
    <vt:lpwstr>Reading</vt:lpwstr>
  </property>
  <property fmtid="{D5CDD505-2E9C-101B-9397-08002B2CF9AE}" pid="8" name="Logo">
    <vt:lpwstr>C:\Documents and Settings\matherton\Desktop\logo_here.jpg</vt:lpwstr>
  </property>
  <property fmtid="{D5CDD505-2E9C-101B-9397-08002B2CF9AE}" pid="9" name="CreationDate">
    <vt:lpwstr>January 2008</vt:lpwstr>
  </property>
  <property fmtid="{D5CDD505-2E9C-101B-9397-08002B2CF9AE}" pid="10" name="AutoSave">
    <vt:bool>true</vt:bool>
  </property>
  <property fmtid="{D5CDD505-2E9C-101B-9397-08002B2CF9AE}" pid="11" name="DocRef">
    <vt:lpwstr>R001</vt:lpwstr>
  </property>
</Properties>
</file>