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3F7B" w14:textId="77777777" w:rsidR="00701E87" w:rsidRDefault="00EA1F8C">
      <w:pPr>
        <w:pStyle w:val="Title"/>
      </w:pPr>
      <w:r>
        <w:rPr>
          <w:color w:val="33884D"/>
        </w:rPr>
        <w:t>RED</w:t>
      </w:r>
      <w:r>
        <w:rPr>
          <w:color w:val="2A2A2A"/>
        </w:rPr>
        <w:t>INGTON</w:t>
      </w:r>
      <w:r>
        <w:rPr>
          <w:color w:val="2A2A2A"/>
          <w:spacing w:val="-6"/>
        </w:rPr>
        <w:t xml:space="preserve"> </w:t>
      </w:r>
      <w:r>
        <w:rPr>
          <w:color w:val="DA3538"/>
        </w:rPr>
        <w:t>FROG</w:t>
      </w:r>
      <w:r>
        <w:rPr>
          <w:color w:val="828384"/>
        </w:rPr>
        <w:t>NAL</w:t>
      </w:r>
    </w:p>
    <w:p w14:paraId="01DC442E" w14:textId="77777777" w:rsidR="00701E87" w:rsidRDefault="00EA1F8C">
      <w:pPr>
        <w:spacing w:before="4"/>
        <w:ind w:left="2957" w:right="2965"/>
        <w:jc w:val="center"/>
        <w:rPr>
          <w:rFonts w:ascii="Calibri"/>
          <w:sz w:val="25"/>
        </w:rPr>
      </w:pPr>
      <w:r>
        <w:rPr>
          <w:rFonts w:ascii="Calibri"/>
          <w:color w:val="828384"/>
          <w:sz w:val="25"/>
        </w:rPr>
        <w:t>NEIGHBOURHOOD</w:t>
      </w:r>
      <w:r>
        <w:rPr>
          <w:rFonts w:ascii="Calibri"/>
          <w:color w:val="828384"/>
          <w:spacing w:val="-5"/>
          <w:sz w:val="25"/>
        </w:rPr>
        <w:t xml:space="preserve"> </w:t>
      </w:r>
      <w:r>
        <w:rPr>
          <w:rFonts w:ascii="Calibri"/>
          <w:color w:val="828384"/>
          <w:sz w:val="25"/>
        </w:rPr>
        <w:t>FORUM</w:t>
      </w:r>
    </w:p>
    <w:p w14:paraId="274CBD1E" w14:textId="77777777" w:rsidR="00701E87" w:rsidRDefault="00701E87">
      <w:pPr>
        <w:pStyle w:val="BodyText"/>
        <w:spacing w:before="6"/>
        <w:rPr>
          <w:rFonts w:ascii="Calibri"/>
          <w:sz w:val="23"/>
        </w:rPr>
      </w:pPr>
    </w:p>
    <w:p w14:paraId="45FFEF01" w14:textId="5A92142E" w:rsidR="00701E87" w:rsidRDefault="001F0F80">
      <w:pPr>
        <w:pStyle w:val="BodyText"/>
        <w:spacing w:before="94"/>
        <w:ind w:left="6907"/>
      </w:pPr>
      <w:r>
        <w:t>4 May 2025</w:t>
      </w:r>
    </w:p>
    <w:p w14:paraId="0680E1AB" w14:textId="7E0CAA8F" w:rsidR="00701E87" w:rsidRDefault="00EA1F8C">
      <w:pPr>
        <w:pStyle w:val="BodyText"/>
        <w:spacing w:before="3"/>
        <w:ind w:left="119"/>
      </w:pPr>
      <w:r>
        <w:t>Dear</w:t>
      </w:r>
      <w:r>
        <w:rPr>
          <w:spacing w:val="-1"/>
        </w:rPr>
        <w:t xml:space="preserve"> </w:t>
      </w:r>
      <w:r>
        <w:t>Mr.</w:t>
      </w:r>
      <w:r>
        <w:rPr>
          <w:spacing w:val="-3"/>
        </w:rPr>
        <w:t xml:space="preserve"> </w:t>
      </w:r>
      <w:r w:rsidR="001F0F80">
        <w:t>Afford</w:t>
      </w:r>
      <w:r>
        <w:t>,</w:t>
      </w:r>
    </w:p>
    <w:p w14:paraId="195E0A9B" w14:textId="77777777" w:rsidR="00701E87" w:rsidRDefault="00701E87">
      <w:pPr>
        <w:pStyle w:val="BodyText"/>
        <w:spacing w:before="3"/>
      </w:pPr>
    </w:p>
    <w:p w14:paraId="47C9999A" w14:textId="1F64F610" w:rsidR="00701E87" w:rsidRDefault="001F0F80">
      <w:pPr>
        <w:pStyle w:val="BodyText"/>
        <w:ind w:left="119"/>
      </w:pPr>
      <w:r>
        <w:rPr>
          <w:u w:val="single"/>
        </w:rPr>
        <w:t>2025/1189/P</w:t>
      </w:r>
      <w:r w:rsidR="00EA1F8C">
        <w:rPr>
          <w:spacing w:val="-6"/>
          <w:u w:val="single"/>
        </w:rPr>
        <w:t xml:space="preserve"> </w:t>
      </w:r>
      <w:r>
        <w:rPr>
          <w:u w:val="single"/>
        </w:rPr>
        <w:t xml:space="preserve">- </w:t>
      </w:r>
      <w:r w:rsidR="00EA1F8C">
        <w:rPr>
          <w:u w:val="single"/>
        </w:rPr>
        <w:t>26A</w:t>
      </w:r>
      <w:r w:rsidR="00EA1F8C">
        <w:rPr>
          <w:spacing w:val="-6"/>
          <w:u w:val="single"/>
        </w:rPr>
        <w:t xml:space="preserve"> </w:t>
      </w:r>
      <w:proofErr w:type="spellStart"/>
      <w:r w:rsidR="00EA1F8C">
        <w:rPr>
          <w:u w:val="single"/>
        </w:rPr>
        <w:t>Ferncroft</w:t>
      </w:r>
      <w:proofErr w:type="spellEnd"/>
      <w:r w:rsidR="00EA1F8C">
        <w:rPr>
          <w:spacing w:val="-1"/>
          <w:u w:val="single"/>
        </w:rPr>
        <w:t xml:space="preserve"> </w:t>
      </w:r>
      <w:r w:rsidR="00EA1F8C">
        <w:rPr>
          <w:u w:val="single"/>
        </w:rPr>
        <w:t>Avenue:</w:t>
      </w:r>
      <w:r w:rsidR="00EA1F8C">
        <w:rPr>
          <w:spacing w:val="56"/>
          <w:u w:val="single"/>
        </w:rPr>
        <w:t xml:space="preserve"> </w:t>
      </w:r>
      <w:r w:rsidR="00EA1F8C">
        <w:rPr>
          <w:u w:val="single"/>
        </w:rPr>
        <w:t>objection</w:t>
      </w:r>
    </w:p>
    <w:p w14:paraId="1C1672C1" w14:textId="77777777" w:rsidR="00701E87" w:rsidRDefault="00701E87">
      <w:pPr>
        <w:pStyle w:val="BodyText"/>
        <w:spacing w:before="10"/>
        <w:rPr>
          <w:sz w:val="13"/>
        </w:rPr>
      </w:pPr>
    </w:p>
    <w:p w14:paraId="243D065E" w14:textId="42DEDB6D" w:rsidR="00701E87" w:rsidRDefault="00EA1F8C">
      <w:pPr>
        <w:pStyle w:val="BodyText"/>
        <w:spacing w:before="94"/>
        <w:ind w:left="119"/>
        <w:jc w:val="both"/>
      </w:pPr>
      <w:r>
        <w:t>The</w:t>
      </w:r>
      <w:r>
        <w:rPr>
          <w:spacing w:val="-6"/>
        </w:rPr>
        <w:t xml:space="preserve"> </w:t>
      </w:r>
      <w:proofErr w:type="spellStart"/>
      <w:r>
        <w:t>Neighbourhood</w:t>
      </w:r>
      <w:proofErr w:type="spellEnd"/>
      <w:r>
        <w:rPr>
          <w:spacing w:val="-7"/>
        </w:rPr>
        <w:t xml:space="preserve"> </w:t>
      </w:r>
      <w:r>
        <w:t>Forum,</w:t>
      </w:r>
      <w:r>
        <w:rPr>
          <w:spacing w:val="-6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1F0F80">
        <w:t xml:space="preserve">proposed felling of </w:t>
      </w:r>
      <w:proofErr w:type="spellStart"/>
      <w:r w:rsidR="001F0F80">
        <w:t>a</w:t>
      </w:r>
      <w:proofErr w:type="spellEnd"/>
      <w:r w:rsidR="001F0F80">
        <w:t xml:space="preserve"> veteran plane tree and the further extension of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building.</w:t>
      </w:r>
    </w:p>
    <w:p w14:paraId="542A1D16" w14:textId="77777777" w:rsidR="00701E87" w:rsidRDefault="00701E87">
      <w:pPr>
        <w:pStyle w:val="BodyText"/>
      </w:pPr>
    </w:p>
    <w:p w14:paraId="6EAAC622" w14:textId="0ABCC31B" w:rsidR="00701E87" w:rsidRDefault="00EA1F8C">
      <w:pPr>
        <w:pStyle w:val="BodyText"/>
        <w:spacing w:before="1"/>
        <w:ind w:left="119" w:right="108"/>
        <w:jc w:val="both"/>
      </w:pPr>
      <w:r>
        <w:t xml:space="preserve">Our objection is </w:t>
      </w:r>
      <w:proofErr w:type="spellStart"/>
      <w:r>
        <w:t>centred</w:t>
      </w:r>
      <w:proofErr w:type="spellEnd"/>
      <w:r>
        <w:t xml:space="preserve"> on harm to the setting of th</w:t>
      </w:r>
      <w:r w:rsidR="001F0F80">
        <w:t>e</w:t>
      </w:r>
      <w:r>
        <w:t xml:space="preserve"> list</w:t>
      </w:r>
      <w:r w:rsidR="001F0F80">
        <w:t>ed</w:t>
      </w:r>
      <w:r>
        <w:t xml:space="preserve"> building and the landscape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of this garden</w:t>
      </w:r>
      <w:r>
        <w:rPr>
          <w:spacing w:val="-2"/>
        </w:rPr>
        <w:t xml:space="preserve"> </w:t>
      </w:r>
      <w:r>
        <w:t>suburb Conservation</w:t>
      </w:r>
      <w:r>
        <w:rPr>
          <w:spacing w:val="-2"/>
        </w:rPr>
        <w:t xml:space="preserve"> </w:t>
      </w:r>
      <w:r>
        <w:t>Area.</w:t>
      </w:r>
    </w:p>
    <w:p w14:paraId="287FEAD5" w14:textId="77777777" w:rsidR="00701E87" w:rsidRDefault="00701E87">
      <w:pPr>
        <w:pStyle w:val="BodyText"/>
        <w:spacing w:before="4"/>
      </w:pPr>
    </w:p>
    <w:p w14:paraId="4E60B72F" w14:textId="77777777" w:rsidR="00701E87" w:rsidRDefault="00EA1F8C">
      <w:pPr>
        <w:pStyle w:val="BodyText"/>
        <w:ind w:left="119" w:right="230"/>
        <w:jc w:val="both"/>
      </w:pPr>
      <w:r>
        <w:t>The Conservation Area character is based on garden suburbs, so that landscape</w:t>
      </w:r>
      <w:r>
        <w:rPr>
          <w:spacing w:val="1"/>
        </w:rPr>
        <w:t xml:space="preserve"> </w:t>
      </w:r>
      <w:r>
        <w:rPr>
          <w:spacing w:val="-1"/>
        </w:rPr>
        <w:t>infrastructure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fundamental</w:t>
      </w:r>
      <w:r>
        <w:rPr>
          <w:spacing w:val="-15"/>
        </w:rPr>
        <w:t xml:space="preserve"> </w:t>
      </w:r>
      <w:r>
        <w:rPr>
          <w:spacing w:val="-1"/>
        </w:rPr>
        <w:t>imp</w:t>
      </w:r>
      <w:r>
        <w:rPr>
          <w:spacing w:val="-1"/>
        </w:rPr>
        <w:t>ortance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architectural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historic</w:t>
      </w:r>
      <w:r>
        <w:rPr>
          <w:spacing w:val="-13"/>
        </w:rPr>
        <w:t xml:space="preserve"> </w:t>
      </w:r>
      <w:r>
        <w:t>interest</w:t>
      </w:r>
      <w:r>
        <w:rPr>
          <w:spacing w:val="-59"/>
        </w:rPr>
        <w:t xml:space="preserve"> </w:t>
      </w:r>
      <w:r>
        <w:t>and character and appearance of the area.</w:t>
      </w:r>
      <w:r>
        <w:rPr>
          <w:spacing w:val="1"/>
        </w:rPr>
        <w:t xml:space="preserve"> </w:t>
      </w:r>
      <w:r>
        <w:t>In the application of Section 72 of 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(Listed</w:t>
      </w:r>
      <w:r>
        <w:rPr>
          <w:spacing w:val="1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Conservation Areas) Act 1990, as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important to heed the central contrib</w:t>
      </w:r>
      <w:r>
        <w:t>ution of the amalgam of garden trees and hedges,</w:t>
      </w:r>
      <w:r>
        <w:rPr>
          <w:spacing w:val="-59"/>
        </w:rPr>
        <w:t xml:space="preserve"> </w:t>
      </w:r>
      <w:r>
        <w:t>and views of rear garden trees.</w:t>
      </w:r>
      <w:r>
        <w:rPr>
          <w:spacing w:val="1"/>
        </w:rPr>
        <w:t xml:space="preserve"> </w:t>
      </w:r>
      <w:r>
        <w:t>Their importance to the conservation area character is</w:t>
      </w:r>
      <w:r>
        <w:rPr>
          <w:spacing w:val="-59"/>
        </w:rPr>
        <w:t xml:space="preserve"> </w:t>
      </w:r>
      <w:r>
        <w:t xml:space="preserve">noted in the 2022 Redington </w:t>
      </w:r>
      <w:proofErr w:type="spellStart"/>
      <w:r>
        <w:t>Frognal</w:t>
      </w:r>
      <w:proofErr w:type="spellEnd"/>
      <w:r>
        <w:t xml:space="preserve"> Conservation Area appraisal.</w:t>
      </w:r>
      <w:r>
        <w:rPr>
          <w:spacing w:val="1"/>
        </w:rPr>
        <w:t xml:space="preserve"> </w:t>
      </w:r>
      <w:r>
        <w:t>Hedges and trees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biodiversity,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cooling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attenuating</w:t>
      </w:r>
      <w:r>
        <w:rPr>
          <w:spacing w:val="-2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run-off.</w:t>
      </w:r>
    </w:p>
    <w:p w14:paraId="6F605CB0" w14:textId="77777777" w:rsidR="00701E87" w:rsidRDefault="00701E87">
      <w:pPr>
        <w:pStyle w:val="BodyText"/>
        <w:spacing w:before="8"/>
      </w:pPr>
    </w:p>
    <w:p w14:paraId="67D1844D" w14:textId="77777777" w:rsidR="004B2531" w:rsidRDefault="00EA1F8C" w:rsidP="004B2531">
      <w:pPr>
        <w:pStyle w:val="BodyText"/>
        <w:ind w:left="120" w:right="233"/>
        <w:jc w:val="both"/>
      </w:pPr>
      <w:r>
        <w:t>The Forum therefore does not support the felling of the plane tree to facilitate the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nor</w:t>
      </w:r>
      <w:r>
        <w:rPr>
          <w:spacing w:val="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mature</w:t>
      </w:r>
      <w:r>
        <w:rPr>
          <w:spacing w:val="1"/>
        </w:rPr>
        <w:t xml:space="preserve"> </w:t>
      </w:r>
      <w:r>
        <w:t>hedging.</w:t>
      </w:r>
      <w:r w:rsidR="004B2531">
        <w:t xml:space="preserve">  Their removal </w:t>
      </w:r>
      <w:r w:rsidR="004B2531">
        <w:t>will harm not only the</w:t>
      </w:r>
      <w:r w:rsidR="004B2531">
        <w:rPr>
          <w:spacing w:val="1"/>
        </w:rPr>
        <w:t xml:space="preserve"> </w:t>
      </w:r>
      <w:r w:rsidR="004B2531">
        <w:t>Conservation</w:t>
      </w:r>
      <w:r w:rsidR="004B2531">
        <w:rPr>
          <w:spacing w:val="-2"/>
        </w:rPr>
        <w:t xml:space="preserve"> </w:t>
      </w:r>
      <w:r w:rsidR="004B2531">
        <w:t>Area</w:t>
      </w:r>
      <w:r w:rsidR="004B2531">
        <w:rPr>
          <w:spacing w:val="-1"/>
        </w:rPr>
        <w:t xml:space="preserve"> </w:t>
      </w:r>
      <w:r w:rsidR="004B2531">
        <w:t>but</w:t>
      </w:r>
      <w:r w:rsidR="004B2531">
        <w:rPr>
          <w:spacing w:val="1"/>
        </w:rPr>
        <w:t xml:space="preserve"> </w:t>
      </w:r>
      <w:r w:rsidR="004B2531">
        <w:t>also</w:t>
      </w:r>
      <w:r w:rsidR="004B2531">
        <w:rPr>
          <w:spacing w:val="-1"/>
        </w:rPr>
        <w:t xml:space="preserve"> </w:t>
      </w:r>
      <w:r w:rsidR="004B2531">
        <w:t>the</w:t>
      </w:r>
      <w:r w:rsidR="004B2531">
        <w:rPr>
          <w:spacing w:val="-4"/>
        </w:rPr>
        <w:t xml:space="preserve"> </w:t>
      </w:r>
      <w:r w:rsidR="004B2531">
        <w:t>setting of</w:t>
      </w:r>
      <w:r w:rsidR="004B2531">
        <w:rPr>
          <w:spacing w:val="-2"/>
        </w:rPr>
        <w:t xml:space="preserve"> </w:t>
      </w:r>
      <w:r w:rsidR="004B2531">
        <w:t>this listed</w:t>
      </w:r>
      <w:r w:rsidR="004B2531">
        <w:rPr>
          <w:spacing w:val="-1"/>
        </w:rPr>
        <w:t xml:space="preserve"> </w:t>
      </w:r>
      <w:r w:rsidR="004B2531">
        <w:t>building</w:t>
      </w:r>
      <w:r w:rsidR="004B2531">
        <w:rPr>
          <w:spacing w:val="-1"/>
        </w:rPr>
        <w:t xml:space="preserve"> </w:t>
      </w:r>
      <w:r w:rsidR="004B2531">
        <w:t>by CHB</w:t>
      </w:r>
      <w:r w:rsidR="004B2531">
        <w:rPr>
          <w:spacing w:val="-2"/>
        </w:rPr>
        <w:t xml:space="preserve"> </w:t>
      </w:r>
      <w:proofErr w:type="spellStart"/>
      <w:r w:rsidR="004B2531">
        <w:t>Quennell</w:t>
      </w:r>
      <w:proofErr w:type="spellEnd"/>
      <w:r w:rsidR="004B2531">
        <w:t>.</w:t>
      </w:r>
    </w:p>
    <w:p w14:paraId="5ED0CB3D" w14:textId="6BCD78C7" w:rsidR="00701E87" w:rsidRDefault="00701E87">
      <w:pPr>
        <w:pStyle w:val="BodyText"/>
        <w:ind w:left="119" w:right="233"/>
        <w:jc w:val="both"/>
      </w:pPr>
    </w:p>
    <w:p w14:paraId="460D5252" w14:textId="644CADA6" w:rsidR="00701E87" w:rsidRDefault="00EA1F8C">
      <w:pPr>
        <w:pStyle w:val="BodyText"/>
        <w:ind w:left="119" w:right="232"/>
        <w:jc w:val="both"/>
      </w:pPr>
      <w:r>
        <w:t xml:space="preserve">The original building at 26A </w:t>
      </w:r>
      <w:proofErr w:type="spellStart"/>
      <w:r>
        <w:t>Ferncroft</w:t>
      </w:r>
      <w:proofErr w:type="spellEnd"/>
      <w:r>
        <w:t xml:space="preserve"> Avenue has already been extended three times.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fourth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1F0F80">
        <w:t>116</w:t>
      </w:r>
      <w:r>
        <w:rPr>
          <w:spacing w:val="-6"/>
        </w:rPr>
        <w:t xml:space="preserve"> </w:t>
      </w:r>
      <w:r>
        <w:t>sq</w:t>
      </w:r>
      <w:r>
        <w:rPr>
          <w:spacing w:val="-6"/>
        </w:rPr>
        <w:t xml:space="preserve"> </w:t>
      </w:r>
      <w:proofErr w:type="spellStart"/>
      <w:r>
        <w:t>metres</w:t>
      </w:r>
      <w:proofErr w:type="spellEnd"/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 w:rsidR="004B2531">
        <w:rPr>
          <w:spacing w:val="-58"/>
        </w:rPr>
        <w:t xml:space="preserve">    </w:t>
      </w:r>
      <w:r>
        <w:t>rear</w:t>
      </w:r>
      <w:r>
        <w:rPr>
          <w:spacing w:val="-10"/>
        </w:rPr>
        <w:t xml:space="preserve"> </w:t>
      </w:r>
      <w:r>
        <w:t>garden</w:t>
      </w:r>
      <w:r>
        <w:t>.</w:t>
      </w:r>
    </w:p>
    <w:p w14:paraId="081BFFC4" w14:textId="77777777" w:rsidR="00701E87" w:rsidRDefault="00701E87">
      <w:pPr>
        <w:pStyle w:val="BodyText"/>
        <w:spacing w:before="7"/>
      </w:pPr>
    </w:p>
    <w:p w14:paraId="352FABDD" w14:textId="3A2440F7" w:rsidR="00701E87" w:rsidRDefault="004B2531">
      <w:pPr>
        <w:pStyle w:val="BodyText"/>
        <w:ind w:left="120" w:right="233"/>
        <w:jc w:val="both"/>
      </w:pPr>
      <w:r>
        <w:t>Moreover</w:t>
      </w:r>
      <w:r w:rsidR="00EA1F8C">
        <w:t xml:space="preserve">, the proposals are </w:t>
      </w:r>
      <w:r>
        <w:t>sharply in conflict</w:t>
      </w:r>
      <w:r w:rsidR="00EA1F8C">
        <w:t xml:space="preserve"> with the following </w:t>
      </w:r>
      <w:proofErr w:type="spellStart"/>
      <w:r w:rsidR="00EA1F8C">
        <w:t>Neighbourhood</w:t>
      </w:r>
      <w:proofErr w:type="spellEnd"/>
      <w:r w:rsidR="00EA1F8C">
        <w:t xml:space="preserve"> Plan</w:t>
      </w:r>
      <w:r w:rsidR="00EA1F8C">
        <w:rPr>
          <w:spacing w:val="1"/>
        </w:rPr>
        <w:t xml:space="preserve"> </w:t>
      </w:r>
      <w:r w:rsidR="00EA1F8C">
        <w:t>policies:</w:t>
      </w:r>
    </w:p>
    <w:p w14:paraId="00E116D4" w14:textId="77777777" w:rsidR="00701E87" w:rsidRDefault="00701E87">
      <w:pPr>
        <w:pStyle w:val="BodyText"/>
        <w:spacing w:before="1"/>
        <w:rPr>
          <w:sz w:val="24"/>
        </w:rPr>
      </w:pPr>
    </w:p>
    <w:p w14:paraId="563578D0" w14:textId="77777777" w:rsidR="00701E87" w:rsidRDefault="00EA1F8C">
      <w:pPr>
        <w:pStyle w:val="ListParagraph"/>
        <w:numPr>
          <w:ilvl w:val="0"/>
          <w:numId w:val="1"/>
        </w:numPr>
        <w:tabs>
          <w:tab w:val="left" w:pos="841"/>
        </w:tabs>
      </w:pPr>
      <w:r>
        <w:t>SD</w:t>
      </w:r>
      <w:r>
        <w:rPr>
          <w:spacing w:val="-2"/>
        </w:rPr>
        <w:t xml:space="preserve"> </w:t>
      </w:r>
      <w:r>
        <w:t>1:</w:t>
      </w:r>
      <w:r>
        <w:rPr>
          <w:spacing w:val="59"/>
        </w:rPr>
        <w:t xml:space="preserve"> </w:t>
      </w:r>
      <w:r>
        <w:t>I, ii,</w:t>
      </w:r>
      <w:r>
        <w:rPr>
          <w:spacing w:val="-1"/>
        </w:rPr>
        <w:t xml:space="preserve"> </w:t>
      </w:r>
      <w:r>
        <w:t>iii, v,</w:t>
      </w:r>
      <w:r>
        <w:rPr>
          <w:spacing w:val="-1"/>
        </w:rPr>
        <w:t xml:space="preserve"> </w:t>
      </w:r>
      <w:r>
        <w:t>vi,</w:t>
      </w:r>
      <w:r>
        <w:rPr>
          <w:spacing w:val="-2"/>
        </w:rPr>
        <w:t xml:space="preserve"> </w:t>
      </w:r>
      <w:r>
        <w:t>vii</w:t>
      </w:r>
    </w:p>
    <w:p w14:paraId="5C68AD70" w14:textId="77777777" w:rsidR="00701E87" w:rsidRDefault="00EA1F8C">
      <w:pPr>
        <w:pStyle w:val="ListParagraph"/>
        <w:numPr>
          <w:ilvl w:val="0"/>
          <w:numId w:val="1"/>
        </w:numPr>
        <w:tabs>
          <w:tab w:val="left" w:pos="841"/>
        </w:tabs>
        <w:spacing w:line="271" w:lineRule="exact"/>
      </w:pPr>
      <w:r>
        <w:t>SD 2</w:t>
      </w:r>
    </w:p>
    <w:p w14:paraId="36D279E1" w14:textId="77777777" w:rsidR="00701E87" w:rsidRDefault="00EA1F8C">
      <w:pPr>
        <w:pStyle w:val="ListParagraph"/>
        <w:numPr>
          <w:ilvl w:val="0"/>
          <w:numId w:val="1"/>
        </w:numPr>
        <w:tabs>
          <w:tab w:val="left" w:pos="841"/>
        </w:tabs>
        <w:spacing w:line="271" w:lineRule="exact"/>
      </w:pPr>
      <w:r>
        <w:t>SD</w:t>
      </w:r>
      <w:r>
        <w:rPr>
          <w:spacing w:val="-2"/>
        </w:rPr>
        <w:t xml:space="preserve"> </w:t>
      </w:r>
      <w:r>
        <w:t>4:</w:t>
      </w:r>
      <w:r>
        <w:rPr>
          <w:spacing w:val="58"/>
        </w:rPr>
        <w:t xml:space="preserve"> </w:t>
      </w:r>
      <w:r>
        <w:t>vii,</w:t>
      </w:r>
      <w:r>
        <w:rPr>
          <w:spacing w:val="1"/>
        </w:rPr>
        <w:t xml:space="preserve"> </w:t>
      </w:r>
      <w:r>
        <w:t>viii,</w:t>
      </w:r>
      <w:r>
        <w:rPr>
          <w:spacing w:val="-2"/>
        </w:rPr>
        <w:t xml:space="preserve"> </w:t>
      </w:r>
      <w:r>
        <w:t>xii</w:t>
      </w:r>
    </w:p>
    <w:p w14:paraId="439A7E8F" w14:textId="77777777" w:rsidR="00701E87" w:rsidRDefault="00EA1F8C">
      <w:pPr>
        <w:pStyle w:val="ListParagraph"/>
        <w:numPr>
          <w:ilvl w:val="0"/>
          <w:numId w:val="1"/>
        </w:numPr>
        <w:tabs>
          <w:tab w:val="left" w:pos="841"/>
        </w:tabs>
      </w:pPr>
      <w:r>
        <w:t>SD</w:t>
      </w:r>
      <w:r>
        <w:rPr>
          <w:spacing w:val="-2"/>
        </w:rPr>
        <w:t xml:space="preserve"> </w:t>
      </w:r>
      <w:r>
        <w:t>5:</w:t>
      </w:r>
      <w:r>
        <w:rPr>
          <w:spacing w:val="59"/>
        </w:rPr>
        <w:t xml:space="preserve"> </w:t>
      </w:r>
      <w:r>
        <w:t>iii, vii</w:t>
      </w:r>
    </w:p>
    <w:p w14:paraId="18F61B47" w14:textId="77777777" w:rsidR="00701E87" w:rsidRDefault="00EA1F8C">
      <w:pPr>
        <w:pStyle w:val="ListParagraph"/>
        <w:numPr>
          <w:ilvl w:val="0"/>
          <w:numId w:val="1"/>
        </w:numPr>
        <w:tabs>
          <w:tab w:val="left" w:pos="841"/>
        </w:tabs>
        <w:spacing w:before="1"/>
      </w:pPr>
      <w:r>
        <w:t>BGI</w:t>
      </w:r>
      <w:r>
        <w:rPr>
          <w:spacing w:val="-3"/>
        </w:rPr>
        <w:t xml:space="preserve"> </w:t>
      </w:r>
      <w:r>
        <w:t>1:</w:t>
      </w:r>
      <w:r>
        <w:rPr>
          <w:spacing w:val="58"/>
        </w:rPr>
        <w:t xml:space="preserve"> </w:t>
      </w:r>
      <w:proofErr w:type="spellStart"/>
      <w:r>
        <w:t>i</w:t>
      </w:r>
      <w:proofErr w:type="spellEnd"/>
      <w:r>
        <w:t>,</w:t>
      </w:r>
      <w:r>
        <w:rPr>
          <w:spacing w:val="-2"/>
        </w:rPr>
        <w:t xml:space="preserve"> </w:t>
      </w:r>
      <w:r>
        <w:t>ii, iii,</w:t>
      </w:r>
      <w:r>
        <w:rPr>
          <w:spacing w:val="-1"/>
        </w:rPr>
        <w:t xml:space="preserve"> </w:t>
      </w:r>
      <w:r>
        <w:t>iv, v, vi,</w:t>
      </w:r>
      <w:r>
        <w:rPr>
          <w:spacing w:val="-1"/>
        </w:rPr>
        <w:t xml:space="preserve"> </w:t>
      </w:r>
      <w:r>
        <w:t>vi</w:t>
      </w:r>
      <w:r>
        <w:t>i</w:t>
      </w:r>
    </w:p>
    <w:p w14:paraId="348138C7" w14:textId="4FA52CBA" w:rsidR="00701E87" w:rsidRDefault="00EA1F8C">
      <w:pPr>
        <w:pStyle w:val="ListParagraph"/>
        <w:numPr>
          <w:ilvl w:val="0"/>
          <w:numId w:val="1"/>
        </w:numPr>
        <w:tabs>
          <w:tab w:val="left" w:pos="841"/>
        </w:tabs>
        <w:spacing w:line="271" w:lineRule="exact"/>
      </w:pPr>
      <w:r>
        <w:t>BGI</w:t>
      </w:r>
      <w:r>
        <w:rPr>
          <w:spacing w:val="-2"/>
        </w:rPr>
        <w:t xml:space="preserve"> </w:t>
      </w:r>
      <w:r>
        <w:t>2:</w:t>
      </w:r>
      <w:r>
        <w:rPr>
          <w:spacing w:val="59"/>
        </w:rPr>
        <w:t xml:space="preserve"> </w:t>
      </w:r>
      <w:proofErr w:type="spellStart"/>
      <w:r>
        <w:t>i</w:t>
      </w:r>
      <w:proofErr w:type="spellEnd"/>
      <w:r>
        <w:t>,</w:t>
      </w:r>
      <w:r>
        <w:rPr>
          <w:spacing w:val="-1"/>
        </w:rPr>
        <w:t xml:space="preserve"> </w:t>
      </w:r>
      <w:r>
        <w:t>ii, i</w:t>
      </w:r>
      <w:r w:rsidR="004B2531">
        <w:t>i</w:t>
      </w:r>
      <w:r>
        <w:t>i,</w:t>
      </w:r>
      <w:r>
        <w:rPr>
          <w:spacing w:val="-1"/>
        </w:rPr>
        <w:t xml:space="preserve"> </w:t>
      </w:r>
      <w:r>
        <w:t>iv</w:t>
      </w:r>
      <w:r w:rsidR="004B2531">
        <w:t>, v</w:t>
      </w:r>
      <w:r w:rsidR="001F0F80">
        <w:t>.</w:t>
      </w:r>
    </w:p>
    <w:p w14:paraId="3907A613" w14:textId="757B0682" w:rsidR="001F0F80" w:rsidRDefault="001F0F80">
      <w:pPr>
        <w:pStyle w:val="BodyText"/>
        <w:ind w:left="120" w:right="233"/>
        <w:jc w:val="both"/>
      </w:pPr>
    </w:p>
    <w:p w14:paraId="0BB5A0BE" w14:textId="0DEDC4F2" w:rsidR="001F0F80" w:rsidRDefault="004B2531">
      <w:pPr>
        <w:pStyle w:val="BodyText"/>
        <w:ind w:left="120" w:right="233"/>
        <w:jc w:val="both"/>
      </w:pPr>
      <w:r>
        <w:t>It is</w:t>
      </w:r>
      <w:r w:rsidR="001F0F80">
        <w:t xml:space="preserve"> note</w:t>
      </w:r>
      <w:r>
        <w:t>d</w:t>
      </w:r>
      <w:r w:rsidR="001F0F80">
        <w:t xml:space="preserve"> that no mitigation measures are proposed.  The loss of so much rear garden could perhaps be mitigated by the removal of </w:t>
      </w:r>
      <w:r>
        <w:t xml:space="preserve">the </w:t>
      </w:r>
      <w:r w:rsidR="001F0F80">
        <w:t>front car park and hard surface</w:t>
      </w:r>
      <w:r>
        <w:t>,</w:t>
      </w:r>
      <w:r w:rsidR="001F0F80">
        <w:t xml:space="preserve"> and reversion to </w:t>
      </w:r>
      <w:r>
        <w:t xml:space="preserve">a vegetated front garden with natural soft surface and front and side boundary hedges.  This would be in conformity with both the </w:t>
      </w:r>
      <w:proofErr w:type="spellStart"/>
      <w:r>
        <w:t>Neighbourhood</w:t>
      </w:r>
      <w:proofErr w:type="spellEnd"/>
      <w:r>
        <w:t xml:space="preserve"> Plan and Conservation Area Appraisal</w:t>
      </w:r>
      <w:r w:rsidR="00EA1F8C">
        <w:t>, while also improving the setting of the listed building.</w:t>
      </w:r>
    </w:p>
    <w:p w14:paraId="3C7A1C2C" w14:textId="77777777" w:rsidR="00701E87" w:rsidRDefault="00701E87">
      <w:pPr>
        <w:pStyle w:val="BodyText"/>
        <w:spacing w:before="2"/>
      </w:pPr>
    </w:p>
    <w:p w14:paraId="33979CC7" w14:textId="77777777" w:rsidR="00701E87" w:rsidRDefault="00EA1F8C">
      <w:pPr>
        <w:pStyle w:val="BodyText"/>
        <w:ind w:left="120"/>
        <w:jc w:val="both"/>
      </w:pPr>
      <w:r>
        <w:t>Yours</w:t>
      </w:r>
      <w:r>
        <w:rPr>
          <w:spacing w:val="-3"/>
        </w:rPr>
        <w:t xml:space="preserve"> </w:t>
      </w:r>
      <w:r>
        <w:t>sincerely,</w:t>
      </w:r>
    </w:p>
    <w:p w14:paraId="1EF77413" w14:textId="77EC563C" w:rsidR="00701E87" w:rsidRDefault="00EA1F8C">
      <w:pPr>
        <w:pStyle w:val="BodyText"/>
        <w:rPr>
          <w:sz w:val="24"/>
        </w:rPr>
      </w:pPr>
      <w:r>
        <w:rPr>
          <w:noProof/>
          <w:sz w:val="24"/>
        </w:rPr>
        <w:drawing>
          <wp:inline distT="0" distB="0" distL="0" distR="0" wp14:anchorId="40B53F4C" wp14:editId="7524CC1A">
            <wp:extent cx="914400" cy="318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6" cy="33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C5E3" w14:textId="77777777" w:rsidR="00701E87" w:rsidRDefault="00701E87">
      <w:pPr>
        <w:pStyle w:val="BodyText"/>
        <w:spacing w:before="2"/>
        <w:rPr>
          <w:sz w:val="25"/>
        </w:rPr>
      </w:pPr>
    </w:p>
    <w:p w14:paraId="4EB045CB" w14:textId="77777777" w:rsidR="00701E87" w:rsidRDefault="00EA1F8C">
      <w:pPr>
        <w:pStyle w:val="BodyText"/>
        <w:ind w:left="120"/>
      </w:pPr>
      <w:r>
        <w:t>Secretary</w:t>
      </w:r>
    </w:p>
    <w:p w14:paraId="5B725CA7" w14:textId="77777777" w:rsidR="00701E87" w:rsidRDefault="00701E87">
      <w:pPr>
        <w:pStyle w:val="BodyText"/>
      </w:pPr>
    </w:p>
    <w:p w14:paraId="4D595FB0" w14:textId="77777777" w:rsidR="00701E87" w:rsidRDefault="00EA1F8C">
      <w:pPr>
        <w:pStyle w:val="BodyText"/>
        <w:spacing w:before="1"/>
        <w:ind w:left="119" w:right="4578"/>
      </w:pPr>
      <w:r>
        <w:t xml:space="preserve">Redington </w:t>
      </w:r>
      <w:proofErr w:type="spellStart"/>
      <w:r>
        <w:t>Frognal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 Forum</w:t>
      </w:r>
      <w:r>
        <w:rPr>
          <w:spacing w:val="-59"/>
        </w:rPr>
        <w:t xml:space="preserve"> </w:t>
      </w:r>
      <w:hyperlink r:id="rId6">
        <w:r>
          <w:rPr>
            <w:color w:val="0000FF"/>
            <w:u w:val="single" w:color="0000FF"/>
          </w:rPr>
          <w:t>http://www.redfrogforum.org/</w:t>
        </w:r>
      </w:hyperlink>
    </w:p>
    <w:sectPr w:rsidR="00701E87">
      <w:type w:val="continuous"/>
      <w:pgSz w:w="11910" w:h="16840"/>
      <w:pgMar w:top="16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3301C"/>
    <w:multiLevelType w:val="hybridMultilevel"/>
    <w:tmpl w:val="BA6E8292"/>
    <w:lvl w:ilvl="0" w:tplc="A212341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63"/>
        <w:sz w:val="22"/>
        <w:szCs w:val="22"/>
      </w:rPr>
    </w:lvl>
    <w:lvl w:ilvl="1" w:tplc="64348334">
      <w:numFmt w:val="bullet"/>
      <w:lvlText w:val="•"/>
      <w:lvlJc w:val="left"/>
      <w:pPr>
        <w:ind w:left="1634" w:hanging="361"/>
      </w:pPr>
      <w:rPr>
        <w:rFonts w:hint="default"/>
      </w:rPr>
    </w:lvl>
    <w:lvl w:ilvl="2" w:tplc="BF6E7BBA"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2209B0">
      <w:numFmt w:val="bullet"/>
      <w:lvlText w:val="•"/>
      <w:lvlJc w:val="left"/>
      <w:pPr>
        <w:ind w:left="3223" w:hanging="361"/>
      </w:pPr>
      <w:rPr>
        <w:rFonts w:hint="default"/>
      </w:rPr>
    </w:lvl>
    <w:lvl w:ilvl="4" w:tplc="E0CECFBC">
      <w:numFmt w:val="bullet"/>
      <w:lvlText w:val="•"/>
      <w:lvlJc w:val="left"/>
      <w:pPr>
        <w:ind w:left="4017" w:hanging="361"/>
      </w:pPr>
      <w:rPr>
        <w:rFonts w:hint="default"/>
      </w:rPr>
    </w:lvl>
    <w:lvl w:ilvl="5" w:tplc="F808CDE0">
      <w:numFmt w:val="bullet"/>
      <w:lvlText w:val="•"/>
      <w:lvlJc w:val="left"/>
      <w:pPr>
        <w:ind w:left="4812" w:hanging="361"/>
      </w:pPr>
      <w:rPr>
        <w:rFonts w:hint="default"/>
      </w:rPr>
    </w:lvl>
    <w:lvl w:ilvl="6" w:tplc="9BFA513E">
      <w:numFmt w:val="bullet"/>
      <w:lvlText w:val="•"/>
      <w:lvlJc w:val="left"/>
      <w:pPr>
        <w:ind w:left="5606" w:hanging="361"/>
      </w:pPr>
      <w:rPr>
        <w:rFonts w:hint="default"/>
      </w:rPr>
    </w:lvl>
    <w:lvl w:ilvl="7" w:tplc="076E6836">
      <w:numFmt w:val="bullet"/>
      <w:lvlText w:val="•"/>
      <w:lvlJc w:val="left"/>
      <w:pPr>
        <w:ind w:left="6401" w:hanging="361"/>
      </w:pPr>
      <w:rPr>
        <w:rFonts w:hint="default"/>
      </w:rPr>
    </w:lvl>
    <w:lvl w:ilvl="8" w:tplc="5D088EF2">
      <w:numFmt w:val="bullet"/>
      <w:lvlText w:val="•"/>
      <w:lvlJc w:val="left"/>
      <w:pPr>
        <w:ind w:left="719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E87"/>
    <w:rsid w:val="001F0F80"/>
    <w:rsid w:val="004B2531"/>
    <w:rsid w:val="00701E87"/>
    <w:rsid w:val="00E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57CF4"/>
  <w15:docId w15:val="{5FC35AB7-A6D7-6743-9AB9-F5DABCE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2984" w:right="2965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frogforum.org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Mayo</cp:lastModifiedBy>
  <cp:revision>2</cp:revision>
  <dcterms:created xsi:type="dcterms:W3CDTF">2025-05-06T22:24:00Z</dcterms:created>
  <dcterms:modified xsi:type="dcterms:W3CDTF">2025-05-06T22:46:00Z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Bluebeam Stapler 2018.5</vt:lpwstr>
  </property>
  <property fmtid="{D5CDD505-2E9C-101B-9397-08002B2CF9AE}" pid="4" name="LastSaved">
    <vt:filetime>2025-05-06T00:00:00Z</vt:filetime>
  </property>
</Properties>
</file>