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FBA16" w14:textId="77777777" w:rsidR="0030107D" w:rsidRDefault="0030107D">
      <w:bookmarkStart w:id="0" w:name="_GoBack"/>
      <w:bookmarkEnd w:id="0"/>
    </w:p>
    <w:p w14:paraId="5627A840" w14:textId="02E55E6E" w:rsidR="00DC0137" w:rsidRPr="0030107D" w:rsidRDefault="00D02C7C">
      <w:pPr>
        <w:rPr>
          <w:b/>
          <w:bCs/>
          <w:sz w:val="28"/>
          <w:szCs w:val="28"/>
        </w:rPr>
      </w:pPr>
      <w:r w:rsidRPr="0030107D">
        <w:rPr>
          <w:b/>
          <w:bCs/>
          <w:sz w:val="28"/>
          <w:szCs w:val="28"/>
        </w:rPr>
        <w:t xml:space="preserve">Reply to queries from Campbell Reith </w:t>
      </w:r>
      <w:r w:rsidR="00DD026F" w:rsidRPr="0030107D">
        <w:rPr>
          <w:b/>
          <w:bCs/>
          <w:sz w:val="28"/>
          <w:szCs w:val="28"/>
        </w:rPr>
        <w:t>Basement Impact Assessment Audit (</w:t>
      </w:r>
      <w:r w:rsidR="00B90B3B" w:rsidRPr="0030107D">
        <w:rPr>
          <w:b/>
          <w:bCs/>
          <w:sz w:val="28"/>
          <w:szCs w:val="28"/>
        </w:rPr>
        <w:t xml:space="preserve">CR </w:t>
      </w:r>
      <w:r w:rsidR="00DD026F" w:rsidRPr="0030107D">
        <w:rPr>
          <w:b/>
          <w:bCs/>
          <w:sz w:val="28"/>
          <w:szCs w:val="28"/>
        </w:rPr>
        <w:t xml:space="preserve">ref: </w:t>
      </w:r>
      <w:r w:rsidR="00B90B3B" w:rsidRPr="0030107D">
        <w:rPr>
          <w:b/>
          <w:bCs/>
          <w:sz w:val="28"/>
          <w:szCs w:val="28"/>
        </w:rPr>
        <w:t>14006-</w:t>
      </w:r>
      <w:proofErr w:type="gramStart"/>
      <w:r w:rsidR="00F64D56">
        <w:rPr>
          <w:b/>
          <w:bCs/>
          <w:sz w:val="28"/>
          <w:szCs w:val="28"/>
        </w:rPr>
        <w:t xml:space="preserve">89 </w:t>
      </w:r>
      <w:r w:rsidR="00B90B3B" w:rsidRPr="0030107D">
        <w:rPr>
          <w:b/>
          <w:bCs/>
          <w:sz w:val="28"/>
          <w:szCs w:val="28"/>
        </w:rPr>
        <w:t xml:space="preserve"> </w:t>
      </w:r>
      <w:r w:rsidR="00F64D56">
        <w:rPr>
          <w:b/>
          <w:bCs/>
          <w:sz w:val="28"/>
          <w:szCs w:val="28"/>
        </w:rPr>
        <w:t>September</w:t>
      </w:r>
      <w:proofErr w:type="gramEnd"/>
      <w:r w:rsidR="00F64D56">
        <w:rPr>
          <w:b/>
          <w:bCs/>
          <w:sz w:val="28"/>
          <w:szCs w:val="28"/>
        </w:rPr>
        <w:t xml:space="preserve"> 2024</w:t>
      </w:r>
      <w:r w:rsidR="00B90B3B" w:rsidRPr="0030107D">
        <w:rPr>
          <w:b/>
          <w:bCs/>
          <w:sz w:val="28"/>
          <w:szCs w:val="28"/>
        </w:rPr>
        <w:t>)</w:t>
      </w:r>
      <w:r w:rsidR="00070207" w:rsidRPr="0030107D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988"/>
        <w:gridCol w:w="1272"/>
        <w:gridCol w:w="5673"/>
        <w:gridCol w:w="6946"/>
      </w:tblGrid>
      <w:tr w:rsidR="00020552" w14:paraId="02AC23E1" w14:textId="77777777" w:rsidTr="00540031">
        <w:tc>
          <w:tcPr>
            <w:tcW w:w="988" w:type="dxa"/>
          </w:tcPr>
          <w:p w14:paraId="2751F367" w14:textId="6096E539" w:rsidR="0074613C" w:rsidRPr="00070207" w:rsidRDefault="0074613C">
            <w:pPr>
              <w:rPr>
                <w:b/>
                <w:bCs/>
              </w:rPr>
            </w:pPr>
            <w:r>
              <w:rPr>
                <w:b/>
                <w:bCs/>
              </w:rPr>
              <w:t>Query No.</w:t>
            </w:r>
          </w:p>
        </w:tc>
        <w:tc>
          <w:tcPr>
            <w:tcW w:w="1272" w:type="dxa"/>
          </w:tcPr>
          <w:p w14:paraId="0123B63E" w14:textId="16E3416F" w:rsidR="0074613C" w:rsidRPr="00070207" w:rsidRDefault="0074613C">
            <w:pPr>
              <w:rPr>
                <w:b/>
                <w:bCs/>
              </w:rPr>
            </w:pPr>
            <w:r w:rsidRPr="00070207">
              <w:rPr>
                <w:b/>
                <w:bCs/>
              </w:rPr>
              <w:t xml:space="preserve">Query Reference </w:t>
            </w:r>
          </w:p>
        </w:tc>
        <w:tc>
          <w:tcPr>
            <w:tcW w:w="5673" w:type="dxa"/>
            <w:vAlign w:val="center"/>
          </w:tcPr>
          <w:p w14:paraId="712AD540" w14:textId="050D22E0" w:rsidR="0074613C" w:rsidRPr="00070207" w:rsidRDefault="0074613C" w:rsidP="001D3E32">
            <w:pPr>
              <w:jc w:val="center"/>
              <w:rPr>
                <w:b/>
                <w:bCs/>
              </w:rPr>
            </w:pPr>
            <w:r w:rsidRPr="00070207">
              <w:rPr>
                <w:b/>
                <w:bCs/>
              </w:rPr>
              <w:t>Query</w:t>
            </w:r>
          </w:p>
        </w:tc>
        <w:tc>
          <w:tcPr>
            <w:tcW w:w="6946" w:type="dxa"/>
            <w:vAlign w:val="center"/>
          </w:tcPr>
          <w:p w14:paraId="2F26E857" w14:textId="6F123D1E" w:rsidR="0074613C" w:rsidRPr="00070207" w:rsidRDefault="0074613C" w:rsidP="001D3E32">
            <w:pPr>
              <w:jc w:val="center"/>
              <w:rPr>
                <w:b/>
                <w:bCs/>
              </w:rPr>
            </w:pPr>
            <w:r w:rsidRPr="00070207">
              <w:rPr>
                <w:b/>
                <w:bCs/>
              </w:rPr>
              <w:t>Response</w:t>
            </w:r>
          </w:p>
        </w:tc>
      </w:tr>
      <w:tr w:rsidR="00020552" w14:paraId="519C24CC" w14:textId="77777777" w:rsidTr="00540031">
        <w:trPr>
          <w:trHeight w:val="1558"/>
        </w:trPr>
        <w:tc>
          <w:tcPr>
            <w:tcW w:w="988" w:type="dxa"/>
          </w:tcPr>
          <w:p w14:paraId="0FAC6E97" w14:textId="1755DB35" w:rsidR="0074613C" w:rsidRDefault="00932779">
            <w:r>
              <w:t>1</w:t>
            </w:r>
          </w:p>
        </w:tc>
        <w:tc>
          <w:tcPr>
            <w:tcW w:w="1272" w:type="dxa"/>
          </w:tcPr>
          <w:p w14:paraId="416E05F3" w14:textId="764B9322" w:rsidR="0074613C" w:rsidRPr="00240944" w:rsidRDefault="0074613C">
            <w:r>
              <w:t>4.</w:t>
            </w:r>
            <w:r w:rsidR="00932779">
              <w:t>4</w:t>
            </w:r>
            <w:r w:rsidR="00540031">
              <w:t xml:space="preserve"> &amp;</w:t>
            </w:r>
            <w:r w:rsidR="00932779">
              <w:t xml:space="preserve"> 4.14</w:t>
            </w:r>
          </w:p>
        </w:tc>
        <w:tc>
          <w:tcPr>
            <w:tcW w:w="5673" w:type="dxa"/>
          </w:tcPr>
          <w:p w14:paraId="20E93326" w14:textId="4E376D51" w:rsidR="0074613C" w:rsidRDefault="00763983">
            <w:r w:rsidRPr="00763983">
              <w:rPr>
                <w:lang w:val="en-US"/>
              </w:rPr>
              <w:t>Confirmation of the elevations of the surrounding properties and the extent of the void below the ground floor level is requested.</w:t>
            </w:r>
          </w:p>
        </w:tc>
        <w:tc>
          <w:tcPr>
            <w:tcW w:w="6946" w:type="dxa"/>
          </w:tcPr>
          <w:p w14:paraId="22671099" w14:textId="7A3AD0E7" w:rsidR="00C55D80" w:rsidRDefault="001C1F0D">
            <w:r>
              <w:t xml:space="preserve">4.4- </w:t>
            </w:r>
            <w:r w:rsidR="00C55D80">
              <w:t xml:space="preserve">The extent of the void and </w:t>
            </w:r>
            <w:r w:rsidR="005C3DAF">
              <w:t xml:space="preserve">the relative differences in ground levels are shown in </w:t>
            </w:r>
            <w:proofErr w:type="gramStart"/>
            <w:r w:rsidR="005C3DAF">
              <w:t xml:space="preserve">the </w:t>
            </w:r>
            <w:r w:rsidR="009F508A">
              <w:t xml:space="preserve"> elevation</w:t>
            </w:r>
            <w:proofErr w:type="gramEnd"/>
            <w:r w:rsidR="009F508A">
              <w:t xml:space="preserve"> </w:t>
            </w:r>
            <w:r w:rsidR="00E72F92">
              <w:t>drawings 31222/P/00</w:t>
            </w:r>
            <w:r w:rsidR="009F508A">
              <w:t>5</w:t>
            </w:r>
            <w:r w:rsidR="004D6C11">
              <w:t>-10</w:t>
            </w:r>
            <w:r w:rsidR="00772559">
              <w:t>.</w:t>
            </w:r>
          </w:p>
          <w:p w14:paraId="20FF480B" w14:textId="71950CA0" w:rsidR="00772559" w:rsidRDefault="00772559">
            <w:r>
              <w:t xml:space="preserve">The elevation of the </w:t>
            </w:r>
            <w:r w:rsidR="00DD2C17">
              <w:t xml:space="preserve">property Well Mount to the southeast is approximately 2m lower than </w:t>
            </w:r>
            <w:r w:rsidR="00AB3F85">
              <w:t>No. 30 Grove Place</w:t>
            </w:r>
            <w:r w:rsidR="0001513C">
              <w:t>. This was stated in Q13 of the Land stability Screening</w:t>
            </w:r>
            <w:r w:rsidR="00A30AA4">
              <w:t xml:space="preserve">. It can be argued </w:t>
            </w:r>
            <w:r w:rsidR="0054586A">
              <w:t>that due to the lower level of Well Mount</w:t>
            </w:r>
            <w:r w:rsidR="007633F7">
              <w:t>,</w:t>
            </w:r>
            <w:r w:rsidR="0054586A">
              <w:t xml:space="preserve"> ground movement impact is likely to the negligible, </w:t>
            </w:r>
            <w:r w:rsidR="007633F7">
              <w:t>therefore</w:t>
            </w:r>
            <w:r w:rsidR="0054586A">
              <w:t xml:space="preserve"> the assessment is </w:t>
            </w:r>
            <w:r w:rsidR="007633F7">
              <w:t xml:space="preserve">conservative. </w:t>
            </w:r>
          </w:p>
          <w:p w14:paraId="091EE44C" w14:textId="454FBAAB" w:rsidR="009C73B9" w:rsidRDefault="00661D06">
            <w:r w:rsidRPr="008A0AB9">
              <w:t>4.</w:t>
            </w:r>
            <w:r w:rsidR="00091D55" w:rsidRPr="008A0AB9">
              <w:t xml:space="preserve">14 The void </w:t>
            </w:r>
            <w:r w:rsidR="00223D93" w:rsidRPr="008A0AB9">
              <w:t xml:space="preserve">underneath the existing ground floor is noted on </w:t>
            </w:r>
            <w:r w:rsidR="008A0AB9" w:rsidRPr="008A0AB9">
              <w:t>section 1 of the Croft BIA</w:t>
            </w:r>
            <w:r w:rsidR="008A0AB9">
              <w:t>. The propping will remain as noted on appendix E of the Croft BIA</w:t>
            </w:r>
          </w:p>
          <w:p w14:paraId="3F55975A" w14:textId="10486DC0" w:rsidR="00CD2D10" w:rsidRPr="004B6F5F" w:rsidRDefault="00CD2D10"/>
        </w:tc>
      </w:tr>
      <w:tr w:rsidR="00020552" w14:paraId="7F9AB9AF" w14:textId="77777777" w:rsidTr="00540031">
        <w:tc>
          <w:tcPr>
            <w:tcW w:w="988" w:type="dxa"/>
          </w:tcPr>
          <w:p w14:paraId="2DB24BED" w14:textId="1A71EA95" w:rsidR="0074613C" w:rsidRDefault="008B3D87">
            <w:r>
              <w:t>2</w:t>
            </w:r>
          </w:p>
        </w:tc>
        <w:tc>
          <w:tcPr>
            <w:tcW w:w="1272" w:type="dxa"/>
          </w:tcPr>
          <w:p w14:paraId="211086D7" w14:textId="421A2897" w:rsidR="0074613C" w:rsidRDefault="007537AA">
            <w:pPr>
              <w:rPr>
                <w:lang w:val="en-US"/>
              </w:rPr>
            </w:pPr>
            <w:r>
              <w:rPr>
                <w:lang w:val="en-US"/>
              </w:rPr>
              <w:t>4.6</w:t>
            </w:r>
          </w:p>
        </w:tc>
        <w:tc>
          <w:tcPr>
            <w:tcW w:w="5673" w:type="dxa"/>
          </w:tcPr>
          <w:p w14:paraId="6E3C7C6D" w14:textId="40669AC6" w:rsidR="0074613C" w:rsidRPr="00240944" w:rsidRDefault="007537AA">
            <w:pPr>
              <w:rPr>
                <w:lang w:val="en-US"/>
              </w:rPr>
            </w:pPr>
            <w:r w:rsidRPr="007537AA">
              <w:rPr>
                <w:lang w:val="en-US"/>
              </w:rPr>
              <w:t>Clarification is requested for some of the responses given to the screening stages.</w:t>
            </w:r>
          </w:p>
        </w:tc>
        <w:tc>
          <w:tcPr>
            <w:tcW w:w="6946" w:type="dxa"/>
          </w:tcPr>
          <w:p w14:paraId="15D52073" w14:textId="399A77C1" w:rsidR="00700F22" w:rsidRDefault="00700F22" w:rsidP="00700F22">
            <w:r>
              <w:t xml:space="preserve">4.6 - </w:t>
            </w:r>
            <w:r w:rsidRPr="004B6F5F">
              <w:t>The gradient of the hillside taken from OS 1 25 00 survey ranges from approximately 1 in 9 to 1 in 12 or from about 5</w:t>
            </w:r>
            <w:r w:rsidRPr="004B6F5F">
              <w:rPr>
                <w:vertAlign w:val="superscript"/>
              </w:rPr>
              <w:t>0</w:t>
            </w:r>
            <w:r w:rsidRPr="004B6F5F">
              <w:t xml:space="preserve"> to 6</w:t>
            </w:r>
            <w:r w:rsidRPr="004B6F5F">
              <w:rPr>
                <w:vertAlign w:val="superscript"/>
              </w:rPr>
              <w:t>0</w:t>
            </w:r>
            <w:r>
              <w:t>.</w:t>
            </w:r>
          </w:p>
          <w:p w14:paraId="2C4AA2BC" w14:textId="77777777" w:rsidR="00700F22" w:rsidRDefault="00700F22" w:rsidP="00700F22">
            <w:r>
              <w:t xml:space="preserve">4.6 </w:t>
            </w:r>
            <w:proofErr w:type="gramStart"/>
            <w:r>
              <w:t>it</w:t>
            </w:r>
            <w:proofErr w:type="gramEnd"/>
            <w:r>
              <w:t xml:space="preserve"> is agreed that the </w:t>
            </w:r>
            <w:proofErr w:type="spellStart"/>
            <w:r>
              <w:t>Claygate</w:t>
            </w:r>
            <w:proofErr w:type="spellEnd"/>
            <w:r>
              <w:t xml:space="preserve"> Member is a secondary A aquifer. However, the material is of low permeability being predominantly a clay or a silt.</w:t>
            </w:r>
          </w:p>
          <w:p w14:paraId="06267FAA" w14:textId="4226C23D" w:rsidR="00700F22" w:rsidRDefault="00700F22" w:rsidP="00700F22">
            <w:r>
              <w:t xml:space="preserve">4.6 </w:t>
            </w:r>
            <w:r w:rsidRPr="00700F22">
              <w:t>In MGC BIA Section 5 of groundwater screening has been amended to refer to Croft groundwater levels in design</w:t>
            </w:r>
            <w:r w:rsidR="0053054B">
              <w:t>.</w:t>
            </w:r>
          </w:p>
          <w:p w14:paraId="7E9D89BE" w14:textId="53F6E19B" w:rsidR="0053054B" w:rsidRDefault="0053054B" w:rsidP="00700F22">
            <w:r>
              <w:t xml:space="preserve">The site is not underlain by the </w:t>
            </w:r>
            <w:proofErr w:type="spellStart"/>
            <w:r>
              <w:t>Bagshot</w:t>
            </w:r>
            <w:proofErr w:type="spellEnd"/>
            <w:r>
              <w:t xml:space="preserve"> Beds </w:t>
            </w:r>
            <w:r w:rsidR="00146379">
              <w:t xml:space="preserve">See </w:t>
            </w:r>
            <w:r w:rsidR="00E75171">
              <w:t>info from BGS (and Arup report</w:t>
            </w:r>
            <w:r w:rsidR="00CD558E">
              <w:t>)</w:t>
            </w:r>
            <w:r w:rsidR="00DF6C50">
              <w:t xml:space="preserve">. </w:t>
            </w:r>
            <w:r w:rsidR="00CD558E">
              <w:t>The geological boundary is topographically above the site</w:t>
            </w:r>
          </w:p>
          <w:p w14:paraId="70BDF79D" w14:textId="1C7AC261" w:rsidR="002A4055" w:rsidRPr="00700F22" w:rsidRDefault="00CD558E" w:rsidP="00700F22">
            <w:r w:rsidRPr="00CD558E">
              <w:rPr>
                <w:noProof/>
                <w:lang w:eastAsia="en-GB"/>
              </w:rPr>
              <w:lastRenderedPageBreak/>
              <w:drawing>
                <wp:inline distT="0" distB="0" distL="0" distR="0" wp14:anchorId="2C7FC7F3" wp14:editId="011D21A2">
                  <wp:extent cx="3703439" cy="1811655"/>
                  <wp:effectExtent l="0" t="0" r="0" b="0"/>
                  <wp:docPr id="3429936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99368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207" cy="1820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2AF8E2" w14:textId="747DF0C4" w:rsidR="00700F22" w:rsidRDefault="00700F22"/>
        </w:tc>
      </w:tr>
      <w:tr w:rsidR="00020552" w14:paraId="63B1769F" w14:textId="77777777" w:rsidTr="00540031">
        <w:trPr>
          <w:trHeight w:val="1247"/>
        </w:trPr>
        <w:tc>
          <w:tcPr>
            <w:tcW w:w="988" w:type="dxa"/>
          </w:tcPr>
          <w:p w14:paraId="17060A9D" w14:textId="1F410D94" w:rsidR="00DF52DE" w:rsidRDefault="008B3D87" w:rsidP="00DF52DE">
            <w:r>
              <w:lastRenderedPageBreak/>
              <w:t>3</w:t>
            </w:r>
          </w:p>
        </w:tc>
        <w:tc>
          <w:tcPr>
            <w:tcW w:w="1272" w:type="dxa"/>
          </w:tcPr>
          <w:p w14:paraId="48A81604" w14:textId="26106BEE" w:rsidR="00DF52DE" w:rsidRPr="00240944" w:rsidRDefault="00DF52DE" w:rsidP="00DF52DE">
            <w:r>
              <w:t>4.7</w:t>
            </w:r>
          </w:p>
        </w:tc>
        <w:tc>
          <w:tcPr>
            <w:tcW w:w="5673" w:type="dxa"/>
          </w:tcPr>
          <w:p w14:paraId="6DD268A1" w14:textId="018836E3" w:rsidR="00DF52DE" w:rsidRPr="00842049" w:rsidRDefault="00DF52DE" w:rsidP="00DF52DE">
            <w:r w:rsidRPr="00842049">
              <w:t>Further</w:t>
            </w:r>
            <w:r w:rsidRPr="00842049">
              <w:rPr>
                <w:spacing w:val="-4"/>
              </w:rPr>
              <w:t xml:space="preserve"> </w:t>
            </w:r>
            <w:r w:rsidRPr="00842049">
              <w:t>justification</w:t>
            </w:r>
            <w:r w:rsidRPr="00842049">
              <w:rPr>
                <w:spacing w:val="-4"/>
              </w:rPr>
              <w:t xml:space="preserve"> </w:t>
            </w:r>
            <w:r w:rsidRPr="00842049">
              <w:t>for</w:t>
            </w:r>
            <w:r w:rsidRPr="00842049">
              <w:rPr>
                <w:spacing w:val="-4"/>
              </w:rPr>
              <w:t xml:space="preserve"> </w:t>
            </w:r>
            <w:r w:rsidRPr="00842049">
              <w:t>the</w:t>
            </w:r>
            <w:r w:rsidRPr="00842049">
              <w:rPr>
                <w:spacing w:val="-4"/>
              </w:rPr>
              <w:t xml:space="preserve"> </w:t>
            </w:r>
            <w:r w:rsidRPr="00842049">
              <w:t>ground</w:t>
            </w:r>
            <w:r w:rsidRPr="00842049">
              <w:rPr>
                <w:spacing w:val="-4"/>
              </w:rPr>
              <w:t xml:space="preserve"> </w:t>
            </w:r>
            <w:r w:rsidRPr="00842049">
              <w:t>model</w:t>
            </w:r>
            <w:r w:rsidRPr="00842049">
              <w:rPr>
                <w:spacing w:val="-4"/>
              </w:rPr>
              <w:t xml:space="preserve"> </w:t>
            </w:r>
            <w:r w:rsidRPr="00842049">
              <w:t>adopted</w:t>
            </w:r>
            <w:r w:rsidRPr="00842049">
              <w:rPr>
                <w:spacing w:val="-4"/>
              </w:rPr>
              <w:t xml:space="preserve"> </w:t>
            </w:r>
            <w:r w:rsidRPr="00842049">
              <w:t>in</w:t>
            </w:r>
            <w:r w:rsidRPr="00842049">
              <w:rPr>
                <w:spacing w:val="-4"/>
              </w:rPr>
              <w:t xml:space="preserve"> </w:t>
            </w:r>
            <w:r w:rsidRPr="00842049">
              <w:t>the</w:t>
            </w:r>
            <w:r w:rsidRPr="00842049">
              <w:rPr>
                <w:spacing w:val="-4"/>
              </w:rPr>
              <w:t xml:space="preserve"> </w:t>
            </w:r>
            <w:r w:rsidRPr="00842049">
              <w:t>BIA</w:t>
            </w:r>
            <w:r w:rsidRPr="00842049">
              <w:rPr>
                <w:spacing w:val="-4"/>
              </w:rPr>
              <w:t xml:space="preserve"> </w:t>
            </w:r>
            <w:r w:rsidRPr="00842049">
              <w:t xml:space="preserve">is </w:t>
            </w:r>
            <w:r w:rsidRPr="00842049">
              <w:rPr>
                <w:spacing w:val="-2"/>
              </w:rPr>
              <w:t>requested.</w:t>
            </w:r>
          </w:p>
        </w:tc>
        <w:tc>
          <w:tcPr>
            <w:tcW w:w="6946" w:type="dxa"/>
          </w:tcPr>
          <w:p w14:paraId="22C46709" w14:textId="03CAA7C0" w:rsidR="00DF52DE" w:rsidRDefault="00D00594" w:rsidP="00DF52DE">
            <w:r>
              <w:t xml:space="preserve">The </w:t>
            </w:r>
            <w:proofErr w:type="spellStart"/>
            <w:r w:rsidRPr="00D00594">
              <w:t>Bagshot</w:t>
            </w:r>
            <w:proofErr w:type="spellEnd"/>
            <w:r w:rsidRPr="00D00594">
              <w:t xml:space="preserve"> Member lies to the northwest of the site not at the site itself</w:t>
            </w:r>
            <w:r>
              <w:t xml:space="preserve">. </w:t>
            </w:r>
            <w:r w:rsidRPr="00D00594">
              <w:t xml:space="preserve"> Furthermore, the description of the material is consistent with the </w:t>
            </w:r>
            <w:proofErr w:type="spellStart"/>
            <w:r w:rsidRPr="00D00594">
              <w:t>Claygate</w:t>
            </w:r>
            <w:proofErr w:type="spellEnd"/>
            <w:r w:rsidRPr="00D00594">
              <w:t xml:space="preserve"> Member. </w:t>
            </w:r>
            <w:r w:rsidR="003932D4">
              <w:t xml:space="preserve">As stated in the </w:t>
            </w:r>
            <w:r w:rsidR="00006676">
              <w:t>MGC BIA an adjacent borehole at a similar level also indicated the presence of the London C</w:t>
            </w:r>
            <w:r w:rsidR="00656A1C">
              <w:t>lay</w:t>
            </w:r>
            <w:r w:rsidR="00006676">
              <w:t xml:space="preserve"> </w:t>
            </w:r>
            <w:r w:rsidR="00656A1C">
              <w:t>F</w:t>
            </w:r>
            <w:r w:rsidR="00006676">
              <w:t>ormation at a similar level</w:t>
            </w:r>
            <w:r w:rsidR="00D23962">
              <w:t xml:space="preserve"> (ref Section </w:t>
            </w:r>
            <w:r w:rsidR="00E70EEF">
              <w:t>5.3.2)</w:t>
            </w:r>
            <w:r w:rsidR="00587745">
              <w:t xml:space="preserve">. The ground model is considered as accurate as the data allows. </w:t>
            </w:r>
          </w:p>
        </w:tc>
      </w:tr>
      <w:tr w:rsidR="00020552" w14:paraId="47584C19" w14:textId="77777777" w:rsidTr="00540031">
        <w:tc>
          <w:tcPr>
            <w:tcW w:w="988" w:type="dxa"/>
          </w:tcPr>
          <w:p w14:paraId="534D9EEF" w14:textId="1DB2AA21" w:rsidR="00DF52DE" w:rsidRDefault="008B3D87" w:rsidP="00DF52DE">
            <w:r>
              <w:t>4</w:t>
            </w:r>
          </w:p>
        </w:tc>
        <w:tc>
          <w:tcPr>
            <w:tcW w:w="1272" w:type="dxa"/>
          </w:tcPr>
          <w:p w14:paraId="7C583B02" w14:textId="2C21B9B0" w:rsidR="00DF52DE" w:rsidRPr="00240944" w:rsidRDefault="00077AA9" w:rsidP="00DF52DE">
            <w:r>
              <w:t>4.9</w:t>
            </w:r>
          </w:p>
        </w:tc>
        <w:tc>
          <w:tcPr>
            <w:tcW w:w="5673" w:type="dxa"/>
          </w:tcPr>
          <w:p w14:paraId="2A208E00" w14:textId="61AE4C0C" w:rsidR="00DF52DE" w:rsidRPr="00842049" w:rsidRDefault="00DF52DE" w:rsidP="00DF52DE">
            <w:bookmarkStart w:id="1" w:name="_Hlk178686050"/>
            <w:r w:rsidRPr="00842049">
              <w:t>Consideration</w:t>
            </w:r>
            <w:r w:rsidRPr="00842049">
              <w:rPr>
                <w:spacing w:val="-4"/>
              </w:rPr>
              <w:t xml:space="preserve"> </w:t>
            </w:r>
            <w:r w:rsidRPr="00842049">
              <w:t>should</w:t>
            </w:r>
            <w:r w:rsidRPr="00842049">
              <w:rPr>
                <w:spacing w:val="-4"/>
              </w:rPr>
              <w:t xml:space="preserve"> </w:t>
            </w:r>
            <w:r w:rsidRPr="00842049">
              <w:t>be</w:t>
            </w:r>
            <w:r w:rsidRPr="00842049">
              <w:rPr>
                <w:spacing w:val="-4"/>
              </w:rPr>
              <w:t xml:space="preserve"> </w:t>
            </w:r>
            <w:r w:rsidRPr="00842049">
              <w:t>given</w:t>
            </w:r>
            <w:r w:rsidRPr="00842049">
              <w:rPr>
                <w:spacing w:val="-4"/>
              </w:rPr>
              <w:t xml:space="preserve"> </w:t>
            </w:r>
            <w:r w:rsidRPr="00842049">
              <w:t>to</w:t>
            </w:r>
            <w:r w:rsidRPr="00842049">
              <w:rPr>
                <w:spacing w:val="-4"/>
              </w:rPr>
              <w:t xml:space="preserve"> </w:t>
            </w:r>
            <w:r w:rsidRPr="00842049">
              <w:t>the</w:t>
            </w:r>
            <w:r w:rsidRPr="00842049">
              <w:rPr>
                <w:spacing w:val="-4"/>
              </w:rPr>
              <w:t xml:space="preserve"> </w:t>
            </w:r>
            <w:r w:rsidRPr="00842049">
              <w:t>likelihood</w:t>
            </w:r>
            <w:r w:rsidRPr="00842049">
              <w:rPr>
                <w:spacing w:val="-8"/>
              </w:rPr>
              <w:t xml:space="preserve"> </w:t>
            </w:r>
            <w:r w:rsidRPr="00842049">
              <w:t>of</w:t>
            </w:r>
            <w:r w:rsidRPr="00842049">
              <w:rPr>
                <w:spacing w:val="-4"/>
              </w:rPr>
              <w:t xml:space="preserve"> </w:t>
            </w:r>
            <w:r w:rsidRPr="00842049">
              <w:t>groundwater</w:t>
            </w:r>
            <w:r w:rsidRPr="00842049">
              <w:rPr>
                <w:spacing w:val="-4"/>
              </w:rPr>
              <w:t xml:space="preserve"> </w:t>
            </w:r>
            <w:r w:rsidRPr="00842049">
              <w:t>ingress during basement construction, potential stability and hydrogeological impacts and any mitigation requirements.</w:t>
            </w:r>
            <w:bookmarkEnd w:id="1"/>
          </w:p>
        </w:tc>
        <w:tc>
          <w:tcPr>
            <w:tcW w:w="6946" w:type="dxa"/>
          </w:tcPr>
          <w:p w14:paraId="6259C941" w14:textId="77777777" w:rsidR="00145C43" w:rsidRPr="006D6B1D" w:rsidRDefault="000766D3" w:rsidP="00DF52DE">
            <w:r w:rsidRPr="00145C43">
              <w:t xml:space="preserve">It is anticipated that groundwater flow if present will be slow due to the clay or silt nature of the </w:t>
            </w:r>
            <w:r w:rsidRPr="006D6B1D">
              <w:t>material encountered</w:t>
            </w:r>
            <w:r w:rsidR="00145C43" w:rsidRPr="006D6B1D">
              <w:t xml:space="preserve">. </w:t>
            </w:r>
          </w:p>
          <w:p w14:paraId="6326174A" w14:textId="3B0CA4C5" w:rsidR="00020552" w:rsidRPr="00474195" w:rsidRDefault="00145C43" w:rsidP="006C0B65">
            <w:pPr>
              <w:rPr>
                <w:highlight w:val="yellow"/>
              </w:rPr>
            </w:pPr>
            <w:r w:rsidRPr="006D6B1D">
              <w:t xml:space="preserve">The presence of groundwater will be accounted for in the </w:t>
            </w:r>
            <w:r w:rsidR="00223D93" w:rsidRPr="006D6B1D">
              <w:t xml:space="preserve">detailed </w:t>
            </w:r>
            <w:r w:rsidRPr="006D6B1D">
              <w:t>design</w:t>
            </w:r>
            <w:r w:rsidR="008A0AB9" w:rsidRPr="006D6B1D">
              <w:t xml:space="preserve"> stage</w:t>
            </w:r>
            <w:r w:rsidR="006C0B65">
              <w:t>.</w:t>
            </w:r>
            <w:r w:rsidR="00223D93">
              <w:rPr>
                <w:highlight w:val="yellow"/>
              </w:rPr>
              <w:t xml:space="preserve"> </w:t>
            </w:r>
          </w:p>
        </w:tc>
      </w:tr>
      <w:tr w:rsidR="00020552" w14:paraId="32A5C494" w14:textId="77777777" w:rsidTr="00540031">
        <w:trPr>
          <w:trHeight w:val="1758"/>
        </w:trPr>
        <w:tc>
          <w:tcPr>
            <w:tcW w:w="988" w:type="dxa"/>
          </w:tcPr>
          <w:p w14:paraId="048F3F50" w14:textId="6A3572C7" w:rsidR="00DF52DE" w:rsidRDefault="008B3D87" w:rsidP="00DF52DE">
            <w:r>
              <w:t>5</w:t>
            </w:r>
          </w:p>
        </w:tc>
        <w:tc>
          <w:tcPr>
            <w:tcW w:w="1272" w:type="dxa"/>
          </w:tcPr>
          <w:p w14:paraId="33811B6E" w14:textId="1E1E4D3B" w:rsidR="00DF52DE" w:rsidRPr="00240944" w:rsidRDefault="00077AA9" w:rsidP="00DF52DE">
            <w:r>
              <w:t>4.11</w:t>
            </w:r>
          </w:p>
        </w:tc>
        <w:tc>
          <w:tcPr>
            <w:tcW w:w="5673" w:type="dxa"/>
          </w:tcPr>
          <w:p w14:paraId="216C293C" w14:textId="76A8614B" w:rsidR="00DF52DE" w:rsidRPr="00842049" w:rsidRDefault="00DF52DE" w:rsidP="00DF52DE">
            <w:bookmarkStart w:id="2" w:name="_Hlk178685932"/>
            <w:r w:rsidRPr="00842049">
              <w:t>Confirmation</w:t>
            </w:r>
            <w:r w:rsidRPr="00842049">
              <w:rPr>
                <w:spacing w:val="-9"/>
              </w:rPr>
              <w:t xml:space="preserve"> </w:t>
            </w:r>
            <w:r w:rsidRPr="00842049">
              <w:t>of</w:t>
            </w:r>
            <w:r w:rsidRPr="00842049">
              <w:rPr>
                <w:spacing w:val="-4"/>
              </w:rPr>
              <w:t xml:space="preserve"> </w:t>
            </w:r>
            <w:r w:rsidRPr="00842049">
              <w:t>the</w:t>
            </w:r>
            <w:r w:rsidRPr="00842049">
              <w:rPr>
                <w:spacing w:val="-4"/>
              </w:rPr>
              <w:t xml:space="preserve"> </w:t>
            </w:r>
            <w:r w:rsidRPr="00842049">
              <w:t>impact</w:t>
            </w:r>
            <w:r w:rsidRPr="00842049">
              <w:rPr>
                <w:spacing w:val="-4"/>
              </w:rPr>
              <w:t xml:space="preserve"> </w:t>
            </w:r>
            <w:r w:rsidRPr="00842049">
              <w:t>the</w:t>
            </w:r>
            <w:r w:rsidRPr="00842049">
              <w:rPr>
                <w:spacing w:val="-4"/>
              </w:rPr>
              <w:t xml:space="preserve"> </w:t>
            </w:r>
            <w:r w:rsidRPr="00842049">
              <w:t>proposed</w:t>
            </w:r>
            <w:r w:rsidRPr="00842049">
              <w:rPr>
                <w:spacing w:val="-4"/>
              </w:rPr>
              <w:t xml:space="preserve"> </w:t>
            </w:r>
            <w:r w:rsidRPr="00842049">
              <w:t>basement</w:t>
            </w:r>
            <w:r w:rsidRPr="00842049">
              <w:rPr>
                <w:spacing w:val="-4"/>
              </w:rPr>
              <w:t xml:space="preserve"> </w:t>
            </w:r>
            <w:r w:rsidRPr="00842049">
              <w:t>will</w:t>
            </w:r>
            <w:r w:rsidRPr="00842049">
              <w:rPr>
                <w:spacing w:val="-4"/>
              </w:rPr>
              <w:t xml:space="preserve"> </w:t>
            </w:r>
            <w:r w:rsidRPr="00842049">
              <w:t>have</w:t>
            </w:r>
            <w:r w:rsidRPr="00842049">
              <w:rPr>
                <w:spacing w:val="-4"/>
              </w:rPr>
              <w:t xml:space="preserve"> </w:t>
            </w:r>
            <w:r w:rsidRPr="00842049">
              <w:t>on</w:t>
            </w:r>
            <w:r w:rsidRPr="00842049">
              <w:rPr>
                <w:spacing w:val="-4"/>
              </w:rPr>
              <w:t xml:space="preserve"> </w:t>
            </w:r>
            <w:r w:rsidRPr="00842049">
              <w:t xml:space="preserve">the proportions of hardstanding is requested and should be presented </w:t>
            </w:r>
            <w:r w:rsidRPr="00842049">
              <w:rPr>
                <w:spacing w:val="-2"/>
              </w:rPr>
              <w:t>consistently.</w:t>
            </w:r>
            <w:bookmarkEnd w:id="2"/>
          </w:p>
        </w:tc>
        <w:tc>
          <w:tcPr>
            <w:tcW w:w="6946" w:type="dxa"/>
          </w:tcPr>
          <w:p w14:paraId="5A74AB32" w14:textId="3C5DB263" w:rsidR="00E446A6" w:rsidRPr="00E446A6" w:rsidRDefault="00E446A6" w:rsidP="00E446A6">
            <w:r w:rsidRPr="006D6B1D">
              <w:t>This has been updated on the Croft BIA. No change in hardstanding surfaces is noted.</w:t>
            </w:r>
            <w:r w:rsidRPr="00E446A6">
              <w:t xml:space="preserve">  </w:t>
            </w:r>
          </w:p>
          <w:p w14:paraId="5C07CF3A" w14:textId="451C1B9B" w:rsidR="00DF52DE" w:rsidRPr="00DA16E9" w:rsidRDefault="00DF52DE" w:rsidP="00DF52DE"/>
        </w:tc>
      </w:tr>
      <w:tr w:rsidR="00020552" w14:paraId="0097F8C4" w14:textId="77777777" w:rsidTr="00540031">
        <w:tc>
          <w:tcPr>
            <w:tcW w:w="988" w:type="dxa"/>
          </w:tcPr>
          <w:p w14:paraId="6401FE45" w14:textId="1F811E60" w:rsidR="00DF52DE" w:rsidRDefault="008B3D87" w:rsidP="00DF52DE">
            <w:r>
              <w:t>6</w:t>
            </w:r>
          </w:p>
        </w:tc>
        <w:tc>
          <w:tcPr>
            <w:tcW w:w="1272" w:type="dxa"/>
          </w:tcPr>
          <w:p w14:paraId="361D79E1" w14:textId="2F36E908" w:rsidR="00DF52DE" w:rsidRPr="00240944" w:rsidRDefault="00077AA9" w:rsidP="00DF52DE">
            <w:r>
              <w:t>4.13</w:t>
            </w:r>
          </w:p>
        </w:tc>
        <w:tc>
          <w:tcPr>
            <w:tcW w:w="5673" w:type="dxa"/>
          </w:tcPr>
          <w:p w14:paraId="1C7339CF" w14:textId="34A965FE" w:rsidR="00DF52DE" w:rsidRPr="00842049" w:rsidRDefault="00DF52DE" w:rsidP="00DF52DE">
            <w:r w:rsidRPr="00842049">
              <w:t>Geotechnical</w:t>
            </w:r>
            <w:r w:rsidRPr="00842049">
              <w:rPr>
                <w:spacing w:val="-4"/>
              </w:rPr>
              <w:t xml:space="preserve"> </w:t>
            </w:r>
            <w:r w:rsidRPr="00842049">
              <w:t>parameters</w:t>
            </w:r>
            <w:r w:rsidRPr="00842049">
              <w:rPr>
                <w:spacing w:val="-4"/>
              </w:rPr>
              <w:t xml:space="preserve"> </w:t>
            </w:r>
            <w:r w:rsidRPr="00842049">
              <w:t>to</w:t>
            </w:r>
            <w:r w:rsidRPr="00842049">
              <w:rPr>
                <w:spacing w:val="-4"/>
              </w:rPr>
              <w:t xml:space="preserve"> </w:t>
            </w:r>
            <w:r w:rsidRPr="00842049">
              <w:t>be</w:t>
            </w:r>
            <w:r w:rsidRPr="00842049">
              <w:rPr>
                <w:spacing w:val="-4"/>
              </w:rPr>
              <w:t xml:space="preserve"> </w:t>
            </w:r>
            <w:r w:rsidRPr="00842049">
              <w:t>reviewed</w:t>
            </w:r>
            <w:r w:rsidRPr="00842049">
              <w:rPr>
                <w:spacing w:val="-8"/>
              </w:rPr>
              <w:t xml:space="preserve"> </w:t>
            </w:r>
            <w:r w:rsidRPr="00842049">
              <w:t>in</w:t>
            </w:r>
            <w:r w:rsidRPr="00842049">
              <w:rPr>
                <w:spacing w:val="-4"/>
              </w:rPr>
              <w:t xml:space="preserve"> </w:t>
            </w:r>
            <w:r w:rsidRPr="00842049">
              <w:t>line</w:t>
            </w:r>
            <w:r w:rsidRPr="00842049">
              <w:rPr>
                <w:spacing w:val="-4"/>
              </w:rPr>
              <w:t xml:space="preserve"> </w:t>
            </w:r>
            <w:r w:rsidRPr="00842049">
              <w:t>with</w:t>
            </w:r>
            <w:r w:rsidRPr="00842049">
              <w:rPr>
                <w:spacing w:val="-4"/>
              </w:rPr>
              <w:t xml:space="preserve"> </w:t>
            </w:r>
            <w:r w:rsidRPr="00842049">
              <w:t>the</w:t>
            </w:r>
            <w:r w:rsidRPr="00842049">
              <w:rPr>
                <w:spacing w:val="-4"/>
              </w:rPr>
              <w:t xml:space="preserve"> </w:t>
            </w:r>
            <w:r w:rsidRPr="00842049">
              <w:t>comments made in Section 4.</w:t>
            </w:r>
          </w:p>
        </w:tc>
        <w:tc>
          <w:tcPr>
            <w:tcW w:w="6946" w:type="dxa"/>
          </w:tcPr>
          <w:p w14:paraId="316DEDDD" w14:textId="77777777" w:rsidR="00DF52DE" w:rsidRDefault="002E1725" w:rsidP="00DF52DE">
            <w:proofErr w:type="spellStart"/>
            <w:r>
              <w:t>Ka</w:t>
            </w:r>
            <w:proofErr w:type="spellEnd"/>
            <w:r>
              <w:t xml:space="preserve"> 0.46 and </w:t>
            </w:r>
            <w:proofErr w:type="spellStart"/>
            <w:r>
              <w:t>kp</w:t>
            </w:r>
            <w:proofErr w:type="spellEnd"/>
            <w:r>
              <w:t xml:space="preserve"> 2.3 in MGC BIA </w:t>
            </w:r>
            <w:r w:rsidR="00E85C15">
              <w:t>No other change</w:t>
            </w:r>
            <w:r w:rsidR="00A7284A">
              <w:t>s</w:t>
            </w:r>
            <w:r w:rsidR="00E85C15">
              <w:t xml:space="preserve"> are proposed</w:t>
            </w:r>
          </w:p>
          <w:p w14:paraId="643B0971" w14:textId="77777777" w:rsidR="004B7A79" w:rsidRDefault="004B7A79" w:rsidP="00DF52DE"/>
          <w:p w14:paraId="612E044C" w14:textId="787587E6" w:rsidR="004B7A79" w:rsidRDefault="004B7A79" w:rsidP="00DF52DE">
            <w:r w:rsidRPr="006D6B1D">
              <w:t>Croft</w:t>
            </w:r>
            <w:r w:rsidR="008A0AB9" w:rsidRPr="006D6B1D">
              <w:t xml:space="preserve"> BIA</w:t>
            </w:r>
            <w:r w:rsidRPr="006D6B1D">
              <w:t xml:space="preserve"> updated to reflect values noted in MGC BIA</w:t>
            </w:r>
          </w:p>
          <w:p w14:paraId="685ADB32" w14:textId="16FFB18E" w:rsidR="004B7A79" w:rsidRDefault="004B7A79" w:rsidP="00DF52DE"/>
        </w:tc>
      </w:tr>
      <w:tr w:rsidR="00020552" w14:paraId="57887C2E" w14:textId="77777777" w:rsidTr="00540031">
        <w:tc>
          <w:tcPr>
            <w:tcW w:w="988" w:type="dxa"/>
          </w:tcPr>
          <w:p w14:paraId="5651847E" w14:textId="377719CC" w:rsidR="00DF52DE" w:rsidRDefault="008B3D87" w:rsidP="00DF52DE">
            <w:r>
              <w:lastRenderedPageBreak/>
              <w:t>7</w:t>
            </w:r>
          </w:p>
        </w:tc>
        <w:tc>
          <w:tcPr>
            <w:tcW w:w="1272" w:type="dxa"/>
          </w:tcPr>
          <w:p w14:paraId="67DC522A" w14:textId="662911AD" w:rsidR="00DF52DE" w:rsidRPr="00240944" w:rsidRDefault="00077AA9" w:rsidP="00DF52DE">
            <w:r>
              <w:t>4.16</w:t>
            </w:r>
          </w:p>
        </w:tc>
        <w:tc>
          <w:tcPr>
            <w:tcW w:w="5673" w:type="dxa"/>
          </w:tcPr>
          <w:p w14:paraId="612F2462" w14:textId="61BAA2E7" w:rsidR="00DF52DE" w:rsidRPr="00842049" w:rsidRDefault="00DF52DE" w:rsidP="00DF52DE">
            <w:bookmarkStart w:id="3" w:name="_Hlk178685693"/>
            <w:r w:rsidRPr="00842049">
              <w:t>Comments and requests for clarification relating to the Ground Movement</w:t>
            </w:r>
            <w:r w:rsidRPr="00842049">
              <w:rPr>
                <w:spacing w:val="-3"/>
              </w:rPr>
              <w:t xml:space="preserve"> </w:t>
            </w:r>
            <w:r w:rsidRPr="00842049">
              <w:t>Assessment</w:t>
            </w:r>
            <w:r w:rsidRPr="00842049">
              <w:rPr>
                <w:spacing w:val="-3"/>
              </w:rPr>
              <w:t xml:space="preserve"> </w:t>
            </w:r>
            <w:r w:rsidRPr="00842049">
              <w:t>have</w:t>
            </w:r>
            <w:r w:rsidRPr="00842049">
              <w:rPr>
                <w:spacing w:val="-3"/>
              </w:rPr>
              <w:t xml:space="preserve"> </w:t>
            </w:r>
            <w:r w:rsidRPr="00842049">
              <w:t>been</w:t>
            </w:r>
            <w:r w:rsidRPr="00842049">
              <w:rPr>
                <w:spacing w:val="-3"/>
              </w:rPr>
              <w:t xml:space="preserve"> </w:t>
            </w:r>
            <w:r w:rsidRPr="00842049">
              <w:t>discussed</w:t>
            </w:r>
            <w:r w:rsidRPr="00842049">
              <w:rPr>
                <w:spacing w:val="-8"/>
              </w:rPr>
              <w:t xml:space="preserve"> </w:t>
            </w:r>
            <w:r w:rsidRPr="00842049">
              <w:t>in</w:t>
            </w:r>
            <w:r w:rsidRPr="00842049">
              <w:rPr>
                <w:spacing w:val="-3"/>
              </w:rPr>
              <w:t xml:space="preserve"> </w:t>
            </w:r>
            <w:r w:rsidRPr="00842049">
              <w:t>Section</w:t>
            </w:r>
            <w:r w:rsidRPr="00842049">
              <w:rPr>
                <w:spacing w:val="-8"/>
              </w:rPr>
              <w:t xml:space="preserve"> </w:t>
            </w:r>
            <w:r w:rsidRPr="00842049">
              <w:t>4</w:t>
            </w:r>
            <w:r w:rsidRPr="00842049">
              <w:rPr>
                <w:spacing w:val="-3"/>
              </w:rPr>
              <w:t xml:space="preserve"> </w:t>
            </w:r>
            <w:r w:rsidRPr="00842049">
              <w:t>and</w:t>
            </w:r>
            <w:r w:rsidRPr="00842049">
              <w:rPr>
                <w:spacing w:val="-3"/>
              </w:rPr>
              <w:t xml:space="preserve"> </w:t>
            </w:r>
            <w:r w:rsidRPr="00842049">
              <w:t>require</w:t>
            </w:r>
            <w:r w:rsidRPr="00842049">
              <w:rPr>
                <w:spacing w:val="-3"/>
              </w:rPr>
              <w:t xml:space="preserve"> </w:t>
            </w:r>
            <w:r w:rsidRPr="00842049">
              <w:t xml:space="preserve">a response. The building damage assessment may require subsequent </w:t>
            </w:r>
            <w:r w:rsidRPr="00842049">
              <w:rPr>
                <w:spacing w:val="-2"/>
              </w:rPr>
              <w:t>revision.</w:t>
            </w:r>
            <w:bookmarkEnd w:id="3"/>
          </w:p>
        </w:tc>
        <w:tc>
          <w:tcPr>
            <w:tcW w:w="6946" w:type="dxa"/>
          </w:tcPr>
          <w:p w14:paraId="59394446" w14:textId="7927CDDD" w:rsidR="00D60EB5" w:rsidRPr="00134B81" w:rsidRDefault="00D60EB5" w:rsidP="00DF52DE">
            <w:r w:rsidRPr="00134B81">
              <w:t>XDIS</w:t>
            </w:r>
            <w:r w:rsidR="00AC3B1D" w:rsidRPr="00134B81">
              <w:t>P</w:t>
            </w:r>
            <w:r w:rsidRPr="00134B81">
              <w:t xml:space="preserve"> has not been used in the assessment </w:t>
            </w:r>
          </w:p>
          <w:p w14:paraId="03F51DDE" w14:textId="7627D1DD" w:rsidR="00DF52DE" w:rsidRPr="00134B81" w:rsidRDefault="00CC56F0" w:rsidP="00DF52DE">
            <w:r w:rsidRPr="00134B81">
              <w:t xml:space="preserve">The </w:t>
            </w:r>
            <w:r w:rsidR="00BF5235" w:rsidRPr="00134B81">
              <w:t>hard layer has been increased to 10m</w:t>
            </w:r>
            <w:r w:rsidR="00D60EB5" w:rsidRPr="00134B81">
              <w:t xml:space="preserve">. The excavation </w:t>
            </w:r>
            <w:r w:rsidR="0095246A">
              <w:t xml:space="preserve">gm </w:t>
            </w:r>
            <w:r w:rsidR="00D60EB5" w:rsidRPr="00134B81">
              <w:t xml:space="preserve">curves are based on the PDISP contours </w:t>
            </w:r>
          </w:p>
          <w:p w14:paraId="6C276423" w14:textId="7CF64B5E" w:rsidR="00E72C22" w:rsidRPr="00134B81" w:rsidRDefault="00BE00AA" w:rsidP="00DF52DE">
            <w:r w:rsidRPr="00134B81">
              <w:t xml:space="preserve">The ground movement is a summation of different </w:t>
            </w:r>
            <w:r w:rsidR="0014005F" w:rsidRPr="00134B81">
              <w:t>forces. There is both heave and settlement</w:t>
            </w:r>
            <w:r w:rsidR="00E071DD" w:rsidRPr="00134B81">
              <w:t xml:space="preserve"> and based on the input parameters from the</w:t>
            </w:r>
            <w:r w:rsidR="00603EC1" w:rsidRPr="00134B81">
              <w:t xml:space="preserve"> </w:t>
            </w:r>
            <w:r w:rsidR="00D35F06" w:rsidRPr="00134B81">
              <w:t>ground</w:t>
            </w:r>
            <w:r w:rsidR="00603EC1" w:rsidRPr="00134B81">
              <w:t xml:space="preserve"> model and loads</w:t>
            </w:r>
            <w:r w:rsidR="00C108F7">
              <w:t xml:space="preserve">. </w:t>
            </w:r>
            <w:r w:rsidR="005625C6">
              <w:t>The inputs from soil removal and loads are included in</w:t>
            </w:r>
            <w:r w:rsidR="00485CA8">
              <w:t xml:space="preserve"> the PDSIP analysis for the drained analysis</w:t>
            </w:r>
            <w:r w:rsidR="009508BE">
              <w:t xml:space="preserve"> </w:t>
            </w:r>
            <w:r w:rsidR="00603EC1" w:rsidRPr="00134B81">
              <w:t xml:space="preserve"> </w:t>
            </w:r>
          </w:p>
          <w:p w14:paraId="56A7183F" w14:textId="77777777" w:rsidR="00D35F06" w:rsidRPr="00134B81" w:rsidRDefault="00603EC1" w:rsidP="00DF52DE">
            <w:r w:rsidRPr="00134B81">
              <w:t xml:space="preserve">PDISP </w:t>
            </w:r>
            <w:r w:rsidR="00D35F06" w:rsidRPr="00134B81">
              <w:t>input and output now provided</w:t>
            </w:r>
          </w:p>
          <w:p w14:paraId="2D0E6D7F" w14:textId="527D89F7" w:rsidR="00603EC1" w:rsidRDefault="007524BC" w:rsidP="00DF52DE">
            <w:r w:rsidRPr="00134B81">
              <w:t xml:space="preserve">The cross sections </w:t>
            </w:r>
            <w:r w:rsidR="0056170A" w:rsidRPr="00134B81">
              <w:t xml:space="preserve">already </w:t>
            </w:r>
            <w:r w:rsidRPr="00134B81">
              <w:t>show ground movements for adjacent buildings</w:t>
            </w:r>
            <w:r w:rsidR="0056170A" w:rsidRPr="00134B81">
              <w:t xml:space="preserve">. </w:t>
            </w:r>
            <w:r w:rsidR="006C0B65">
              <w:t xml:space="preserve">Plan view </w:t>
            </w:r>
            <w:r w:rsidR="0056170A" w:rsidRPr="00134B81">
              <w:t xml:space="preserve">Figures </w:t>
            </w:r>
            <w:r w:rsidR="00AB731F" w:rsidRPr="00134B81">
              <w:t xml:space="preserve">6.1 and 6.2 in MGC BIA have been annotated </w:t>
            </w:r>
            <w:proofErr w:type="gramStart"/>
            <w:r w:rsidR="00AB731F" w:rsidRPr="00134B81">
              <w:t xml:space="preserve">to </w:t>
            </w:r>
            <w:r w:rsidRPr="00134B81">
              <w:t xml:space="preserve"> </w:t>
            </w:r>
            <w:r w:rsidR="00AB731F" w:rsidRPr="00134B81">
              <w:t>show</w:t>
            </w:r>
            <w:proofErr w:type="gramEnd"/>
            <w:r w:rsidR="00AB731F" w:rsidRPr="00134B81">
              <w:t xml:space="preserve"> this as well</w:t>
            </w:r>
            <w:r w:rsidR="00134B81" w:rsidRPr="00134B81">
              <w:t>.</w:t>
            </w:r>
          </w:p>
          <w:p w14:paraId="189F82AD" w14:textId="7F1DCE8A" w:rsidR="00700ADA" w:rsidRPr="003B16F0" w:rsidRDefault="003B16F0" w:rsidP="00DF52DE">
            <w:r w:rsidRPr="003B16F0">
              <w:t>The loads provided by the structural engineer are included in the GMA</w:t>
            </w:r>
          </w:p>
          <w:p w14:paraId="0516D225" w14:textId="5D275458" w:rsidR="008A0AB9" w:rsidRPr="00972236" w:rsidRDefault="008A0AB9" w:rsidP="00DF52DE">
            <w:pPr>
              <w:rPr>
                <w:i/>
                <w:iCs/>
              </w:rPr>
            </w:pPr>
          </w:p>
        </w:tc>
      </w:tr>
      <w:tr w:rsidR="00020552" w14:paraId="42667D14" w14:textId="77777777" w:rsidTr="00540031">
        <w:trPr>
          <w:trHeight w:val="841"/>
        </w:trPr>
        <w:tc>
          <w:tcPr>
            <w:tcW w:w="988" w:type="dxa"/>
          </w:tcPr>
          <w:p w14:paraId="76BEEAC0" w14:textId="6F25878A" w:rsidR="00DF52DE" w:rsidRDefault="008B3D87" w:rsidP="00DF52DE">
            <w:r>
              <w:t>8</w:t>
            </w:r>
          </w:p>
        </w:tc>
        <w:tc>
          <w:tcPr>
            <w:tcW w:w="1272" w:type="dxa"/>
          </w:tcPr>
          <w:p w14:paraId="2DE382E8" w14:textId="0BDF1A72" w:rsidR="00DF52DE" w:rsidRPr="00240944" w:rsidRDefault="00077AA9" w:rsidP="00DF52DE">
            <w:r>
              <w:t>4.17</w:t>
            </w:r>
          </w:p>
        </w:tc>
        <w:tc>
          <w:tcPr>
            <w:tcW w:w="5673" w:type="dxa"/>
          </w:tcPr>
          <w:p w14:paraId="2EDB4350" w14:textId="50086BC2" w:rsidR="00DF52DE" w:rsidRPr="00842049" w:rsidRDefault="00DF52DE" w:rsidP="00DF52DE">
            <w:r w:rsidRPr="00842049">
              <w:t>Further</w:t>
            </w:r>
            <w:r w:rsidRPr="00842049">
              <w:rPr>
                <w:spacing w:val="-4"/>
              </w:rPr>
              <w:t xml:space="preserve"> </w:t>
            </w:r>
            <w:r w:rsidRPr="00842049">
              <w:t>consideration</w:t>
            </w:r>
            <w:r w:rsidRPr="00842049">
              <w:rPr>
                <w:spacing w:val="-7"/>
              </w:rPr>
              <w:t xml:space="preserve"> </w:t>
            </w:r>
            <w:r w:rsidRPr="00842049">
              <w:t>of</w:t>
            </w:r>
            <w:r w:rsidRPr="00842049">
              <w:rPr>
                <w:spacing w:val="-4"/>
              </w:rPr>
              <w:t xml:space="preserve"> </w:t>
            </w:r>
            <w:r w:rsidRPr="00842049">
              <w:t>the</w:t>
            </w:r>
            <w:r w:rsidRPr="00842049">
              <w:rPr>
                <w:spacing w:val="-4"/>
              </w:rPr>
              <w:t xml:space="preserve"> </w:t>
            </w:r>
            <w:r w:rsidRPr="00842049">
              <w:t>movement</w:t>
            </w:r>
            <w:r w:rsidRPr="00842049">
              <w:rPr>
                <w:spacing w:val="-4"/>
              </w:rPr>
              <w:t xml:space="preserve"> </w:t>
            </w:r>
            <w:r w:rsidRPr="00842049">
              <w:t>monitoring</w:t>
            </w:r>
            <w:r w:rsidRPr="00842049">
              <w:rPr>
                <w:spacing w:val="-4"/>
              </w:rPr>
              <w:t xml:space="preserve"> </w:t>
            </w:r>
            <w:r w:rsidRPr="00842049">
              <w:t>trigger</w:t>
            </w:r>
            <w:r w:rsidRPr="00842049">
              <w:rPr>
                <w:spacing w:val="-4"/>
              </w:rPr>
              <w:t xml:space="preserve"> </w:t>
            </w:r>
            <w:r w:rsidRPr="00842049">
              <w:t>level</w:t>
            </w:r>
            <w:r w:rsidRPr="00842049">
              <w:rPr>
                <w:spacing w:val="-4"/>
              </w:rPr>
              <w:t xml:space="preserve"> </w:t>
            </w:r>
            <w:r w:rsidRPr="00842049">
              <w:t>values</w:t>
            </w:r>
            <w:r w:rsidRPr="00842049">
              <w:rPr>
                <w:spacing w:val="-8"/>
              </w:rPr>
              <w:t xml:space="preserve"> </w:t>
            </w:r>
            <w:r w:rsidRPr="00842049">
              <w:t>is requested following review of the Ground Movement Assessment.</w:t>
            </w:r>
          </w:p>
        </w:tc>
        <w:tc>
          <w:tcPr>
            <w:tcW w:w="6946" w:type="dxa"/>
          </w:tcPr>
          <w:p w14:paraId="476D2D0F" w14:textId="19395EE6" w:rsidR="00DF52DE" w:rsidRDefault="008E004E" w:rsidP="00DF52DE">
            <w:r>
              <w:t>A revision for the movement monitoring was carried out to</w:t>
            </w:r>
            <w:r w:rsidR="000E2E2A" w:rsidRPr="008E004E">
              <w:t xml:space="preserve"> increase the depth to the hard layer</w:t>
            </w:r>
            <w:r>
              <w:t xml:space="preserve"> with</w:t>
            </w:r>
            <w:r w:rsidR="000E2E2A" w:rsidRPr="008E004E">
              <w:t>in the London Clay</w:t>
            </w:r>
            <w:r>
              <w:t>. The trigger levels were reviewed according to the updated ground movement results and</w:t>
            </w:r>
            <w:r w:rsidR="00FB3346">
              <w:t xml:space="preserve"> no</w:t>
            </w:r>
            <w:r>
              <w:t xml:space="preserve"> revisions were requested</w:t>
            </w:r>
            <w:r w:rsidR="00FB3346">
              <w:t xml:space="preserve"> as trigger levels are tighter than suggested movement recorded</w:t>
            </w:r>
            <w:r>
              <w:t xml:space="preserve">. </w:t>
            </w:r>
          </w:p>
        </w:tc>
      </w:tr>
    </w:tbl>
    <w:p w14:paraId="0CF76510" w14:textId="77777777" w:rsidR="00CA6BC7" w:rsidRDefault="00CA6BC7"/>
    <w:sectPr w:rsidR="00CA6BC7" w:rsidSect="00613BD7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77543" w14:textId="77777777" w:rsidR="00A6564E" w:rsidRDefault="00A6564E" w:rsidP="00CB19AC">
      <w:pPr>
        <w:spacing w:after="0" w:line="240" w:lineRule="auto"/>
      </w:pPr>
      <w:r>
        <w:separator/>
      </w:r>
    </w:p>
  </w:endnote>
  <w:endnote w:type="continuationSeparator" w:id="0">
    <w:p w14:paraId="73349F4E" w14:textId="77777777" w:rsidR="00A6564E" w:rsidRDefault="00A6564E" w:rsidP="00CB1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42081" w14:textId="6991F07E" w:rsidR="0030107D" w:rsidRDefault="003E2529" w:rsidP="0030107D">
    <w:pPr>
      <w:pStyle w:val="Footer"/>
    </w:pPr>
    <w:r>
      <w:fldChar w:fldCharType="begin"/>
    </w:r>
    <w:r>
      <w:instrText xml:space="preserve"> FILENAME  </w:instrText>
    </w:r>
    <w:r>
      <w:fldChar w:fldCharType="separate"/>
    </w:r>
    <w:r w:rsidR="0030107D">
      <w:rPr>
        <w:noProof/>
      </w:rPr>
      <w:t>MGC-1</w:t>
    </w:r>
    <w:r w:rsidR="00A00338">
      <w:rPr>
        <w:noProof/>
      </w:rPr>
      <w:t>13</w:t>
    </w:r>
    <w:r w:rsidR="0030107D">
      <w:rPr>
        <w:noProof/>
      </w:rPr>
      <w:t>-BIA-V3</w:t>
    </w:r>
    <w:r>
      <w:rPr>
        <w:noProof/>
      </w:rPr>
      <w:fldChar w:fldCharType="end"/>
    </w:r>
    <w:r w:rsidR="0030107D">
      <w:rPr>
        <w:noProof/>
      </w:rPr>
      <w:t xml:space="preserve"> </w:t>
    </w:r>
    <w:r w:rsidR="0030107D">
      <w:rPr>
        <w:noProof/>
      </w:rPr>
      <w:tab/>
    </w:r>
    <w:bookmarkStart w:id="4" w:name="_Hlk500428339"/>
    <w:bookmarkStart w:id="5" w:name="_Hlk500428340"/>
    <w:bookmarkStart w:id="6" w:name="_Hlk500428341"/>
    <w:bookmarkStart w:id="7" w:name="_Hlk500428342"/>
    <w:r w:rsidR="0030107D">
      <w:rPr>
        <w:noProof/>
      </w:rPr>
      <w:tab/>
    </w:r>
    <w:r w:rsidR="0030107D">
      <w:rPr>
        <w:noProof/>
      </w:rPr>
      <w:tab/>
    </w:r>
    <w:r w:rsidR="0030107D">
      <w:rPr>
        <w:noProof/>
      </w:rPr>
      <w:tab/>
    </w:r>
    <w:r w:rsidR="0030107D">
      <w:t xml:space="preserve">© </w:t>
    </w:r>
    <w:proofErr w:type="spellStart"/>
    <w:r w:rsidR="0030107D">
      <w:t>Maund</w:t>
    </w:r>
    <w:proofErr w:type="spellEnd"/>
    <w:r w:rsidR="0030107D">
      <w:t xml:space="preserve"> Geo-Consulting </w:t>
    </w:r>
    <w:r w:rsidR="0030107D">
      <w:fldChar w:fldCharType="begin"/>
    </w:r>
    <w:r w:rsidR="0030107D">
      <w:instrText xml:space="preserve"> DATE \@ "yyyy"  \* MERGEFORMAT </w:instrText>
    </w:r>
    <w:r w:rsidR="0030107D">
      <w:fldChar w:fldCharType="separate"/>
    </w:r>
    <w:r>
      <w:rPr>
        <w:noProof/>
      </w:rPr>
      <w:t>2024</w:t>
    </w:r>
    <w:r w:rsidR="0030107D">
      <w:rPr>
        <w:noProof/>
      </w:rPr>
      <w:fldChar w:fldCharType="end"/>
    </w:r>
    <w:bookmarkEnd w:id="4"/>
    <w:bookmarkEnd w:id="5"/>
    <w:bookmarkEnd w:id="6"/>
    <w:bookmarkEnd w:id="7"/>
  </w:p>
  <w:p w14:paraId="2FF088CC" w14:textId="77777777" w:rsidR="0030107D" w:rsidRDefault="003010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DF190" w14:textId="77777777" w:rsidR="00A6564E" w:rsidRDefault="00A6564E" w:rsidP="00CB19AC">
      <w:pPr>
        <w:spacing w:after="0" w:line="240" w:lineRule="auto"/>
      </w:pPr>
      <w:r>
        <w:separator/>
      </w:r>
    </w:p>
  </w:footnote>
  <w:footnote w:type="continuationSeparator" w:id="0">
    <w:p w14:paraId="357E86F0" w14:textId="77777777" w:rsidR="00A6564E" w:rsidRDefault="00A6564E" w:rsidP="00CB1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531EE" w14:textId="452BF90B" w:rsidR="00CB19AC" w:rsidRDefault="00DE6306">
    <w:pPr>
      <w:pStyle w:val="Header"/>
    </w:pPr>
    <w:r>
      <w:rPr>
        <w:noProof/>
        <w:lang w:eastAsia="en-GB"/>
      </w:rPr>
      <w:drawing>
        <wp:inline distT="0" distB="0" distL="0" distR="0" wp14:anchorId="42FDFCDA" wp14:editId="24DA1994">
          <wp:extent cx="1959610" cy="314960"/>
          <wp:effectExtent l="0" t="0" r="0" b="0"/>
          <wp:docPr id="17" name="Picture 7" descr="A grey rectangular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7" descr="A grey rectangular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76BE1C" w14:textId="77777777" w:rsidR="00DE6306" w:rsidRDefault="00DE6306">
    <w:pPr>
      <w:pStyle w:val="Header"/>
    </w:pPr>
  </w:p>
  <w:p w14:paraId="21BA0C45" w14:textId="327662BF" w:rsidR="00DE6306" w:rsidRDefault="00622DBE">
    <w:pPr>
      <w:pStyle w:val="Header"/>
    </w:pPr>
    <w:r>
      <w:t xml:space="preserve">30 Grove Place </w:t>
    </w:r>
    <w:r w:rsidR="00220AAD">
      <w:t>NW3 1JS</w:t>
    </w:r>
    <w:r w:rsidR="00DE6306">
      <w:t xml:space="preserve"> </w:t>
    </w:r>
    <w:r w:rsidR="00683759">
      <w:tab/>
    </w:r>
    <w:r w:rsidR="00683759">
      <w:tab/>
      <w:t>Basement Impact Assessment</w:t>
    </w:r>
    <w:r w:rsidR="006E2F8D">
      <w:t xml:space="preserve"> </w:t>
    </w:r>
    <w:r w:rsidR="0086373D">
      <w:tab/>
    </w:r>
    <w:r w:rsidR="0086373D">
      <w:tab/>
    </w:r>
    <w:r w:rsidR="0086373D">
      <w:tab/>
    </w:r>
    <w:r w:rsidR="0086373D">
      <w:tab/>
    </w:r>
    <w:r w:rsidR="00EE6F1C">
      <w:t>02/10</w:t>
    </w:r>
    <w:r w:rsidR="00220AAD"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64F"/>
    <w:multiLevelType w:val="multilevel"/>
    <w:tmpl w:val="18DE42BE"/>
    <w:lvl w:ilvl="0">
      <w:start w:val="3"/>
      <w:numFmt w:val="decimal"/>
      <w:lvlText w:val="%1.0"/>
      <w:lvlJc w:val="left"/>
      <w:pPr>
        <w:ind w:left="965" w:hanging="850"/>
      </w:pPr>
      <w:rPr>
        <w:rFonts w:ascii="Tahoma" w:eastAsia="Tahoma" w:hAnsi="Tahoma" w:cs="Tahoma" w:hint="default"/>
        <w:b/>
        <w:bCs/>
        <w:i w:val="0"/>
        <w:iCs w:val="0"/>
        <w:color w:val="008DA8"/>
        <w:spacing w:val="-2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5" w:hanging="850"/>
      </w:pPr>
      <w:rPr>
        <w:rFonts w:ascii="Tahoma" w:eastAsia="Tahoma" w:hAnsi="Tahoma" w:cs="Tahoma" w:hint="default"/>
        <w:b w:val="0"/>
        <w:bCs w:val="0"/>
        <w:i w:val="0"/>
        <w:iCs w:val="0"/>
        <w:color w:val="008DA8"/>
        <w:spacing w:val="0"/>
        <w:w w:val="100"/>
        <w:sz w:val="20"/>
        <w:szCs w:val="20"/>
        <w:lang w:val="en-US" w:eastAsia="en-US" w:bidi="ar-SA"/>
      </w:rPr>
    </w:lvl>
    <w:lvl w:ilvl="2">
      <w:numFmt w:val="bullet"/>
      <w:lvlText w:val=""/>
      <w:lvlJc w:val="left"/>
      <w:pPr>
        <w:ind w:left="1532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8DA8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265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28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0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5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16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78" w:hanging="56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44"/>
    <w:rsid w:val="00006676"/>
    <w:rsid w:val="00006A02"/>
    <w:rsid w:val="0001513C"/>
    <w:rsid w:val="00020552"/>
    <w:rsid w:val="00020C61"/>
    <w:rsid w:val="00037203"/>
    <w:rsid w:val="00041277"/>
    <w:rsid w:val="00070207"/>
    <w:rsid w:val="00071C75"/>
    <w:rsid w:val="000766D3"/>
    <w:rsid w:val="00077AA9"/>
    <w:rsid w:val="00091D55"/>
    <w:rsid w:val="000A1375"/>
    <w:rsid w:val="000A6979"/>
    <w:rsid w:val="000E2E2A"/>
    <w:rsid w:val="00103BD4"/>
    <w:rsid w:val="001060B7"/>
    <w:rsid w:val="00106EF9"/>
    <w:rsid w:val="00111F6F"/>
    <w:rsid w:val="00134B81"/>
    <w:rsid w:val="0014005F"/>
    <w:rsid w:val="00145C43"/>
    <w:rsid w:val="00146379"/>
    <w:rsid w:val="001539BA"/>
    <w:rsid w:val="001543BA"/>
    <w:rsid w:val="0016616B"/>
    <w:rsid w:val="0016750D"/>
    <w:rsid w:val="001A7972"/>
    <w:rsid w:val="001B0966"/>
    <w:rsid w:val="001C1F0D"/>
    <w:rsid w:val="001D3E32"/>
    <w:rsid w:val="001D5BD7"/>
    <w:rsid w:val="001E6D7A"/>
    <w:rsid w:val="00203BA8"/>
    <w:rsid w:val="00220AAD"/>
    <w:rsid w:val="00223D93"/>
    <w:rsid w:val="00237B23"/>
    <w:rsid w:val="00240370"/>
    <w:rsid w:val="00240944"/>
    <w:rsid w:val="002516F3"/>
    <w:rsid w:val="002A4055"/>
    <w:rsid w:val="002E1725"/>
    <w:rsid w:val="0030107D"/>
    <w:rsid w:val="003301A6"/>
    <w:rsid w:val="003564EE"/>
    <w:rsid w:val="00373711"/>
    <w:rsid w:val="00392542"/>
    <w:rsid w:val="003932D4"/>
    <w:rsid w:val="003B16F0"/>
    <w:rsid w:val="003B498D"/>
    <w:rsid w:val="003E2529"/>
    <w:rsid w:val="003E4383"/>
    <w:rsid w:val="00443EF0"/>
    <w:rsid w:val="00474195"/>
    <w:rsid w:val="00485CA8"/>
    <w:rsid w:val="004B5F4B"/>
    <w:rsid w:val="004B6F5F"/>
    <w:rsid w:val="004B7A79"/>
    <w:rsid w:val="004D5C6E"/>
    <w:rsid w:val="004D6C11"/>
    <w:rsid w:val="004F6DA5"/>
    <w:rsid w:val="0053054B"/>
    <w:rsid w:val="00540031"/>
    <w:rsid w:val="0054586A"/>
    <w:rsid w:val="00552980"/>
    <w:rsid w:val="0056170A"/>
    <w:rsid w:val="005625C6"/>
    <w:rsid w:val="00564DF4"/>
    <w:rsid w:val="005668F8"/>
    <w:rsid w:val="0057750E"/>
    <w:rsid w:val="00587745"/>
    <w:rsid w:val="005931AB"/>
    <w:rsid w:val="00595039"/>
    <w:rsid w:val="005C3DAF"/>
    <w:rsid w:val="005D7C7E"/>
    <w:rsid w:val="00603EC1"/>
    <w:rsid w:val="00610CFE"/>
    <w:rsid w:val="00613BD7"/>
    <w:rsid w:val="00622DBE"/>
    <w:rsid w:val="00631B32"/>
    <w:rsid w:val="00635206"/>
    <w:rsid w:val="00636952"/>
    <w:rsid w:val="00652981"/>
    <w:rsid w:val="00656A1C"/>
    <w:rsid w:val="00661D06"/>
    <w:rsid w:val="00683759"/>
    <w:rsid w:val="006B2723"/>
    <w:rsid w:val="006B30B6"/>
    <w:rsid w:val="006B3DD0"/>
    <w:rsid w:val="006B47AE"/>
    <w:rsid w:val="006C0B65"/>
    <w:rsid w:val="006D1035"/>
    <w:rsid w:val="006D6B1D"/>
    <w:rsid w:val="006E2F8D"/>
    <w:rsid w:val="006E7A88"/>
    <w:rsid w:val="006F0F60"/>
    <w:rsid w:val="00700ADA"/>
    <w:rsid w:val="00700F22"/>
    <w:rsid w:val="00710FFD"/>
    <w:rsid w:val="00721A24"/>
    <w:rsid w:val="00732F6A"/>
    <w:rsid w:val="00737EAE"/>
    <w:rsid w:val="0074613C"/>
    <w:rsid w:val="007524BC"/>
    <w:rsid w:val="007537AA"/>
    <w:rsid w:val="00762E66"/>
    <w:rsid w:val="00762F8F"/>
    <w:rsid w:val="007633F7"/>
    <w:rsid w:val="00763983"/>
    <w:rsid w:val="00764C25"/>
    <w:rsid w:val="00772559"/>
    <w:rsid w:val="00785A6C"/>
    <w:rsid w:val="0078653E"/>
    <w:rsid w:val="007A0DEE"/>
    <w:rsid w:val="007A694C"/>
    <w:rsid w:val="007C2B31"/>
    <w:rsid w:val="007C626B"/>
    <w:rsid w:val="007D6B13"/>
    <w:rsid w:val="00803CB3"/>
    <w:rsid w:val="00807E9A"/>
    <w:rsid w:val="0082611E"/>
    <w:rsid w:val="00827C2D"/>
    <w:rsid w:val="00842049"/>
    <w:rsid w:val="0086373D"/>
    <w:rsid w:val="008665C4"/>
    <w:rsid w:val="008A0AB9"/>
    <w:rsid w:val="008A4E0C"/>
    <w:rsid w:val="008B3D87"/>
    <w:rsid w:val="008E004E"/>
    <w:rsid w:val="008F22B7"/>
    <w:rsid w:val="009156EE"/>
    <w:rsid w:val="0092377A"/>
    <w:rsid w:val="00924D9E"/>
    <w:rsid w:val="00927D7D"/>
    <w:rsid w:val="00932779"/>
    <w:rsid w:val="009508BE"/>
    <w:rsid w:val="0095246A"/>
    <w:rsid w:val="0095262B"/>
    <w:rsid w:val="009616D7"/>
    <w:rsid w:val="009651B5"/>
    <w:rsid w:val="00972236"/>
    <w:rsid w:val="009B0457"/>
    <w:rsid w:val="009B0FDE"/>
    <w:rsid w:val="009B2175"/>
    <w:rsid w:val="009C224A"/>
    <w:rsid w:val="009C73B9"/>
    <w:rsid w:val="009F508A"/>
    <w:rsid w:val="00A00338"/>
    <w:rsid w:val="00A269D1"/>
    <w:rsid w:val="00A30AA4"/>
    <w:rsid w:val="00A52F93"/>
    <w:rsid w:val="00A54E60"/>
    <w:rsid w:val="00A63A3E"/>
    <w:rsid w:val="00A6564E"/>
    <w:rsid w:val="00A71223"/>
    <w:rsid w:val="00A7284A"/>
    <w:rsid w:val="00A82888"/>
    <w:rsid w:val="00A913E4"/>
    <w:rsid w:val="00AB3F85"/>
    <w:rsid w:val="00AB6D0E"/>
    <w:rsid w:val="00AB731F"/>
    <w:rsid w:val="00AC0525"/>
    <w:rsid w:val="00AC3B1D"/>
    <w:rsid w:val="00B012CB"/>
    <w:rsid w:val="00B13C55"/>
    <w:rsid w:val="00B320AA"/>
    <w:rsid w:val="00B407A3"/>
    <w:rsid w:val="00B54278"/>
    <w:rsid w:val="00B544E2"/>
    <w:rsid w:val="00B57A92"/>
    <w:rsid w:val="00B83B89"/>
    <w:rsid w:val="00B90B3B"/>
    <w:rsid w:val="00BA0DCA"/>
    <w:rsid w:val="00BA213B"/>
    <w:rsid w:val="00BA69D9"/>
    <w:rsid w:val="00BD0CEE"/>
    <w:rsid w:val="00BE00AA"/>
    <w:rsid w:val="00BF3CE5"/>
    <w:rsid w:val="00BF5235"/>
    <w:rsid w:val="00C011D7"/>
    <w:rsid w:val="00C03412"/>
    <w:rsid w:val="00C108F7"/>
    <w:rsid w:val="00C27927"/>
    <w:rsid w:val="00C331BD"/>
    <w:rsid w:val="00C37260"/>
    <w:rsid w:val="00C55D80"/>
    <w:rsid w:val="00C7633D"/>
    <w:rsid w:val="00CA048E"/>
    <w:rsid w:val="00CA6BC7"/>
    <w:rsid w:val="00CB19AC"/>
    <w:rsid w:val="00CC56F0"/>
    <w:rsid w:val="00CD26B3"/>
    <w:rsid w:val="00CD2D10"/>
    <w:rsid w:val="00CD558E"/>
    <w:rsid w:val="00CD76FA"/>
    <w:rsid w:val="00CE27B0"/>
    <w:rsid w:val="00CF310F"/>
    <w:rsid w:val="00CF4961"/>
    <w:rsid w:val="00D00594"/>
    <w:rsid w:val="00D02C7C"/>
    <w:rsid w:val="00D04097"/>
    <w:rsid w:val="00D04A47"/>
    <w:rsid w:val="00D160E5"/>
    <w:rsid w:val="00D23962"/>
    <w:rsid w:val="00D35F06"/>
    <w:rsid w:val="00D433D6"/>
    <w:rsid w:val="00D60EB5"/>
    <w:rsid w:val="00D87E25"/>
    <w:rsid w:val="00D916EE"/>
    <w:rsid w:val="00D91740"/>
    <w:rsid w:val="00DA16E9"/>
    <w:rsid w:val="00DA280A"/>
    <w:rsid w:val="00DA475B"/>
    <w:rsid w:val="00DC0137"/>
    <w:rsid w:val="00DD026F"/>
    <w:rsid w:val="00DD2C17"/>
    <w:rsid w:val="00DE6306"/>
    <w:rsid w:val="00DF0411"/>
    <w:rsid w:val="00DF4BE9"/>
    <w:rsid w:val="00DF52DE"/>
    <w:rsid w:val="00DF6C50"/>
    <w:rsid w:val="00E071DD"/>
    <w:rsid w:val="00E15319"/>
    <w:rsid w:val="00E25623"/>
    <w:rsid w:val="00E446A6"/>
    <w:rsid w:val="00E70EEF"/>
    <w:rsid w:val="00E72C22"/>
    <w:rsid w:val="00E72F92"/>
    <w:rsid w:val="00E75171"/>
    <w:rsid w:val="00E83106"/>
    <w:rsid w:val="00E8349E"/>
    <w:rsid w:val="00E85C15"/>
    <w:rsid w:val="00E959BB"/>
    <w:rsid w:val="00EA0B84"/>
    <w:rsid w:val="00EC0112"/>
    <w:rsid w:val="00ED2963"/>
    <w:rsid w:val="00ED7EED"/>
    <w:rsid w:val="00EE6F1C"/>
    <w:rsid w:val="00F339F5"/>
    <w:rsid w:val="00F52A5F"/>
    <w:rsid w:val="00F57BBE"/>
    <w:rsid w:val="00F614D8"/>
    <w:rsid w:val="00F6368D"/>
    <w:rsid w:val="00F64D56"/>
    <w:rsid w:val="00F73D00"/>
    <w:rsid w:val="00F94397"/>
    <w:rsid w:val="00F95F80"/>
    <w:rsid w:val="00FA4B25"/>
    <w:rsid w:val="00FB3346"/>
    <w:rsid w:val="00FB483E"/>
    <w:rsid w:val="00FB5B04"/>
    <w:rsid w:val="00FC3233"/>
    <w:rsid w:val="00FD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C682F"/>
  <w15:chartTrackingRefBased/>
  <w15:docId w15:val="{995D1186-DA10-4752-BD6C-A18E8DA2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0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1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9AC"/>
  </w:style>
  <w:style w:type="paragraph" w:styleId="Footer">
    <w:name w:val="footer"/>
    <w:basedOn w:val="Normal"/>
    <w:link w:val="FooterChar"/>
    <w:uiPriority w:val="99"/>
    <w:unhideWhenUsed/>
    <w:rsid w:val="00CB1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9AC"/>
  </w:style>
  <w:style w:type="paragraph" w:styleId="ListParagraph">
    <w:name w:val="List Paragraph"/>
    <w:basedOn w:val="Normal"/>
    <w:uiPriority w:val="1"/>
    <w:qFormat/>
    <w:rsid w:val="00BD0CEE"/>
    <w:pPr>
      <w:widowControl w:val="0"/>
      <w:autoSpaceDE w:val="0"/>
      <w:autoSpaceDN w:val="0"/>
      <w:spacing w:before="122" w:after="0" w:line="240" w:lineRule="auto"/>
      <w:ind w:left="965" w:hanging="850"/>
      <w:jc w:val="both"/>
    </w:pPr>
    <w:rPr>
      <w:rFonts w:ascii="Tahoma" w:eastAsia="Tahoma" w:hAnsi="Tahoma" w:cs="Tahom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6DC44B4FA6E488868BBDAB0E842B2" ma:contentTypeVersion="18" ma:contentTypeDescription="Create a new document." ma:contentTypeScope="" ma:versionID="ac82c9305d6047a50cb3c8b5843eff35">
  <xsd:schema xmlns:xsd="http://www.w3.org/2001/XMLSchema" xmlns:xs="http://www.w3.org/2001/XMLSchema" xmlns:p="http://schemas.microsoft.com/office/2006/metadata/properties" xmlns:ns3="360c65b0-1cc5-427a-8427-4bd291ec2a6a" xmlns:ns4="1848a915-f24d-4e68-9840-56e7bc0b9b3f" targetNamespace="http://schemas.microsoft.com/office/2006/metadata/properties" ma:root="true" ma:fieldsID="b276d56f1c7d85a1ba044e10ee47272e" ns3:_="" ns4:_="">
    <xsd:import namespace="360c65b0-1cc5-427a-8427-4bd291ec2a6a"/>
    <xsd:import namespace="1848a915-f24d-4e68-9840-56e7bc0b9b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edWithUser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c65b0-1cc5-427a-8427-4bd291ec2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8a915-f24d-4e68-9840-56e7bc0b9b3f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0c65b0-1cc5-427a-8427-4bd291ec2a6a" xsi:nil="true"/>
  </documentManagement>
</p:properties>
</file>

<file path=customXml/itemProps1.xml><?xml version="1.0" encoding="utf-8"?>
<ds:datastoreItem xmlns:ds="http://schemas.openxmlformats.org/officeDocument/2006/customXml" ds:itemID="{10D9D594-B8CF-43A7-B296-60A2995520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91BD3C-1A8E-4706-9D20-44173D1F4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c65b0-1cc5-427a-8427-4bd291ec2a6a"/>
    <ds:schemaRef ds:uri="1848a915-f24d-4e68-9840-56e7bc0b9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3BA442-2F7B-4C0C-B1F4-F8069B562851}">
  <ds:schemaRefs>
    <ds:schemaRef ds:uri="http://schemas.openxmlformats.org/package/2006/metadata/core-properties"/>
    <ds:schemaRef ds:uri="http://schemas.microsoft.com/office/2006/documentManagement/types"/>
    <ds:schemaRef ds:uri="360c65b0-1cc5-427a-8427-4bd291ec2a6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1848a915-f24d-4e68-9840-56e7bc0b9b3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3509</Characters>
  <Application>Microsoft Office Word</Application>
  <DocSecurity>0</DocSecurity>
  <Lines>113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Maund</dc:creator>
  <cp:keywords/>
  <dc:description/>
  <cp:lastModifiedBy>John Nicholls</cp:lastModifiedBy>
  <cp:revision>2</cp:revision>
  <dcterms:created xsi:type="dcterms:W3CDTF">2024-10-14T09:16:00Z</dcterms:created>
  <dcterms:modified xsi:type="dcterms:W3CDTF">2024-10-14T09:16:00Z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0x0101000BD6DC44B4FA6E488868BBDAB0E842B2</vt:lpwstr>
  </property>
</Properties>
</file>