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2CBF5" w14:textId="0B1AF547" w:rsidR="00CD3738" w:rsidRPr="00433F7F" w:rsidRDefault="0083621E" w:rsidP="0083621E">
      <w:pPr>
        <w:jc w:val="center"/>
        <w:rPr>
          <w:b/>
          <w:bCs/>
          <w:u w:val="single"/>
          <w:lang w:val="en-US"/>
        </w:rPr>
      </w:pPr>
      <w:r w:rsidRPr="00433F7F">
        <w:rPr>
          <w:b/>
          <w:bCs/>
          <w:u w:val="single"/>
          <w:lang w:val="en-US"/>
        </w:rPr>
        <w:t>160 Malden Road – LLFA Comments &amp; Designer</w:t>
      </w:r>
      <w:r w:rsidR="009C06E6" w:rsidRPr="00433F7F">
        <w:rPr>
          <w:b/>
          <w:bCs/>
          <w:u w:val="single"/>
          <w:lang w:val="en-US"/>
        </w:rPr>
        <w:t xml:space="preserve"> (MS)</w:t>
      </w:r>
      <w:r w:rsidRPr="00433F7F">
        <w:rPr>
          <w:b/>
          <w:bCs/>
          <w:u w:val="single"/>
          <w:lang w:val="en-US"/>
        </w:rPr>
        <w:t xml:space="preserve"> Response</w:t>
      </w:r>
    </w:p>
    <w:p w14:paraId="138D7D98" w14:textId="77777777" w:rsidR="0083621E" w:rsidRDefault="0083621E" w:rsidP="0083621E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0"/>
          <w:szCs w:val="20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1. The applicant has not fully justified the non-inclusion of rainwater harvesting or provided technical justification as to why blue/green roofs or water butts cannot be incorporated.</w:t>
      </w:r>
    </w:p>
    <w:p w14:paraId="070D3FCB" w14:textId="265CDF1B" w:rsidR="00EE7917" w:rsidRDefault="00EE7917" w:rsidP="008362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15E99" w:themeColor="text2" w:themeTint="BF"/>
          <w:sz w:val="22"/>
          <w:szCs w:val="22"/>
          <w:bdr w:val="none" w:sz="0" w:space="0" w:color="auto" w:frame="1"/>
        </w:rPr>
      </w:pPr>
      <w:r w:rsidRPr="000C3223"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>Green &amp; brown roofs have already been included throughout the initial drainage strategy (BR1, GR1, GR2) on the proposed roofs of buildings</w:t>
      </w:r>
      <w:r w:rsidR="000C3223" w:rsidRPr="000C3223"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 xml:space="preserve"> across the site. Rainwater butts have also been added to the SuDS strategy.</w:t>
      </w:r>
      <w:r w:rsidR="00284F88"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 xml:space="preserve"> </w:t>
      </w:r>
      <w:r w:rsidR="00284F88" w:rsidRPr="00284F88">
        <w:rPr>
          <w:rFonts w:ascii="Calibri" w:hAnsi="Calibri" w:cs="Calibri"/>
          <w:b/>
          <w:bCs/>
          <w:color w:val="215E99" w:themeColor="text2" w:themeTint="BF"/>
          <w:sz w:val="22"/>
          <w:szCs w:val="22"/>
          <w:bdr w:val="none" w:sz="0" w:space="0" w:color="auto" w:frame="1"/>
        </w:rPr>
        <w:t>SK01A – Appendix I.</w:t>
      </w:r>
    </w:p>
    <w:p w14:paraId="12D70423" w14:textId="77777777" w:rsidR="009C06E6" w:rsidRPr="000C3223" w:rsidRDefault="009C06E6" w:rsidP="0083621E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5E99" w:themeColor="text2" w:themeTint="BF"/>
          <w:sz w:val="20"/>
          <w:szCs w:val="20"/>
        </w:rPr>
      </w:pPr>
    </w:p>
    <w:p w14:paraId="50E82E68" w14:textId="1468E692" w:rsidR="0083621E" w:rsidRDefault="0083621E" w:rsidP="008362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2. The applicant has not added the levels to the drainage drawing. </w:t>
      </w:r>
    </w:p>
    <w:p w14:paraId="2E45461C" w14:textId="696837CB" w:rsidR="000C3223" w:rsidRDefault="000C3223" w:rsidP="008362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15E99" w:themeColor="text2" w:themeTint="BF"/>
          <w:sz w:val="22"/>
          <w:szCs w:val="22"/>
          <w:bdr w:val="none" w:sz="0" w:space="0" w:color="auto" w:frame="1"/>
        </w:rPr>
      </w:pPr>
      <w:r w:rsidRPr="000C3223"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>Actioned, levels added to drainage strategy drawing.</w:t>
      </w:r>
      <w:r w:rsidR="008254EB"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 xml:space="preserve"> </w:t>
      </w:r>
      <w:r w:rsidR="00284F88" w:rsidRPr="00284F88">
        <w:rPr>
          <w:rFonts w:ascii="Calibri" w:hAnsi="Calibri" w:cs="Calibri"/>
          <w:b/>
          <w:bCs/>
          <w:color w:val="215E99" w:themeColor="text2" w:themeTint="BF"/>
          <w:sz w:val="22"/>
          <w:szCs w:val="22"/>
          <w:bdr w:val="none" w:sz="0" w:space="0" w:color="auto" w:frame="1"/>
        </w:rPr>
        <w:t>SK01A – Appendix I.</w:t>
      </w:r>
    </w:p>
    <w:p w14:paraId="206AAA8B" w14:textId="77777777" w:rsidR="009C06E6" w:rsidRPr="000C3223" w:rsidRDefault="009C06E6" w:rsidP="008362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</w:pPr>
    </w:p>
    <w:p w14:paraId="76493EB8" w14:textId="0BB42F21" w:rsidR="0083621E" w:rsidRDefault="0083621E" w:rsidP="008362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3. The applicant has not provided the thickness of the substrate that will be used for the green/brown roofs. </w:t>
      </w:r>
    </w:p>
    <w:p w14:paraId="32475069" w14:textId="27EE8B1A" w:rsidR="000C3223" w:rsidRDefault="00435473" w:rsidP="008362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15E99" w:themeColor="text2" w:themeTint="BF"/>
          <w:sz w:val="22"/>
          <w:szCs w:val="22"/>
          <w:bdr w:val="none" w:sz="0" w:space="0" w:color="auto" w:frame="1"/>
        </w:rPr>
      </w:pPr>
      <w:r w:rsidRPr="005D1664"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 xml:space="preserve">Actioned. </w:t>
      </w:r>
      <w:r w:rsidR="00284F88" w:rsidRPr="005D1664">
        <w:rPr>
          <w:rFonts w:ascii="Calibri" w:hAnsi="Calibri" w:cs="Calibri"/>
          <w:b/>
          <w:bCs/>
          <w:color w:val="215E99" w:themeColor="text2" w:themeTint="BF"/>
          <w:sz w:val="22"/>
          <w:szCs w:val="22"/>
          <w:bdr w:val="none" w:sz="0" w:space="0" w:color="auto" w:frame="1"/>
        </w:rPr>
        <w:t>Para 5.</w:t>
      </w:r>
      <w:r w:rsidRPr="005D1664">
        <w:rPr>
          <w:rFonts w:ascii="Calibri" w:hAnsi="Calibri" w:cs="Calibri"/>
          <w:b/>
          <w:bCs/>
          <w:color w:val="215E99" w:themeColor="text2" w:themeTint="BF"/>
          <w:sz w:val="22"/>
          <w:szCs w:val="22"/>
          <w:bdr w:val="none" w:sz="0" w:space="0" w:color="auto" w:frame="1"/>
        </w:rPr>
        <w:t>42</w:t>
      </w:r>
      <w:r w:rsidR="00284F88" w:rsidRPr="005D1664">
        <w:rPr>
          <w:rFonts w:ascii="Calibri" w:hAnsi="Calibri" w:cs="Calibri"/>
          <w:b/>
          <w:bCs/>
          <w:color w:val="215E99" w:themeColor="text2" w:themeTint="BF"/>
          <w:sz w:val="22"/>
          <w:szCs w:val="22"/>
          <w:bdr w:val="none" w:sz="0" w:space="0" w:color="auto" w:frame="1"/>
        </w:rPr>
        <w:t>.</w:t>
      </w:r>
    </w:p>
    <w:p w14:paraId="7B15D6D5" w14:textId="77777777" w:rsidR="009C06E6" w:rsidRPr="00284F88" w:rsidRDefault="009C06E6" w:rsidP="0083621E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b/>
          <w:bCs/>
          <w:color w:val="215E99" w:themeColor="text2" w:themeTint="BF"/>
          <w:sz w:val="20"/>
          <w:szCs w:val="20"/>
        </w:rPr>
      </w:pPr>
    </w:p>
    <w:p w14:paraId="72F80B1B" w14:textId="4EB370B3" w:rsidR="0083621E" w:rsidRDefault="0083621E" w:rsidP="008362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4. The applicant has not provided the greenfield or existing runoff rates for the 1 in 1 year rainfall event, 1 in 30 year rainfall event and 1 in 100 year rainfall event. The SuDS Proforma does not include all runoff rates. </w:t>
      </w:r>
    </w:p>
    <w:p w14:paraId="02AB0F20" w14:textId="184B21C1" w:rsidR="00084650" w:rsidRDefault="00084650" w:rsidP="008362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15E99" w:themeColor="text2" w:themeTint="BF"/>
          <w:sz w:val="22"/>
          <w:szCs w:val="22"/>
          <w:bdr w:val="none" w:sz="0" w:space="0" w:color="auto" w:frame="1"/>
        </w:rPr>
      </w:pPr>
      <w:r w:rsidRPr="00331BDE"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 xml:space="preserve">Since the </w:t>
      </w:r>
      <w:r w:rsidR="00331BDE" w:rsidRPr="00331BDE"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>site is entirely brownfield, greenfield rates are not required</w:t>
      </w:r>
      <w:r w:rsidR="00435473"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 xml:space="preserve"> but have been added to the report for transparency, </w:t>
      </w:r>
      <w:r w:rsidR="00331BDE" w:rsidRPr="00331BDE"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 xml:space="preserve">existing brownfield runoff rates have </w:t>
      </w:r>
      <w:r w:rsidR="00435473"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 xml:space="preserve">also </w:t>
      </w:r>
      <w:r w:rsidR="00331BDE" w:rsidRPr="00331BDE"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>been included within the report.</w:t>
      </w:r>
      <w:r w:rsidR="00284F88"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 xml:space="preserve"> </w:t>
      </w:r>
      <w:r w:rsidR="00284F88" w:rsidRPr="00284F88">
        <w:rPr>
          <w:rFonts w:ascii="Calibri" w:hAnsi="Calibri" w:cs="Calibri"/>
          <w:b/>
          <w:bCs/>
          <w:color w:val="215E99" w:themeColor="text2" w:themeTint="BF"/>
          <w:sz w:val="22"/>
          <w:szCs w:val="22"/>
          <w:bdr w:val="none" w:sz="0" w:space="0" w:color="auto" w:frame="1"/>
        </w:rPr>
        <w:t>Para 5.1</w:t>
      </w:r>
      <w:r w:rsidR="00435473">
        <w:rPr>
          <w:rFonts w:ascii="Calibri" w:hAnsi="Calibri" w:cs="Calibri"/>
          <w:b/>
          <w:bCs/>
          <w:color w:val="215E99" w:themeColor="text2" w:themeTint="BF"/>
          <w:sz w:val="22"/>
          <w:szCs w:val="22"/>
          <w:bdr w:val="none" w:sz="0" w:space="0" w:color="auto" w:frame="1"/>
        </w:rPr>
        <w:t>4</w:t>
      </w:r>
      <w:r w:rsidR="00284F88" w:rsidRPr="00284F88">
        <w:rPr>
          <w:rFonts w:ascii="Calibri" w:hAnsi="Calibri" w:cs="Calibri"/>
          <w:b/>
          <w:bCs/>
          <w:color w:val="215E99" w:themeColor="text2" w:themeTint="BF"/>
          <w:sz w:val="22"/>
          <w:szCs w:val="22"/>
          <w:bdr w:val="none" w:sz="0" w:space="0" w:color="auto" w:frame="1"/>
        </w:rPr>
        <w:t xml:space="preserve"> – 5.1</w:t>
      </w:r>
      <w:r w:rsidR="00435473">
        <w:rPr>
          <w:rFonts w:ascii="Calibri" w:hAnsi="Calibri" w:cs="Calibri"/>
          <w:b/>
          <w:bCs/>
          <w:color w:val="215E99" w:themeColor="text2" w:themeTint="BF"/>
          <w:sz w:val="22"/>
          <w:szCs w:val="22"/>
          <w:bdr w:val="none" w:sz="0" w:space="0" w:color="auto" w:frame="1"/>
        </w:rPr>
        <w:t>8</w:t>
      </w:r>
      <w:r w:rsidR="00284F88">
        <w:rPr>
          <w:rFonts w:ascii="Calibri" w:hAnsi="Calibri" w:cs="Calibri"/>
          <w:b/>
          <w:bCs/>
          <w:color w:val="215E99" w:themeColor="text2" w:themeTint="BF"/>
          <w:sz w:val="22"/>
          <w:szCs w:val="22"/>
          <w:bdr w:val="none" w:sz="0" w:space="0" w:color="auto" w:frame="1"/>
        </w:rPr>
        <w:t>.</w:t>
      </w:r>
    </w:p>
    <w:p w14:paraId="0F54AF17" w14:textId="77777777" w:rsidR="009C06E6" w:rsidRDefault="009C06E6" w:rsidP="0083621E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0"/>
          <w:szCs w:val="20"/>
        </w:rPr>
      </w:pPr>
    </w:p>
    <w:p w14:paraId="51A775A1" w14:textId="77777777" w:rsidR="00331BDE" w:rsidRDefault="0083621E" w:rsidP="008362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5. The applicant has not provided the greenfield or existing runoff volumes for a 6 hour 1 in 100 year event. </w:t>
      </w:r>
    </w:p>
    <w:p w14:paraId="30CF0B29" w14:textId="59DE0DA0" w:rsidR="0083621E" w:rsidRDefault="00331BDE" w:rsidP="008362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15E99" w:themeColor="text2" w:themeTint="BF"/>
          <w:sz w:val="22"/>
          <w:szCs w:val="22"/>
          <w:bdr w:val="none" w:sz="0" w:space="0" w:color="auto" w:frame="1"/>
        </w:rPr>
      </w:pPr>
      <w:r w:rsidRPr="00331BDE"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>As above</w:t>
      </w:r>
      <w:r w:rsidR="0083621E" w:rsidRPr="00331BDE"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>.</w:t>
      </w:r>
      <w:r w:rsidR="00284F88"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 xml:space="preserve"> </w:t>
      </w:r>
      <w:r w:rsidR="00435473" w:rsidRPr="00435473">
        <w:rPr>
          <w:rFonts w:ascii="Calibri" w:hAnsi="Calibri" w:cs="Calibri"/>
          <w:b/>
          <w:bCs/>
          <w:color w:val="215E99" w:themeColor="text2" w:themeTint="BF"/>
          <w:sz w:val="22"/>
          <w:szCs w:val="22"/>
          <w:bdr w:val="none" w:sz="0" w:space="0" w:color="auto" w:frame="1"/>
        </w:rPr>
        <w:t>Para 5.14 – 5.18.</w:t>
      </w:r>
    </w:p>
    <w:p w14:paraId="76A5A4A0" w14:textId="77777777" w:rsidR="009C06E6" w:rsidRDefault="009C06E6" w:rsidP="0083621E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0"/>
          <w:szCs w:val="20"/>
        </w:rPr>
      </w:pPr>
    </w:p>
    <w:p w14:paraId="11EC0395" w14:textId="3BFDFE21" w:rsidR="0083621E" w:rsidRDefault="0083621E" w:rsidP="008362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6. The SuDS Proforma does not clearly state the proposed attenuation volumes for the proposed SuDS features. </w:t>
      </w:r>
    </w:p>
    <w:p w14:paraId="7E5A8D5B" w14:textId="127A7D59" w:rsidR="00331BDE" w:rsidRDefault="00331BDE" w:rsidP="008362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15E99" w:themeColor="text2" w:themeTint="BF"/>
          <w:sz w:val="22"/>
          <w:szCs w:val="22"/>
          <w:bdr w:val="none" w:sz="0" w:space="0" w:color="auto" w:frame="1"/>
        </w:rPr>
      </w:pPr>
      <w:r w:rsidRPr="00331BDE"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 xml:space="preserve">Actioned, SuDS Proforma updated. </w:t>
      </w:r>
      <w:r w:rsidR="00284F88">
        <w:rPr>
          <w:rFonts w:ascii="Calibri" w:hAnsi="Calibri" w:cs="Calibri"/>
          <w:b/>
          <w:bCs/>
          <w:color w:val="215E99" w:themeColor="text2" w:themeTint="BF"/>
          <w:sz w:val="22"/>
          <w:szCs w:val="22"/>
          <w:bdr w:val="none" w:sz="0" w:space="0" w:color="auto" w:frame="1"/>
        </w:rPr>
        <w:t>Appendix J.</w:t>
      </w:r>
    </w:p>
    <w:p w14:paraId="3F030983" w14:textId="77777777" w:rsidR="009C06E6" w:rsidRPr="00284F88" w:rsidRDefault="009C06E6" w:rsidP="0083621E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b/>
          <w:bCs/>
          <w:color w:val="215E99" w:themeColor="text2" w:themeTint="BF"/>
          <w:sz w:val="20"/>
          <w:szCs w:val="20"/>
        </w:rPr>
      </w:pPr>
    </w:p>
    <w:p w14:paraId="26521CE2" w14:textId="60C408FB" w:rsidR="0083621E" w:rsidRDefault="0083621E" w:rsidP="008362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7. The applicant has not included any off-site overland exceedance flows to the drainage drawing. </w:t>
      </w:r>
    </w:p>
    <w:p w14:paraId="098A032D" w14:textId="56934694" w:rsidR="00331BDE" w:rsidRDefault="00331BDE" w:rsidP="008362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15E99" w:themeColor="text2" w:themeTint="BF"/>
          <w:sz w:val="22"/>
          <w:szCs w:val="22"/>
          <w:bdr w:val="none" w:sz="0" w:space="0" w:color="auto" w:frame="1"/>
        </w:rPr>
      </w:pPr>
      <w:r w:rsidRPr="00331BDE"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 xml:space="preserve">Actioned, exceedance flows added to SuDS drawing. </w:t>
      </w:r>
      <w:r w:rsidR="00284F88" w:rsidRPr="00284F88">
        <w:rPr>
          <w:rFonts w:ascii="Calibri" w:hAnsi="Calibri" w:cs="Calibri"/>
          <w:b/>
          <w:bCs/>
          <w:color w:val="215E99" w:themeColor="text2" w:themeTint="BF"/>
          <w:sz w:val="22"/>
          <w:szCs w:val="22"/>
          <w:bdr w:val="none" w:sz="0" w:space="0" w:color="auto" w:frame="1"/>
        </w:rPr>
        <w:t>SK01A – Appendix I.</w:t>
      </w:r>
    </w:p>
    <w:p w14:paraId="360DAF51" w14:textId="77777777" w:rsidR="009C06E6" w:rsidRPr="00331BDE" w:rsidRDefault="009C06E6" w:rsidP="0083621E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5E99" w:themeColor="text2" w:themeTint="BF"/>
          <w:sz w:val="20"/>
          <w:szCs w:val="20"/>
        </w:rPr>
      </w:pPr>
    </w:p>
    <w:p w14:paraId="372AD4F5" w14:textId="1A628A73" w:rsidR="0083621E" w:rsidRDefault="0083621E" w:rsidP="008362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8. The calculations provided do not include the full site area. </w:t>
      </w:r>
      <w:r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t xml:space="preserve"> </w:t>
      </w:r>
    </w:p>
    <w:p w14:paraId="0106F681" w14:textId="28C8A0A2" w:rsidR="00331BDE" w:rsidRDefault="00331BDE" w:rsidP="008362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15E99" w:themeColor="text2" w:themeTint="BF"/>
          <w:sz w:val="22"/>
          <w:szCs w:val="22"/>
          <w:bdr w:val="none" w:sz="0" w:space="0" w:color="auto" w:frame="1"/>
        </w:rPr>
      </w:pPr>
      <w:r w:rsidRPr="00331BDE"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>Actioned, pre-development runoff rates use full site area details, site area details also on SuDS drawing.</w:t>
      </w:r>
      <w:r w:rsidR="00284F88"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 xml:space="preserve"> </w:t>
      </w:r>
      <w:r w:rsidR="00284F88" w:rsidRPr="00284F88">
        <w:rPr>
          <w:rFonts w:ascii="Calibri" w:hAnsi="Calibri" w:cs="Calibri"/>
          <w:b/>
          <w:bCs/>
          <w:color w:val="215E99" w:themeColor="text2" w:themeTint="BF"/>
          <w:sz w:val="22"/>
          <w:szCs w:val="22"/>
          <w:bdr w:val="none" w:sz="0" w:space="0" w:color="auto" w:frame="1"/>
        </w:rPr>
        <w:t>Para 5.11 – 5.13</w:t>
      </w:r>
      <w:r w:rsidR="00284F88">
        <w:rPr>
          <w:rFonts w:ascii="Calibri" w:hAnsi="Calibri" w:cs="Calibri"/>
          <w:b/>
          <w:bCs/>
          <w:color w:val="215E99" w:themeColor="text2" w:themeTint="BF"/>
          <w:sz w:val="22"/>
          <w:szCs w:val="22"/>
          <w:bdr w:val="none" w:sz="0" w:space="0" w:color="auto" w:frame="1"/>
        </w:rPr>
        <w:t>, SK01A</w:t>
      </w:r>
      <w:r w:rsidR="00284F88" w:rsidRPr="00284F88">
        <w:rPr>
          <w:rFonts w:ascii="Calibri" w:hAnsi="Calibri" w:cs="Calibri"/>
          <w:b/>
          <w:bCs/>
          <w:color w:val="215E99" w:themeColor="text2" w:themeTint="BF"/>
          <w:sz w:val="22"/>
          <w:szCs w:val="22"/>
          <w:bdr w:val="none" w:sz="0" w:space="0" w:color="auto" w:frame="1"/>
        </w:rPr>
        <w:t>.</w:t>
      </w:r>
    </w:p>
    <w:p w14:paraId="4123BAFC" w14:textId="77777777" w:rsidR="009C06E6" w:rsidRPr="00331BDE" w:rsidRDefault="009C06E6" w:rsidP="0083621E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5E99" w:themeColor="text2" w:themeTint="BF"/>
          <w:sz w:val="20"/>
          <w:szCs w:val="20"/>
        </w:rPr>
      </w:pPr>
    </w:p>
    <w:p w14:paraId="01388018" w14:textId="51662B54" w:rsidR="0083621E" w:rsidRDefault="0083621E" w:rsidP="008362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9. Maintenance tasks and frequencies have not been provided for the </w:t>
      </w:r>
      <w:r w:rsidR="00D5310E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geo [1] cellular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tank.</w:t>
      </w:r>
    </w:p>
    <w:p w14:paraId="1A634B72" w14:textId="48B0CF2D" w:rsidR="00331BDE" w:rsidRDefault="00331BDE" w:rsidP="008362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15E99" w:themeColor="text2" w:themeTint="BF"/>
          <w:sz w:val="22"/>
          <w:szCs w:val="22"/>
          <w:bdr w:val="none" w:sz="0" w:space="0" w:color="auto" w:frame="1"/>
        </w:rPr>
      </w:pPr>
      <w:r w:rsidRPr="00331BDE"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 xml:space="preserve">Actioned. </w:t>
      </w:r>
      <w:r w:rsidR="00284F88" w:rsidRPr="00284F88">
        <w:rPr>
          <w:rFonts w:ascii="Calibri" w:hAnsi="Calibri" w:cs="Calibri"/>
          <w:b/>
          <w:bCs/>
          <w:color w:val="215E99" w:themeColor="text2" w:themeTint="BF"/>
          <w:sz w:val="22"/>
          <w:szCs w:val="22"/>
          <w:bdr w:val="none" w:sz="0" w:space="0" w:color="auto" w:frame="1"/>
        </w:rPr>
        <w:t>Table 6.3.</w:t>
      </w:r>
    </w:p>
    <w:p w14:paraId="498DCD42" w14:textId="77777777" w:rsidR="009C06E6" w:rsidRPr="00331BDE" w:rsidRDefault="009C06E6" w:rsidP="0083621E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5E99" w:themeColor="text2" w:themeTint="BF"/>
          <w:sz w:val="20"/>
          <w:szCs w:val="20"/>
        </w:rPr>
      </w:pPr>
    </w:p>
    <w:p w14:paraId="7621AC1D" w14:textId="64EA1DE2" w:rsidR="00331BDE" w:rsidRDefault="0083621E" w:rsidP="008362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10.The name of the maintenance owner has not been provided. </w:t>
      </w:r>
    </w:p>
    <w:p w14:paraId="5CB775AB" w14:textId="1D166971" w:rsidR="00331BDE" w:rsidRDefault="00331BDE" w:rsidP="008362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</w:pPr>
      <w:r w:rsidRPr="005A7B5C"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 xml:space="preserve">Responsibility to fall to client for time being, scope to be changed to </w:t>
      </w:r>
      <w:r w:rsidR="00DF3A0F" w:rsidRPr="005A7B5C"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 xml:space="preserve">a </w:t>
      </w:r>
      <w:r w:rsidRPr="005A7B5C"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 xml:space="preserve">maintenance company </w:t>
      </w:r>
      <w:r w:rsidR="00DF3A0F" w:rsidRPr="005A7B5C"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 xml:space="preserve">once </w:t>
      </w:r>
      <w:r w:rsidR="005A7B5C" w:rsidRPr="005A7B5C"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>development is completed, as noted within report</w:t>
      </w:r>
      <w:r w:rsidR="00284F88"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 xml:space="preserve">. </w:t>
      </w:r>
      <w:r w:rsidR="00E92A0B" w:rsidRPr="00E92A0B">
        <w:rPr>
          <w:rFonts w:ascii="Calibri" w:hAnsi="Calibri" w:cs="Calibri"/>
          <w:b/>
          <w:bCs/>
          <w:color w:val="215E99" w:themeColor="text2" w:themeTint="BF"/>
          <w:sz w:val="22"/>
          <w:szCs w:val="22"/>
          <w:bdr w:val="none" w:sz="0" w:space="0" w:color="auto" w:frame="1"/>
        </w:rPr>
        <w:t>Para 6.1 &amp; 7.</w:t>
      </w:r>
      <w:r w:rsidR="00E92A0B">
        <w:rPr>
          <w:rFonts w:ascii="Calibri" w:hAnsi="Calibri" w:cs="Calibri"/>
          <w:b/>
          <w:bCs/>
          <w:color w:val="215E99" w:themeColor="text2" w:themeTint="BF"/>
          <w:sz w:val="22"/>
          <w:szCs w:val="22"/>
          <w:bdr w:val="none" w:sz="0" w:space="0" w:color="auto" w:frame="1"/>
        </w:rPr>
        <w:t>7</w:t>
      </w:r>
      <w:r w:rsidR="00E92A0B" w:rsidRPr="00E92A0B">
        <w:rPr>
          <w:rFonts w:ascii="Calibri" w:hAnsi="Calibri" w:cs="Calibri"/>
          <w:b/>
          <w:bCs/>
          <w:color w:val="215E99" w:themeColor="text2" w:themeTint="BF"/>
          <w:sz w:val="22"/>
          <w:szCs w:val="22"/>
          <w:bdr w:val="none" w:sz="0" w:space="0" w:color="auto" w:frame="1"/>
        </w:rPr>
        <w:t>.</w:t>
      </w:r>
      <w:r w:rsidR="005A7B5C" w:rsidRPr="005A7B5C"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 xml:space="preserve"> </w:t>
      </w:r>
    </w:p>
    <w:p w14:paraId="38CC6356" w14:textId="77777777" w:rsidR="009C06E6" w:rsidRPr="005A7B5C" w:rsidRDefault="009C06E6" w:rsidP="008362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</w:pPr>
    </w:p>
    <w:p w14:paraId="041C4EC2" w14:textId="048957DF" w:rsidR="0083621E" w:rsidRDefault="0083621E" w:rsidP="008362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11.The applicant is yet to acquire consent from Thames Water to discharge into the combined sewer. </w:t>
      </w:r>
    </w:p>
    <w:p w14:paraId="242AE54C" w14:textId="44A1AF8F" w:rsidR="005A7B5C" w:rsidRDefault="005A7B5C" w:rsidP="008362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15E99" w:themeColor="text2" w:themeTint="BF"/>
          <w:sz w:val="22"/>
          <w:szCs w:val="22"/>
          <w:bdr w:val="none" w:sz="0" w:space="0" w:color="auto" w:frame="1"/>
        </w:rPr>
      </w:pPr>
      <w:r w:rsidRPr="005A7B5C"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>Capacity check application submitted to Thames Water</w:t>
      </w:r>
      <w:r w:rsidR="003912D2"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 xml:space="preserve">, on basis of 2.7 l/s maximum outfall rate – </w:t>
      </w:r>
      <w:r w:rsidR="003F404B"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 xml:space="preserve">awaiting confirmation but </w:t>
      </w:r>
      <w:r w:rsidR="003912D2"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 xml:space="preserve">previous correspondence with TW </w:t>
      </w:r>
      <w:r w:rsidR="003F404B"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 xml:space="preserve">on this site area </w:t>
      </w:r>
      <w:r w:rsidR="003912D2"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 xml:space="preserve">indicated this should be approved. </w:t>
      </w:r>
      <w:r w:rsidR="00284F88" w:rsidRPr="003832C9">
        <w:rPr>
          <w:rFonts w:ascii="Calibri" w:hAnsi="Calibri" w:cs="Calibri"/>
          <w:b/>
          <w:bCs/>
          <w:color w:val="215E99" w:themeColor="text2" w:themeTint="BF"/>
          <w:sz w:val="22"/>
          <w:szCs w:val="22"/>
          <w:bdr w:val="none" w:sz="0" w:space="0" w:color="auto" w:frame="1"/>
        </w:rPr>
        <w:t xml:space="preserve">Para </w:t>
      </w:r>
      <w:r w:rsidR="003832C9" w:rsidRPr="003832C9">
        <w:rPr>
          <w:rFonts w:ascii="Calibri" w:hAnsi="Calibri" w:cs="Calibri"/>
          <w:b/>
          <w:bCs/>
          <w:color w:val="215E99" w:themeColor="text2" w:themeTint="BF"/>
          <w:sz w:val="22"/>
          <w:szCs w:val="22"/>
          <w:bdr w:val="none" w:sz="0" w:space="0" w:color="auto" w:frame="1"/>
        </w:rPr>
        <w:t>5.20.</w:t>
      </w:r>
    </w:p>
    <w:p w14:paraId="1F2DE522" w14:textId="77777777" w:rsidR="009C06E6" w:rsidRDefault="009C06E6" w:rsidP="0083621E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0"/>
          <w:szCs w:val="20"/>
        </w:rPr>
      </w:pPr>
    </w:p>
    <w:p w14:paraId="4D062731" w14:textId="50D485DE" w:rsidR="0083621E" w:rsidRPr="003F404B" w:rsidRDefault="0083621E" w:rsidP="008362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12.The applicant has not provided information detailing the management of Health and Safety risks related to the SuDS design.</w:t>
      </w:r>
      <w:r w:rsidR="003F404B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r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t xml:space="preserve"> </w:t>
      </w:r>
    </w:p>
    <w:p w14:paraId="4DBF5899" w14:textId="40B6D6CD" w:rsidR="009C06E6" w:rsidRPr="009C06E6" w:rsidRDefault="00435473" w:rsidP="0083621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15E99" w:themeColor="text2" w:themeTint="BF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 xml:space="preserve">Added. </w:t>
      </w:r>
      <w:r w:rsidRPr="00435473">
        <w:rPr>
          <w:rFonts w:ascii="Calibri" w:hAnsi="Calibri" w:cs="Calibri"/>
          <w:b/>
          <w:bCs/>
          <w:color w:val="215E99" w:themeColor="text2" w:themeTint="BF"/>
          <w:sz w:val="22"/>
          <w:szCs w:val="22"/>
          <w:bdr w:val="none" w:sz="0" w:space="0" w:color="auto" w:frame="1"/>
        </w:rPr>
        <w:t>Para 5.51.</w:t>
      </w:r>
    </w:p>
    <w:p w14:paraId="1009BA2F" w14:textId="5C264964" w:rsidR="0083621E" w:rsidRDefault="0083621E" w:rsidP="0043547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lastRenderedPageBreak/>
        <w:t>13.The applicant as not provided a Flood Risk Emergency Plan detailing any mitigation measures. </w:t>
      </w:r>
    </w:p>
    <w:p w14:paraId="2D60B5D8" w14:textId="74598B8F" w:rsidR="00435473" w:rsidRPr="00435473" w:rsidRDefault="00FE2A8D" w:rsidP="0043547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>A flood risk emergency plan is not</w:t>
      </w:r>
      <w:r w:rsidR="00435473" w:rsidRPr="00435473"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 xml:space="preserve"> required given </w:t>
      </w:r>
      <w:r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 xml:space="preserve">that </w:t>
      </w:r>
      <w:r w:rsidR="00435473" w:rsidRPr="00435473"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>the site is not at significant risk of flooding</w:t>
      </w:r>
      <w:r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>, with only minor surface water flooding in Malden Road</w:t>
      </w:r>
      <w:r w:rsidR="00435473" w:rsidRPr="00435473"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>.</w:t>
      </w:r>
      <w:r w:rsidR="005D1664"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 xml:space="preserve"> Explained in </w:t>
      </w:r>
      <w:r w:rsidR="005D1664" w:rsidRPr="005D1664">
        <w:rPr>
          <w:rFonts w:ascii="Calibri" w:hAnsi="Calibri" w:cs="Calibri"/>
          <w:b/>
          <w:bCs/>
          <w:color w:val="215E99" w:themeColor="text2" w:themeTint="BF"/>
          <w:sz w:val="22"/>
          <w:szCs w:val="22"/>
          <w:bdr w:val="none" w:sz="0" w:space="0" w:color="auto" w:frame="1"/>
        </w:rPr>
        <w:t>para 4.16</w:t>
      </w:r>
      <w:r w:rsidR="005D1664">
        <w:rPr>
          <w:rFonts w:ascii="Calibri" w:hAnsi="Calibri" w:cs="Calibri"/>
          <w:color w:val="215E99" w:themeColor="text2" w:themeTint="BF"/>
          <w:sz w:val="22"/>
          <w:szCs w:val="22"/>
          <w:bdr w:val="none" w:sz="0" w:space="0" w:color="auto" w:frame="1"/>
        </w:rPr>
        <w:t>.</w:t>
      </w:r>
    </w:p>
    <w:sectPr w:rsidR="00435473" w:rsidRPr="004354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1E"/>
    <w:rsid w:val="00017770"/>
    <w:rsid w:val="00020DCC"/>
    <w:rsid w:val="00084650"/>
    <w:rsid w:val="000C3223"/>
    <w:rsid w:val="00144E39"/>
    <w:rsid w:val="00154A28"/>
    <w:rsid w:val="001B2175"/>
    <w:rsid w:val="002028B1"/>
    <w:rsid w:val="00284F88"/>
    <w:rsid w:val="002B4013"/>
    <w:rsid w:val="00331BDE"/>
    <w:rsid w:val="003832C9"/>
    <w:rsid w:val="003912D2"/>
    <w:rsid w:val="003F404B"/>
    <w:rsid w:val="00433F7F"/>
    <w:rsid w:val="00435473"/>
    <w:rsid w:val="004945E9"/>
    <w:rsid w:val="005A7B5C"/>
    <w:rsid w:val="005D1664"/>
    <w:rsid w:val="006B1B9D"/>
    <w:rsid w:val="007A4850"/>
    <w:rsid w:val="008254EB"/>
    <w:rsid w:val="0083621E"/>
    <w:rsid w:val="009C06E6"/>
    <w:rsid w:val="00B55A56"/>
    <w:rsid w:val="00C32A2A"/>
    <w:rsid w:val="00C804BD"/>
    <w:rsid w:val="00CD3738"/>
    <w:rsid w:val="00D5310E"/>
    <w:rsid w:val="00DF3A0F"/>
    <w:rsid w:val="00E92A0B"/>
    <w:rsid w:val="00EE7917"/>
    <w:rsid w:val="00FB67B8"/>
    <w:rsid w:val="00FC2563"/>
    <w:rsid w:val="00FE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A04B4"/>
  <w15:chartTrackingRefBased/>
  <w15:docId w15:val="{1F08615F-88F7-404F-A27A-8D536BDD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2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2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2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2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2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2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2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2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2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2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2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2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2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2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2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2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2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62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2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62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6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62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62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62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2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2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621E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83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Spicer</dc:creator>
  <cp:keywords/>
  <dc:description/>
  <cp:lastModifiedBy>Mathew Spicer</cp:lastModifiedBy>
  <cp:revision>7</cp:revision>
  <dcterms:created xsi:type="dcterms:W3CDTF">2024-06-21T15:14:00Z</dcterms:created>
  <dcterms:modified xsi:type="dcterms:W3CDTF">2024-06-26T13:18:00Z</dcterms:modified>
</cp:coreProperties>
</file>